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A2B9FB">
      <w:bookmarkStart w:id="0" w:name="_GoBack"/>
      <w:r>
        <w:drawing>
          <wp:anchor distT="0" distB="0" distL="0" distR="0" simplePos="0" relativeHeight="251659264" behindDoc="1" locked="0" layoutInCell="1" allowOverlap="1">
            <wp:simplePos x="0" y="0"/>
            <wp:positionH relativeFrom="page">
              <wp:posOffset>19050</wp:posOffset>
            </wp:positionH>
            <wp:positionV relativeFrom="page">
              <wp:posOffset>19050</wp:posOffset>
            </wp:positionV>
            <wp:extent cx="7772400" cy="10058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a:srcRect/>
                    <a:stretch>
                      <a:fillRect/>
                    </a:stretch>
                  </pic:blipFill>
                  <pic:spPr>
                    <a:xfrm>
                      <a:off x="0" y="0"/>
                      <a:ext cx="7772400" cy="10058400"/>
                    </a:xfrm>
                    <a:prstGeom prst="rect">
                      <a:avLst/>
                    </a:prstGeom>
                  </pic:spPr>
                </pic:pic>
              </a:graphicData>
            </a:graphic>
          </wp:anchor>
        </w:drawing>
      </w:r>
      <w:bookmarkEnd w:id="0"/>
    </w:p>
    <w:p w14:paraId="6FB515E2">
      <w:pPr>
        <w:spacing w:before="1750"/>
        <w:jc w:val="center"/>
      </w:pPr>
      <w:r>
        <w:rPr>
          <w:b/>
          <w:bCs/>
          <w:color w:val="FFFFFF"/>
          <w:spacing w:val="40"/>
          <w:sz w:val="34"/>
          <w:szCs w:val="34"/>
        </w:rPr>
        <w:t>INDIAN PREMIER LEAGUE</w:t>
      </w:r>
    </w:p>
    <w:p w14:paraId="2557921D">
      <w:pPr>
        <w:spacing w:before="40"/>
        <w:jc w:val="center"/>
      </w:pPr>
      <w:r>
        <w:rPr>
          <w:color w:val="E8B84B"/>
          <w:spacing w:val="70"/>
          <w:sz w:val="20"/>
          <w:szCs w:val="20"/>
        </w:rPr>
        <w:t>BALL-BY-BALL DATASET</w:t>
      </w:r>
    </w:p>
    <w:p w14:paraId="7216F078">
      <w:pPr>
        <w:spacing w:before="60"/>
        <w:jc w:val="center"/>
      </w:pPr>
      <w:r>
        <w:rPr>
          <w:color w:val="E8B84B"/>
          <w:sz w:val="18"/>
          <w:szCs w:val="18"/>
        </w:rPr>
        <w:t>───────────  ◆  ───────────</w:t>
      </w:r>
    </w:p>
    <w:p w14:paraId="5988858C">
      <w:pPr>
        <w:spacing w:before="1350"/>
        <w:jc w:val="center"/>
      </w:pPr>
      <w:r>
        <w:rPr>
          <w:b/>
          <w:bCs/>
          <w:color w:val="FFFFFF"/>
          <w:sz w:val="46"/>
          <w:szCs w:val="46"/>
        </w:rPr>
        <w:t>COMPREHENSIVE ANALYSIS REPORT</w:t>
      </w:r>
    </w:p>
    <w:p w14:paraId="465776D4">
      <w:pPr>
        <w:jc w:val="center"/>
      </w:pPr>
      <w:r>
        <w:rPr>
          <w:rFonts w:ascii="Aptos Display" w:hAnsi="Aptos Display"/>
          <w:b/>
          <w:sz w:val="32"/>
        </w:rPr>
        <w:br w:type="textWrapping"/>
      </w:r>
      <w:r>
        <w:rPr>
          <w:rFonts w:hint="default" w:asciiTheme="majorAscii" w:hAnsiTheme="majorAscii"/>
          <w:b/>
          <w:color w:val="FFFFFF" w:themeColor="background1"/>
          <w:sz w:val="32"/>
          <w14:textFill>
            <w14:solidFill>
              <w14:schemeClr w14:val="bg1"/>
            </w14:solidFill>
          </w14:textFill>
        </w:rPr>
        <w:t>Prepared By</w:t>
      </w:r>
      <w:r>
        <w:rPr>
          <w:rFonts w:ascii="Aptos Display" w:hAnsi="Aptos Display"/>
          <w:b/>
          <w:sz w:val="32"/>
        </w:rPr>
        <w:br w:type="textWrapping"/>
      </w:r>
      <w:r>
        <w:rPr>
          <w:rFonts w:hint="default" w:ascii="Arial Black" w:hAnsi="Arial Black" w:cs="Arial Black"/>
          <w:b/>
          <w:bCs w:val="0"/>
          <w:sz w:val="40"/>
        </w:rPr>
        <w:t>G Nisith Rabi</w:t>
      </w:r>
    </w:p>
    <w:p w14:paraId="40BCF64C">
      <w:pPr>
        <w:spacing w:before="400"/>
        <w:jc w:val="center"/>
      </w:pPr>
      <w:r>
        <w:rPr>
          <w:color w:val="CFE0DD"/>
          <w:sz w:val="21"/>
          <w:szCs w:val="21"/>
        </w:rPr>
        <w:t>18 Seasons of Delivery-Level Data — Teams, Players, Venues,</w:t>
      </w:r>
    </w:p>
    <w:p w14:paraId="1E7015CC">
      <w:pPr>
        <w:spacing w:before="20"/>
        <w:jc w:val="center"/>
      </w:pPr>
      <w:r>
        <w:rPr>
          <w:color w:val="CFE0DD"/>
          <w:sz w:val="21"/>
          <w:szCs w:val="21"/>
        </w:rPr>
        <w:t>Dismissals, and Match Outcomes (2007/08 – 2025)</w:t>
      </w:r>
    </w:p>
    <w:p w14:paraId="529024A1">
      <w:pPr>
        <w:spacing w:before="1500"/>
        <w:jc w:val="center"/>
        <w:rPr>
          <w:color w:val="0FA3A0"/>
          <w:spacing w:val="20"/>
          <w:sz w:val="18"/>
          <w:szCs w:val="18"/>
        </w:rPr>
      </w:pPr>
      <w:r>
        <w:rPr>
          <w:color w:val="0FA3A0"/>
          <w:spacing w:val="20"/>
          <w:sz w:val="18"/>
          <w:szCs w:val="18"/>
        </w:rPr>
        <w:t>278,205 DELIVERIES  |  1,169 MATCHES  |  59 VENUES</w:t>
      </w:r>
    </w:p>
    <w:p w14:paraId="2C770803">
      <w:pPr>
        <w:spacing w:before="1500"/>
        <w:jc w:val="center"/>
        <w:rPr>
          <w:color w:val="0FA3A0"/>
          <w:spacing w:val="20"/>
          <w:sz w:val="18"/>
          <w:szCs w:val="18"/>
        </w:rPr>
      </w:pPr>
    </w:p>
    <w:p w14:paraId="3E0713C1">
      <w:pPr>
        <w:sectPr>
          <w:pgSz w:w="12240" w:h="15840"/>
          <w:pgMar w:top="0" w:right="0" w:bottom="0" w:left="0" w:header="708" w:footer="708" w:gutter="0"/>
          <w:cols w:space="720" w:num="1"/>
          <w:docGrid w:linePitch="360" w:charSpace="0"/>
        </w:sectPr>
      </w:pPr>
    </w:p>
    <w:p w14:paraId="476CAFFE">
      <w:pPr>
        <w:pStyle w:val="2"/>
        <w:pBdr>
          <w:bottom w:val="single" w:color="E8B84B" w:sz="12" w:space="6"/>
        </w:pBdr>
        <w:spacing w:before="200" w:after="200"/>
      </w:pPr>
      <w:r>
        <w:rPr>
          <w:b/>
          <w:bCs/>
          <w:color w:val="FFFFFF"/>
          <w:sz w:val="30"/>
          <w:szCs w:val="30"/>
        </w:rPr>
        <w:t>Table of Contents</w:t>
      </w:r>
    </w:p>
    <w:p w14:paraId="67CE3FD2">
      <w:pPr>
        <w:tabs>
          <w:tab w:val="right" w:leader="dot" w:pos="9026"/>
        </w:tabs>
        <w:spacing w:after="150"/>
      </w:pPr>
      <w:r>
        <w:rPr>
          <w:color w:val="F1E4E9"/>
          <w:sz w:val="22"/>
          <w:szCs w:val="22"/>
        </w:rPr>
        <w:t>01   Executive Summary</w:t>
      </w:r>
      <w:r>
        <w:rPr>
          <w:b/>
          <w:bCs/>
          <w:color w:val="E8B84B"/>
          <w:sz w:val="22"/>
          <w:szCs w:val="22"/>
        </w:rPr>
        <w:tab/>
      </w:r>
      <w:r>
        <w:rPr>
          <w:b/>
          <w:bCs/>
          <w:color w:val="E8B84B"/>
          <w:sz w:val="22"/>
          <w:szCs w:val="22"/>
        </w:rPr>
        <w:t>3</w:t>
      </w:r>
    </w:p>
    <w:p w14:paraId="6820EDAA">
      <w:pPr>
        <w:tabs>
          <w:tab w:val="right" w:leader="dot" w:pos="9026"/>
        </w:tabs>
        <w:spacing w:after="150"/>
      </w:pPr>
      <w:r>
        <w:rPr>
          <w:color w:val="F1E4E9"/>
          <w:sz w:val="22"/>
          <w:szCs w:val="22"/>
        </w:rPr>
        <w:t>02   Dataset &amp; Methodology</w:t>
      </w:r>
      <w:r>
        <w:rPr>
          <w:b/>
          <w:bCs/>
          <w:color w:val="E8B84B"/>
          <w:sz w:val="22"/>
          <w:szCs w:val="22"/>
        </w:rPr>
        <w:tab/>
      </w:r>
      <w:r>
        <w:rPr>
          <w:b/>
          <w:bCs/>
          <w:color w:val="E8B84B"/>
          <w:sz w:val="22"/>
          <w:szCs w:val="22"/>
        </w:rPr>
        <w:t>4</w:t>
      </w:r>
    </w:p>
    <w:p w14:paraId="1F40316F">
      <w:pPr>
        <w:tabs>
          <w:tab w:val="right" w:leader="dot" w:pos="9026"/>
        </w:tabs>
        <w:spacing w:after="150"/>
      </w:pPr>
      <w:r>
        <w:rPr>
          <w:color w:val="F1E4E9"/>
          <w:sz w:val="22"/>
          <w:szCs w:val="22"/>
        </w:rPr>
        <w:t>03   Data Completeness</w:t>
      </w:r>
      <w:r>
        <w:rPr>
          <w:b/>
          <w:bCs/>
          <w:color w:val="E8B84B"/>
          <w:sz w:val="22"/>
          <w:szCs w:val="22"/>
        </w:rPr>
        <w:tab/>
      </w:r>
      <w:r>
        <w:rPr>
          <w:b/>
          <w:bCs/>
          <w:color w:val="E8B84B"/>
          <w:sz w:val="22"/>
          <w:szCs w:val="22"/>
        </w:rPr>
        <w:t>5</w:t>
      </w:r>
    </w:p>
    <w:p w14:paraId="33DD77BF">
      <w:pPr>
        <w:tabs>
          <w:tab w:val="right" w:leader="dot" w:pos="9026"/>
        </w:tabs>
        <w:spacing w:after="150"/>
      </w:pPr>
      <w:r>
        <w:rPr>
          <w:color w:val="F1E4E9"/>
          <w:sz w:val="22"/>
          <w:szCs w:val="22"/>
        </w:rPr>
        <w:t>04   Season Trends</w:t>
      </w:r>
      <w:r>
        <w:rPr>
          <w:b/>
          <w:bCs/>
          <w:color w:val="E8B84B"/>
          <w:sz w:val="22"/>
          <w:szCs w:val="22"/>
        </w:rPr>
        <w:tab/>
      </w:r>
      <w:r>
        <w:rPr>
          <w:b/>
          <w:bCs/>
          <w:color w:val="E8B84B"/>
          <w:sz w:val="22"/>
          <w:szCs w:val="22"/>
        </w:rPr>
        <w:t>6</w:t>
      </w:r>
    </w:p>
    <w:p w14:paraId="765DF7AC">
      <w:pPr>
        <w:tabs>
          <w:tab w:val="right" w:leader="dot" w:pos="9026"/>
        </w:tabs>
        <w:spacing w:after="150"/>
      </w:pPr>
      <w:r>
        <w:rPr>
          <w:color w:val="F1E4E9"/>
          <w:sz w:val="22"/>
          <w:szCs w:val="22"/>
        </w:rPr>
        <w:t>05   Venue Trends</w:t>
      </w:r>
      <w:r>
        <w:rPr>
          <w:b/>
          <w:bCs/>
          <w:color w:val="E8B84B"/>
          <w:sz w:val="22"/>
          <w:szCs w:val="22"/>
        </w:rPr>
        <w:tab/>
      </w:r>
      <w:r>
        <w:rPr>
          <w:b/>
          <w:bCs/>
          <w:color w:val="E8B84B"/>
          <w:sz w:val="22"/>
          <w:szCs w:val="22"/>
        </w:rPr>
        <w:t>7</w:t>
      </w:r>
    </w:p>
    <w:p w14:paraId="094DDFFA">
      <w:pPr>
        <w:tabs>
          <w:tab w:val="right" w:leader="dot" w:pos="9026"/>
        </w:tabs>
        <w:spacing w:after="150"/>
      </w:pPr>
      <w:r>
        <w:rPr>
          <w:color w:val="F1E4E9"/>
          <w:sz w:val="22"/>
          <w:szCs w:val="22"/>
        </w:rPr>
        <w:t>06   Team Performance — Overview</w:t>
      </w:r>
      <w:r>
        <w:rPr>
          <w:b/>
          <w:bCs/>
          <w:color w:val="E8B84B"/>
          <w:sz w:val="22"/>
          <w:szCs w:val="22"/>
        </w:rPr>
        <w:tab/>
      </w:r>
      <w:r>
        <w:rPr>
          <w:b/>
          <w:bCs/>
          <w:color w:val="E8B84B"/>
          <w:sz w:val="22"/>
          <w:szCs w:val="22"/>
        </w:rPr>
        <w:t>8</w:t>
      </w:r>
    </w:p>
    <w:p w14:paraId="3D294F26">
      <w:pPr>
        <w:tabs>
          <w:tab w:val="right" w:leader="dot" w:pos="9026"/>
        </w:tabs>
        <w:spacing w:after="150"/>
      </w:pPr>
      <w:r>
        <w:rPr>
          <w:color w:val="F1E4E9"/>
          <w:sz w:val="22"/>
          <w:szCs w:val="22"/>
        </w:rPr>
        <w:t>07   Chart — Match Wins by Team (Top 12)</w:t>
      </w:r>
      <w:r>
        <w:rPr>
          <w:b/>
          <w:bCs/>
          <w:color w:val="E8B84B"/>
          <w:sz w:val="22"/>
          <w:szCs w:val="22"/>
        </w:rPr>
        <w:tab/>
      </w:r>
      <w:r>
        <w:rPr>
          <w:b/>
          <w:bCs/>
          <w:color w:val="E8B84B"/>
          <w:sz w:val="22"/>
          <w:szCs w:val="22"/>
        </w:rPr>
        <w:t>9</w:t>
      </w:r>
    </w:p>
    <w:p w14:paraId="44ADE1C1">
      <w:pPr>
        <w:tabs>
          <w:tab w:val="right" w:leader="dot" w:pos="9026"/>
        </w:tabs>
        <w:spacing w:after="150"/>
      </w:pPr>
      <w:r>
        <w:rPr>
          <w:color w:val="F1E4E9"/>
          <w:sz w:val="22"/>
          <w:szCs w:val="22"/>
        </w:rPr>
        <w:t>08   Chart — Win Share, Top 5 Teams</w:t>
      </w:r>
      <w:r>
        <w:rPr>
          <w:b/>
          <w:bCs/>
          <w:color w:val="E8B84B"/>
          <w:sz w:val="22"/>
          <w:szCs w:val="22"/>
        </w:rPr>
        <w:tab/>
      </w:r>
      <w:r>
        <w:rPr>
          <w:b/>
          <w:bCs/>
          <w:color w:val="E8B84B"/>
          <w:sz w:val="22"/>
          <w:szCs w:val="22"/>
        </w:rPr>
        <w:t>10</w:t>
      </w:r>
    </w:p>
    <w:p w14:paraId="6BB4401B">
      <w:pPr>
        <w:tabs>
          <w:tab w:val="right" w:leader="dot" w:pos="9026"/>
        </w:tabs>
        <w:spacing w:after="150"/>
      </w:pPr>
      <w:r>
        <w:rPr>
          <w:color w:val="F1E4E9"/>
          <w:sz w:val="22"/>
          <w:szCs w:val="22"/>
        </w:rPr>
        <w:t>09   Toss Analysis</w:t>
      </w:r>
      <w:r>
        <w:rPr>
          <w:b/>
          <w:bCs/>
          <w:color w:val="E8B84B"/>
          <w:sz w:val="22"/>
          <w:szCs w:val="22"/>
        </w:rPr>
        <w:tab/>
      </w:r>
      <w:r>
        <w:rPr>
          <w:b/>
          <w:bCs/>
          <w:color w:val="E8B84B"/>
          <w:sz w:val="22"/>
          <w:szCs w:val="22"/>
        </w:rPr>
        <w:t>11</w:t>
      </w:r>
    </w:p>
    <w:p w14:paraId="7E3F3C7F">
      <w:pPr>
        <w:tabs>
          <w:tab w:val="right" w:leader="dot" w:pos="9026"/>
        </w:tabs>
        <w:spacing w:after="150"/>
      </w:pPr>
      <w:r>
        <w:rPr>
          <w:color w:val="F1E4E9"/>
          <w:sz w:val="22"/>
          <w:szCs w:val="22"/>
        </w:rPr>
        <w:t>10   Batting Performance — Overview</w:t>
      </w:r>
      <w:r>
        <w:rPr>
          <w:b/>
          <w:bCs/>
          <w:color w:val="E8B84B"/>
          <w:sz w:val="22"/>
          <w:szCs w:val="22"/>
        </w:rPr>
        <w:tab/>
      </w:r>
      <w:r>
        <w:rPr>
          <w:b/>
          <w:bCs/>
          <w:color w:val="E8B84B"/>
          <w:sz w:val="22"/>
          <w:szCs w:val="22"/>
        </w:rPr>
        <w:t>12</w:t>
      </w:r>
    </w:p>
    <w:p w14:paraId="0908A4F1">
      <w:pPr>
        <w:tabs>
          <w:tab w:val="right" w:leader="dot" w:pos="9026"/>
        </w:tabs>
        <w:spacing w:after="150"/>
      </w:pPr>
      <w:r>
        <w:rPr>
          <w:color w:val="F1E4E9"/>
          <w:sz w:val="22"/>
          <w:szCs w:val="22"/>
        </w:rPr>
        <w:t>11   Chart — Top 10 Run Scorers</w:t>
      </w:r>
      <w:r>
        <w:rPr>
          <w:b/>
          <w:bCs/>
          <w:color w:val="E8B84B"/>
          <w:sz w:val="22"/>
          <w:szCs w:val="22"/>
        </w:rPr>
        <w:tab/>
      </w:r>
      <w:r>
        <w:rPr>
          <w:b/>
          <w:bCs/>
          <w:color w:val="E8B84B"/>
          <w:sz w:val="22"/>
          <w:szCs w:val="22"/>
        </w:rPr>
        <w:t>13</w:t>
      </w:r>
    </w:p>
    <w:p w14:paraId="5D0F24F9">
      <w:pPr>
        <w:tabs>
          <w:tab w:val="right" w:leader="dot" w:pos="9026"/>
        </w:tabs>
        <w:spacing w:after="150"/>
      </w:pPr>
      <w:r>
        <w:rPr>
          <w:color w:val="F1E4E9"/>
          <w:sz w:val="22"/>
          <w:szCs w:val="22"/>
        </w:rPr>
        <w:t>12   Chart — Player of the Match Awards</w:t>
      </w:r>
      <w:r>
        <w:rPr>
          <w:b/>
          <w:bCs/>
          <w:color w:val="E8B84B"/>
          <w:sz w:val="22"/>
          <w:szCs w:val="22"/>
        </w:rPr>
        <w:tab/>
      </w:r>
      <w:r>
        <w:rPr>
          <w:b/>
          <w:bCs/>
          <w:color w:val="E8B84B"/>
          <w:sz w:val="22"/>
          <w:szCs w:val="22"/>
        </w:rPr>
        <w:t>14</w:t>
      </w:r>
    </w:p>
    <w:p w14:paraId="4283E83A">
      <w:pPr>
        <w:tabs>
          <w:tab w:val="right" w:leader="dot" w:pos="9026"/>
        </w:tabs>
        <w:spacing w:after="150"/>
      </w:pPr>
      <w:r>
        <w:rPr>
          <w:color w:val="F1E4E9"/>
          <w:sz w:val="22"/>
          <w:szCs w:val="22"/>
        </w:rPr>
        <w:t>13   Bowling Performance</w:t>
      </w:r>
      <w:r>
        <w:rPr>
          <w:b/>
          <w:bCs/>
          <w:color w:val="E8B84B"/>
          <w:sz w:val="22"/>
          <w:szCs w:val="22"/>
        </w:rPr>
        <w:tab/>
      </w:r>
      <w:r>
        <w:rPr>
          <w:b/>
          <w:bCs/>
          <w:color w:val="E8B84B"/>
          <w:sz w:val="22"/>
          <w:szCs w:val="22"/>
        </w:rPr>
        <w:t>15</w:t>
      </w:r>
    </w:p>
    <w:p w14:paraId="6B8584F2">
      <w:pPr>
        <w:tabs>
          <w:tab w:val="right" w:leader="dot" w:pos="9026"/>
        </w:tabs>
        <w:spacing w:after="150"/>
      </w:pPr>
      <w:r>
        <w:rPr>
          <w:color w:val="F1E4E9"/>
          <w:sz w:val="22"/>
          <w:szCs w:val="22"/>
        </w:rPr>
        <w:t>14   Chart — Top 10 Wicket Takers</w:t>
      </w:r>
      <w:r>
        <w:rPr>
          <w:b/>
          <w:bCs/>
          <w:color w:val="E8B84B"/>
          <w:sz w:val="22"/>
          <w:szCs w:val="22"/>
        </w:rPr>
        <w:tab/>
      </w:r>
      <w:r>
        <w:rPr>
          <w:b/>
          <w:bCs/>
          <w:color w:val="E8B84B"/>
          <w:sz w:val="22"/>
          <w:szCs w:val="22"/>
        </w:rPr>
        <w:t>16</w:t>
      </w:r>
    </w:p>
    <w:p w14:paraId="33DB0DBF">
      <w:pPr>
        <w:tabs>
          <w:tab w:val="right" w:leader="dot" w:pos="9026"/>
        </w:tabs>
        <w:spacing w:after="150"/>
      </w:pPr>
      <w:r>
        <w:rPr>
          <w:color w:val="F1E4E9"/>
          <w:sz w:val="22"/>
          <w:szCs w:val="22"/>
        </w:rPr>
        <w:t>15   Dismissal Analysis</w:t>
      </w:r>
      <w:r>
        <w:rPr>
          <w:b/>
          <w:bCs/>
          <w:color w:val="E8B84B"/>
          <w:sz w:val="22"/>
          <w:szCs w:val="22"/>
        </w:rPr>
        <w:tab/>
      </w:r>
      <w:r>
        <w:rPr>
          <w:b/>
          <w:bCs/>
          <w:color w:val="E8B84B"/>
          <w:sz w:val="22"/>
          <w:szCs w:val="22"/>
        </w:rPr>
        <w:t>17</w:t>
      </w:r>
    </w:p>
    <w:p w14:paraId="2BD7B438">
      <w:pPr>
        <w:tabs>
          <w:tab w:val="right" w:leader="dot" w:pos="9026"/>
        </w:tabs>
        <w:spacing w:after="150"/>
      </w:pPr>
      <w:r>
        <w:rPr>
          <w:color w:val="F1E4E9"/>
          <w:sz w:val="22"/>
          <w:szCs w:val="22"/>
        </w:rPr>
        <w:t>16   Extras Analysis</w:t>
      </w:r>
      <w:r>
        <w:rPr>
          <w:b/>
          <w:bCs/>
          <w:color w:val="E8B84B"/>
          <w:sz w:val="22"/>
          <w:szCs w:val="22"/>
        </w:rPr>
        <w:tab/>
      </w:r>
      <w:r>
        <w:rPr>
          <w:b/>
          <w:bCs/>
          <w:color w:val="E8B84B"/>
          <w:sz w:val="22"/>
          <w:szCs w:val="22"/>
        </w:rPr>
        <w:t>18</w:t>
      </w:r>
    </w:p>
    <w:p w14:paraId="6703397B">
      <w:pPr>
        <w:tabs>
          <w:tab w:val="right" w:leader="dot" w:pos="9026"/>
        </w:tabs>
        <w:spacing w:after="150"/>
      </w:pPr>
      <w:r>
        <w:rPr>
          <w:color w:val="F1E4E9"/>
          <w:sz w:val="22"/>
          <w:szCs w:val="22"/>
        </w:rPr>
        <w:t>17   Cross-Cutting Observations</w:t>
      </w:r>
      <w:r>
        <w:rPr>
          <w:b/>
          <w:bCs/>
          <w:color w:val="E8B84B"/>
          <w:sz w:val="22"/>
          <w:szCs w:val="22"/>
        </w:rPr>
        <w:tab/>
      </w:r>
      <w:r>
        <w:rPr>
          <w:b/>
          <w:bCs/>
          <w:color w:val="E8B84B"/>
          <w:sz w:val="22"/>
          <w:szCs w:val="22"/>
        </w:rPr>
        <w:t>19</w:t>
      </w:r>
    </w:p>
    <w:p w14:paraId="29EBB4E5">
      <w:pPr>
        <w:tabs>
          <w:tab w:val="right" w:leader="dot" w:pos="9026"/>
        </w:tabs>
        <w:spacing w:after="150"/>
      </w:pPr>
      <w:r>
        <w:rPr>
          <w:color w:val="F1E4E9"/>
          <w:sz w:val="22"/>
          <w:szCs w:val="22"/>
        </w:rPr>
        <w:t>18   Key Findings</w:t>
      </w:r>
      <w:r>
        <w:rPr>
          <w:b/>
          <w:bCs/>
          <w:color w:val="E8B84B"/>
          <w:sz w:val="22"/>
          <w:szCs w:val="22"/>
        </w:rPr>
        <w:tab/>
      </w:r>
      <w:r>
        <w:rPr>
          <w:b/>
          <w:bCs/>
          <w:color w:val="E8B84B"/>
          <w:sz w:val="22"/>
          <w:szCs w:val="22"/>
        </w:rPr>
        <w:t>20</w:t>
      </w:r>
    </w:p>
    <w:p w14:paraId="18EB303D">
      <w:pPr>
        <w:tabs>
          <w:tab w:val="right" w:leader="dot" w:pos="9026"/>
        </w:tabs>
        <w:spacing w:after="150"/>
      </w:pPr>
      <w:r>
        <w:rPr>
          <w:color w:val="F1E4E9"/>
          <w:sz w:val="22"/>
          <w:szCs w:val="22"/>
        </w:rPr>
        <w:t>19   Data Quality &amp; Limitations</w:t>
      </w:r>
      <w:r>
        <w:rPr>
          <w:b/>
          <w:bCs/>
          <w:color w:val="E8B84B"/>
          <w:sz w:val="22"/>
          <w:szCs w:val="22"/>
        </w:rPr>
        <w:tab/>
      </w:r>
      <w:r>
        <w:rPr>
          <w:b/>
          <w:bCs/>
          <w:color w:val="E8B84B"/>
          <w:sz w:val="22"/>
          <w:szCs w:val="22"/>
        </w:rPr>
        <w:t>21</w:t>
      </w:r>
    </w:p>
    <w:p w14:paraId="43032F51">
      <w:pPr>
        <w:tabs>
          <w:tab w:val="right" w:leader="dot" w:pos="9026"/>
        </w:tabs>
        <w:spacing w:after="150"/>
      </w:pPr>
      <w:r>
        <w:rPr>
          <w:color w:val="F1E4E9"/>
          <w:sz w:val="22"/>
          <w:szCs w:val="22"/>
        </w:rPr>
        <w:t>20   Recommendations for Further Analysis</w:t>
      </w:r>
      <w:r>
        <w:rPr>
          <w:b/>
          <w:bCs/>
          <w:color w:val="E8B84B"/>
          <w:sz w:val="22"/>
          <w:szCs w:val="22"/>
        </w:rPr>
        <w:tab/>
      </w:r>
      <w:r>
        <w:rPr>
          <w:b/>
          <w:bCs/>
          <w:color w:val="E8B84B"/>
          <w:sz w:val="22"/>
          <w:szCs w:val="22"/>
        </w:rPr>
        <w:t>22</w:t>
      </w:r>
    </w:p>
    <w:p w14:paraId="0824D243">
      <w:pPr>
        <w:tabs>
          <w:tab w:val="right" w:leader="dot" w:pos="9026"/>
        </w:tabs>
        <w:spacing w:after="150"/>
      </w:pPr>
      <w:r>
        <w:rPr>
          <w:color w:val="F1E4E9"/>
          <w:sz w:val="22"/>
          <w:szCs w:val="22"/>
        </w:rPr>
        <w:t>21   Conclusion</w:t>
      </w:r>
      <w:r>
        <w:rPr>
          <w:b/>
          <w:bCs/>
          <w:color w:val="E8B84B"/>
          <w:sz w:val="22"/>
          <w:szCs w:val="22"/>
        </w:rPr>
        <w:tab/>
      </w:r>
      <w:r>
        <w:rPr>
          <w:b/>
          <w:bCs/>
          <w:color w:val="E8B84B"/>
          <w:sz w:val="22"/>
          <w:szCs w:val="22"/>
        </w:rPr>
        <w:t>23</w:t>
      </w:r>
    </w:p>
    <w:p w14:paraId="5E77B9F0">
      <w:pPr>
        <w:tabs>
          <w:tab w:val="right" w:leader="dot" w:pos="9026"/>
        </w:tabs>
        <w:spacing w:after="150"/>
      </w:pPr>
      <w:r>
        <w:rPr>
          <w:color w:val="F1E4E9"/>
          <w:sz w:val="22"/>
          <w:szCs w:val="22"/>
        </w:rPr>
        <w:t>22   Appendix — Summary Data Tables</w:t>
      </w:r>
      <w:r>
        <w:rPr>
          <w:b/>
          <w:bCs/>
          <w:color w:val="E8B84B"/>
          <w:sz w:val="22"/>
          <w:szCs w:val="22"/>
        </w:rPr>
        <w:tab/>
      </w:r>
      <w:r>
        <w:rPr>
          <w:b/>
          <w:bCs/>
          <w:color w:val="E8B84B"/>
          <w:sz w:val="22"/>
          <w:szCs w:val="22"/>
        </w:rPr>
        <w:t>24</w:t>
      </w:r>
    </w:p>
    <w:p w14:paraId="49294329">
      <w:pPr>
        <w:sectPr>
          <w:headerReference r:id="rId3" w:type="default"/>
          <w:pgSz w:w="12240" w:h="15840"/>
          <w:pgMar w:top="1000" w:right="1100" w:bottom="1000" w:left="1100" w:header="708" w:footer="708" w:gutter="0"/>
          <w:cols w:space="720" w:num="1"/>
          <w:docGrid w:linePitch="360" w:charSpace="0"/>
        </w:sectPr>
      </w:pPr>
    </w:p>
    <w:p w14:paraId="320BCAD9">
      <w:pPr>
        <w:pStyle w:val="2"/>
        <w:pBdr>
          <w:bottom w:val="single" w:color="E8B84B" w:sz="12" w:space="6"/>
        </w:pBdr>
        <w:spacing w:before="200" w:after="200"/>
      </w:pPr>
      <w:r>
        <w:rPr>
          <w:b/>
          <w:bCs/>
          <w:color w:val="FFFFFF"/>
          <w:sz w:val="30"/>
          <w:szCs w:val="30"/>
        </w:rPr>
        <w:t>Executive Summary</w:t>
      </w:r>
    </w:p>
    <w:p w14:paraId="2D873882">
      <w:pPr>
        <w:spacing w:after="180" w:line="300" w:lineRule="auto"/>
        <w:jc w:val="both"/>
      </w:pPr>
      <w:r>
        <w:rPr>
          <w:color w:val="F1E4E9"/>
          <w:sz w:val="21"/>
          <w:szCs w:val="21"/>
        </w:rPr>
        <w:t>This report presents a restyled, comprehensive analysis of the IPL ball-by-ball dataset, covering 18 seasons of Indian Premier League T20 cricket from 2007/08 through 2025. The dataset records delivery-level detail — teams, players, runs, dismissals, extras, venue, and match outcome — for every ball bowled across 1,169 matches. This edition reproduces the full statistical findings of the original analysis with a new visual design: ten gradient-styled charts, a redesigned cover, and a complete color scheme change throughout.</w:t>
      </w:r>
    </w:p>
    <w:p w14:paraId="6E9F551A">
      <w:pPr>
        <w:spacing w:after="180" w:line="300" w:lineRule="auto"/>
        <w:jc w:val="both"/>
      </w:pPr>
      <w:r>
        <w:rPr>
          <w:color w:val="F1E4E9"/>
          <w:sz w:val="21"/>
          <w:szCs w:val="21"/>
        </w:rPr>
        <w:t>Across the full dataset, Mumbai Indians stand out as the most successful franchise by match wins, Virat Kohli as the leading run-scorer, and Yuzvendra Chahal as the leading wicket-taker. Teams have shown a strong tactical preference for fielding first after winning the toss, and catches account for the large majority of all recorded dismissals.</w:t>
      </w:r>
    </w:p>
    <w:p w14:paraId="09D32CFC">
      <w:pPr>
        <w:pStyle w:val="3"/>
        <w:spacing w:before="260" w:after="140"/>
      </w:pPr>
      <w:r>
        <w:rPr>
          <w:b/>
          <w:bCs/>
          <w:color w:val="E8B84B"/>
          <w:sz w:val="24"/>
          <w:szCs w:val="24"/>
        </w:rPr>
        <w:t>Dataset at a Glance</w:t>
      </w:r>
    </w:p>
    <w:tbl>
      <w:tblPr>
        <w:tblStyle w:val="9"/>
        <w:tblW w:w="93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337"/>
        <w:gridCol w:w="2337"/>
        <w:gridCol w:w="2338"/>
        <w:gridCol w:w="2338"/>
      </w:tblGrid>
      <w:tr w14:paraId="01C387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337" w:type="dxa"/>
            <w:shd w:val="clear" w:color="auto" w:fill="0B4F4A"/>
            <w:tcMar>
              <w:top w:w="200" w:type="dxa"/>
              <w:left w:w="120" w:type="dxa"/>
              <w:bottom w:w="200" w:type="dxa"/>
              <w:right w:w="120" w:type="dxa"/>
            </w:tcMar>
            <w:vAlign w:val="center"/>
          </w:tcPr>
          <w:p w14:paraId="688A3CDA">
            <w:pPr>
              <w:spacing w:after="40"/>
              <w:jc w:val="center"/>
            </w:pPr>
            <w:r>
              <w:rPr>
                <w:b/>
                <w:bCs/>
                <w:color w:val="FFFFFF"/>
                <w:sz w:val="27"/>
                <w:szCs w:val="27"/>
              </w:rPr>
              <w:t>278,205</w:t>
            </w:r>
          </w:p>
          <w:p w14:paraId="102D7549">
            <w:pPr>
              <w:jc w:val="center"/>
            </w:pPr>
            <w:r>
              <w:rPr>
                <w:color w:val="FFFFFF"/>
                <w:sz w:val="15"/>
                <w:szCs w:val="15"/>
              </w:rPr>
              <w:t>Total Deliveries</w:t>
            </w:r>
          </w:p>
        </w:tc>
        <w:tc>
          <w:tcPr>
            <w:tcW w:w="2337" w:type="dxa"/>
            <w:shd w:val="clear" w:color="auto" w:fill="12324A"/>
            <w:tcMar>
              <w:top w:w="200" w:type="dxa"/>
              <w:left w:w="120" w:type="dxa"/>
              <w:bottom w:w="200" w:type="dxa"/>
              <w:right w:w="120" w:type="dxa"/>
            </w:tcMar>
            <w:vAlign w:val="center"/>
          </w:tcPr>
          <w:p w14:paraId="6F67A2FF">
            <w:pPr>
              <w:spacing w:after="40"/>
              <w:jc w:val="center"/>
            </w:pPr>
            <w:r>
              <w:rPr>
                <w:b/>
                <w:bCs/>
                <w:color w:val="FFFFFF"/>
                <w:sz w:val="27"/>
                <w:szCs w:val="27"/>
              </w:rPr>
              <w:t>1,169</w:t>
            </w:r>
          </w:p>
          <w:p w14:paraId="0B8F435B">
            <w:pPr>
              <w:jc w:val="center"/>
            </w:pPr>
            <w:r>
              <w:rPr>
                <w:color w:val="FFFFFF"/>
                <w:sz w:val="15"/>
                <w:szCs w:val="15"/>
              </w:rPr>
              <w:t>Total Matches</w:t>
            </w:r>
          </w:p>
        </w:tc>
        <w:tc>
          <w:tcPr>
            <w:tcW w:w="2337" w:type="dxa"/>
            <w:shd w:val="clear" w:color="auto" w:fill="7A1620"/>
            <w:tcMar>
              <w:top w:w="200" w:type="dxa"/>
              <w:left w:w="120" w:type="dxa"/>
              <w:bottom w:w="200" w:type="dxa"/>
              <w:right w:w="120" w:type="dxa"/>
            </w:tcMar>
            <w:vAlign w:val="center"/>
          </w:tcPr>
          <w:p w14:paraId="768466D8">
            <w:pPr>
              <w:spacing w:after="40"/>
              <w:jc w:val="center"/>
            </w:pPr>
            <w:r>
              <w:rPr>
                <w:b/>
                <w:bCs/>
                <w:color w:val="FFFFFF"/>
                <w:sz w:val="27"/>
                <w:szCs w:val="27"/>
              </w:rPr>
              <w:t>18</w:t>
            </w:r>
          </w:p>
          <w:p w14:paraId="15E9CCD4">
            <w:pPr>
              <w:jc w:val="center"/>
            </w:pPr>
            <w:r>
              <w:rPr>
                <w:color w:val="FFFFFF"/>
                <w:sz w:val="15"/>
                <w:szCs w:val="15"/>
              </w:rPr>
              <w:t>Seasons Covered</w:t>
            </w:r>
          </w:p>
        </w:tc>
        <w:tc>
          <w:tcPr>
            <w:tcW w:w="2337" w:type="dxa"/>
            <w:shd w:val="clear" w:color="auto" w:fill="5C3A78"/>
            <w:tcMar>
              <w:top w:w="200" w:type="dxa"/>
              <w:left w:w="120" w:type="dxa"/>
              <w:bottom w:w="200" w:type="dxa"/>
              <w:right w:w="120" w:type="dxa"/>
            </w:tcMar>
            <w:vAlign w:val="center"/>
          </w:tcPr>
          <w:p w14:paraId="5C5E64E9">
            <w:pPr>
              <w:spacing w:after="40"/>
              <w:jc w:val="center"/>
            </w:pPr>
            <w:r>
              <w:rPr>
                <w:b/>
                <w:bCs/>
                <w:color w:val="FFFFFF"/>
                <w:sz w:val="27"/>
                <w:szCs w:val="27"/>
              </w:rPr>
              <w:t>59</w:t>
            </w:r>
          </w:p>
          <w:p w14:paraId="03C52CD3">
            <w:pPr>
              <w:jc w:val="center"/>
            </w:pPr>
            <w:r>
              <w:rPr>
                <w:color w:val="FFFFFF"/>
                <w:sz w:val="15"/>
                <w:szCs w:val="15"/>
              </w:rPr>
              <w:t>Unique Venues</w:t>
            </w:r>
          </w:p>
        </w:tc>
      </w:tr>
    </w:tbl>
    <w:p w14:paraId="6DCE4E1A">
      <w:pPr>
        <w:spacing w:before="220"/>
      </w:pPr>
    </w:p>
    <w:tbl>
      <w:tblPr>
        <w:tblStyle w:val="9"/>
        <w:tblW w:w="935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2337"/>
        <w:gridCol w:w="2337"/>
        <w:gridCol w:w="2338"/>
        <w:gridCol w:w="2338"/>
      </w:tblGrid>
      <w:tr w14:paraId="062D9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337" w:type="dxa"/>
            <w:shd w:val="clear" w:color="auto" w:fill="0B4F4A"/>
            <w:tcMar>
              <w:top w:w="200" w:type="dxa"/>
              <w:left w:w="120" w:type="dxa"/>
              <w:bottom w:w="200" w:type="dxa"/>
              <w:right w:w="120" w:type="dxa"/>
            </w:tcMar>
            <w:vAlign w:val="center"/>
          </w:tcPr>
          <w:p w14:paraId="3675A366">
            <w:pPr>
              <w:spacing w:after="40"/>
              <w:jc w:val="center"/>
            </w:pPr>
            <w:r>
              <w:rPr>
                <w:b/>
                <w:bCs/>
                <w:color w:val="FFFFFF"/>
                <w:sz w:val="27"/>
                <w:szCs w:val="27"/>
              </w:rPr>
              <w:t>38</w:t>
            </w:r>
          </w:p>
          <w:p w14:paraId="00A9291F">
            <w:pPr>
              <w:jc w:val="center"/>
            </w:pPr>
            <w:r>
              <w:rPr>
                <w:color w:val="FFFFFF"/>
                <w:sz w:val="15"/>
                <w:szCs w:val="15"/>
              </w:rPr>
              <w:t>Unique Cities</w:t>
            </w:r>
          </w:p>
        </w:tc>
        <w:tc>
          <w:tcPr>
            <w:tcW w:w="2337" w:type="dxa"/>
            <w:shd w:val="clear" w:color="auto" w:fill="12324A"/>
            <w:tcMar>
              <w:top w:w="200" w:type="dxa"/>
              <w:left w:w="120" w:type="dxa"/>
              <w:bottom w:w="200" w:type="dxa"/>
              <w:right w:w="120" w:type="dxa"/>
            </w:tcMar>
            <w:vAlign w:val="center"/>
          </w:tcPr>
          <w:p w14:paraId="318E82AD">
            <w:pPr>
              <w:spacing w:after="40"/>
              <w:jc w:val="center"/>
            </w:pPr>
            <w:r>
              <w:rPr>
                <w:b/>
                <w:bCs/>
                <w:color w:val="FFFFFF"/>
                <w:sz w:val="27"/>
                <w:szCs w:val="27"/>
              </w:rPr>
              <w:t>703</w:t>
            </w:r>
          </w:p>
          <w:p w14:paraId="5548EE72">
            <w:pPr>
              <w:jc w:val="center"/>
            </w:pPr>
            <w:r>
              <w:rPr>
                <w:color w:val="FFFFFF"/>
                <w:sz w:val="15"/>
                <w:szCs w:val="15"/>
              </w:rPr>
              <w:t>Unique Batters</w:t>
            </w:r>
          </w:p>
        </w:tc>
        <w:tc>
          <w:tcPr>
            <w:tcW w:w="2337" w:type="dxa"/>
            <w:shd w:val="clear" w:color="auto" w:fill="7A1620"/>
            <w:tcMar>
              <w:top w:w="200" w:type="dxa"/>
              <w:left w:w="120" w:type="dxa"/>
              <w:bottom w:w="200" w:type="dxa"/>
              <w:right w:w="120" w:type="dxa"/>
            </w:tcMar>
            <w:vAlign w:val="center"/>
          </w:tcPr>
          <w:p w14:paraId="428296D6">
            <w:pPr>
              <w:spacing w:after="40"/>
              <w:jc w:val="center"/>
            </w:pPr>
            <w:r>
              <w:rPr>
                <w:b/>
                <w:bCs/>
                <w:color w:val="FFFFFF"/>
                <w:sz w:val="27"/>
                <w:szCs w:val="27"/>
              </w:rPr>
              <w:t>550</w:t>
            </w:r>
          </w:p>
          <w:p w14:paraId="20EB4EEC">
            <w:pPr>
              <w:jc w:val="center"/>
            </w:pPr>
            <w:r>
              <w:rPr>
                <w:color w:val="FFFFFF"/>
                <w:sz w:val="15"/>
                <w:szCs w:val="15"/>
              </w:rPr>
              <w:t>Unique Bowlers</w:t>
            </w:r>
          </w:p>
        </w:tc>
        <w:tc>
          <w:tcPr>
            <w:tcW w:w="2337" w:type="dxa"/>
            <w:shd w:val="clear" w:color="auto" w:fill="5C3A78"/>
            <w:tcMar>
              <w:top w:w="200" w:type="dxa"/>
              <w:left w:w="120" w:type="dxa"/>
              <w:bottom w:w="200" w:type="dxa"/>
              <w:right w:w="120" w:type="dxa"/>
            </w:tcMar>
            <w:vAlign w:val="center"/>
          </w:tcPr>
          <w:p w14:paraId="130D3612">
            <w:pPr>
              <w:spacing w:after="40"/>
              <w:jc w:val="center"/>
            </w:pPr>
            <w:r>
              <w:rPr>
                <w:b/>
                <w:bCs/>
                <w:color w:val="FFFFFF"/>
                <w:sz w:val="27"/>
                <w:szCs w:val="27"/>
              </w:rPr>
              <w:t>374,283</w:t>
            </w:r>
          </w:p>
          <w:p w14:paraId="705B7798">
            <w:pPr>
              <w:jc w:val="center"/>
            </w:pPr>
            <w:r>
              <w:rPr>
                <w:color w:val="FFFFFF"/>
                <w:sz w:val="15"/>
                <w:szCs w:val="15"/>
              </w:rPr>
              <w:t>Total Runs Recorded</w:t>
            </w:r>
          </w:p>
        </w:tc>
      </w:tr>
    </w:tbl>
    <w:p w14:paraId="5B417B64">
      <w:r>
        <w:br w:type="page"/>
      </w:r>
    </w:p>
    <w:p w14:paraId="1D9A101E">
      <w:pPr>
        <w:pStyle w:val="2"/>
        <w:pBdr>
          <w:bottom w:val="single" w:color="E8B84B" w:sz="12" w:space="6"/>
        </w:pBdr>
        <w:spacing w:before="200" w:after="200"/>
      </w:pPr>
      <w:r>
        <w:rPr>
          <w:b/>
          <w:bCs/>
          <w:color w:val="FFFFFF"/>
          <w:sz w:val="30"/>
          <w:szCs w:val="30"/>
        </w:rPr>
        <w:t>Dataset &amp; Methodology</w:t>
      </w:r>
    </w:p>
    <w:p w14:paraId="40264D3F">
      <w:pPr>
        <w:spacing w:after="180" w:line="300" w:lineRule="auto"/>
        <w:jc w:val="both"/>
      </w:pPr>
      <w:r>
        <w:rPr>
          <w:color w:val="F1E4E9"/>
          <w:sz w:val="21"/>
          <w:szCs w:val="21"/>
        </w:rPr>
        <w:t>The source material for this report is a prior analysis document (IPL_Analysis_Report.pdf) summarizing the IPL ball-by-ball dataset. That document reports 278,205 individual delivery records spanning 1,169 matches, played across 59 venues in 38 cities, covering 18 seasons from 2007/08 through 2025. All matches are men's club-level T20 fixtures, and 19 distinct team name entries appear in the data, reflecting franchise rebranding over the years (for example, Delhi Daredevils became Delhi Capitals, and Royal Challengers Bangalore became Royal Challengers Bengaluru).</w:t>
      </w:r>
    </w:p>
    <w:p w14:paraId="79F95291">
      <w:pPr>
        <w:spacing w:after="180" w:line="300" w:lineRule="auto"/>
        <w:jc w:val="both"/>
      </w:pPr>
      <w:r>
        <w:rPr>
          <w:color w:val="F1E4E9"/>
          <w:sz w:val="21"/>
          <w:szCs w:val="21"/>
        </w:rPr>
        <w:t>This edition of the report reproduces every figure stated explicitly in that source analysis — including all team win totals, run totals, wicket totals, dismissal counts, extras counts, and toss statistics — without alteration. Where the source document displayed a chart but did not state every individual data label in its accompanying text (for example, the full season-by-season match counts, or the win totals for teams outside the top five), this report presents best-available readings of those chart values, clearly noted as approximate wherever they are not backed by an explicit figure in the source text.</w:t>
      </w:r>
    </w:p>
    <w:p w14:paraId="2679B5E1">
      <w:pPr>
        <w:pStyle w:val="3"/>
        <w:spacing w:before="260" w:after="140"/>
      </w:pPr>
      <w:r>
        <w:rPr>
          <w:b/>
          <w:bCs/>
          <w:color w:val="E8B84B"/>
          <w:sz w:val="24"/>
          <w:szCs w:val="24"/>
        </w:rPr>
        <w:t>What Changed in This Edition</w:t>
      </w:r>
    </w:p>
    <w:p w14:paraId="27AC29D5">
      <w:pPr>
        <w:pStyle w:val="16"/>
        <w:numPr>
          <w:ilvl w:val="0"/>
          <w:numId w:val="1"/>
        </w:numPr>
        <w:spacing w:after="90"/>
      </w:pPr>
      <w:r>
        <w:rPr>
          <w:color w:val="F1E4E9"/>
          <w:sz w:val="21"/>
          <w:szCs w:val="21"/>
        </w:rPr>
        <w:t>All ten data visualizations were rebuilt from scratch using a unified gradient color treatment, replacing the flat single-color charts in the original document.</w:t>
      </w:r>
    </w:p>
    <w:p w14:paraId="3965112F">
      <w:pPr>
        <w:pStyle w:val="16"/>
        <w:numPr>
          <w:ilvl w:val="0"/>
          <w:numId w:val="1"/>
        </w:numPr>
        <w:spacing w:after="90"/>
      </w:pPr>
      <w:r>
        <w:rPr>
          <w:color w:val="F1E4E9"/>
          <w:sz w:val="21"/>
          <w:szCs w:val="21"/>
        </w:rPr>
        <w:t>The cover was redesigned around a deep teal color scheme with an original cricket-ball illustration.</w:t>
      </w:r>
    </w:p>
    <w:p w14:paraId="2656001E">
      <w:pPr>
        <w:pStyle w:val="16"/>
        <w:numPr>
          <w:ilvl w:val="0"/>
          <w:numId w:val="1"/>
        </w:numPr>
        <w:spacing w:after="90"/>
      </w:pPr>
      <w:r>
        <w:rPr>
          <w:color w:val="F1E4E9"/>
          <w:sz w:val="21"/>
          <w:szCs w:val="21"/>
        </w:rPr>
        <w:t>Every interior page (2 through 30) now uses a berry-colored gradient background in place of the original plain white pages.</w:t>
      </w:r>
    </w:p>
    <w:p w14:paraId="688B1442">
      <w:pPr>
        <w:pStyle w:val="16"/>
        <w:numPr>
          <w:ilvl w:val="0"/>
          <w:numId w:val="1"/>
        </w:numPr>
        <w:spacing w:after="90"/>
      </w:pPr>
      <w:r>
        <w:rPr>
          <w:color w:val="F1E4E9"/>
          <w:sz w:val="21"/>
          <w:szCs w:val="21"/>
        </w:rPr>
        <w:t>No underlying figures were changed — this is a visual and structural redesign of the same analysis, not a new statistical study.</w:t>
      </w:r>
    </w:p>
    <w:p w14:paraId="5AA8097B">
      <w:r>
        <w:br w:type="page"/>
      </w:r>
    </w:p>
    <w:p w14:paraId="5E5AC588">
      <w:pPr>
        <w:pStyle w:val="2"/>
        <w:pBdr>
          <w:bottom w:val="single" w:color="E8B84B" w:sz="12" w:space="6"/>
        </w:pBdr>
        <w:spacing w:before="200" w:after="200"/>
      </w:pPr>
      <w:r>
        <w:rPr>
          <w:b/>
          <w:bCs/>
          <w:color w:val="FFFFFF"/>
          <w:sz w:val="30"/>
          <w:szCs w:val="30"/>
        </w:rPr>
        <w:t>Data Completeness</w:t>
      </w:r>
    </w:p>
    <w:p w14:paraId="742F1278">
      <w:pPr>
        <w:spacing w:after="180" w:line="300" w:lineRule="auto"/>
        <w:jc w:val="both"/>
      </w:pPr>
      <w:r>
        <w:rPr>
          <w:color w:val="F1E4E9"/>
          <w:sz w:val="21"/>
          <w:szCs w:val="21"/>
        </w:rPr>
        <w:t>Several columns in the dataset are sparsely populated by design, reflecting the event-specific nature of certain fields rather than data quality problems. Fields such as umpire, review_decision, team_reviewed, and review_batter are missing in over 277,000 of the 278,205 rows, indicating that review (DRS) data was rarely or inconsistently recorded across the dataset's history.</w:t>
      </w:r>
    </w:p>
    <w:p w14:paraId="5358E1E6">
      <w:pPr>
        <w:spacing w:after="180" w:line="300" w:lineRule="auto"/>
        <w:jc w:val="both"/>
      </w:pPr>
      <w:r>
        <w:rPr>
          <w:color w:val="F1E4E9"/>
          <w:sz w:val="21"/>
          <w:szCs w:val="21"/>
        </w:rPr>
        <w:t>Similarly, fielders, new_batter, player_out, and wicket_kind are populated only on deliveries where a relevant event — such as a wicket — actually occurred. High missing-value counts in these columns therefore correspond to normal, non-eventful deliveries rather than gaps in data quality, and should not be interpreted as incomplete records.</w:t>
      </w:r>
    </w:p>
    <w:p w14:paraId="5F733323">
      <w:pPr>
        <w:pStyle w:val="3"/>
        <w:spacing w:before="260" w:after="140"/>
      </w:pPr>
      <w:r>
        <w:rPr>
          <w:b/>
          <w:bCs/>
          <w:color w:val="E8B84B"/>
          <w:sz w:val="24"/>
          <w:szCs w:val="24"/>
        </w:rPr>
        <w:t>Key Points</w:t>
      </w:r>
    </w:p>
    <w:p w14:paraId="09147C56">
      <w:pPr>
        <w:pStyle w:val="16"/>
        <w:numPr>
          <w:ilvl w:val="0"/>
          <w:numId w:val="1"/>
        </w:numPr>
        <w:spacing w:after="90"/>
      </w:pPr>
      <w:r>
        <w:rPr>
          <w:color w:val="F1E4E9"/>
          <w:sz w:val="21"/>
          <w:szCs w:val="21"/>
        </w:rPr>
        <w:t>DRS-related fields (umpire, review_decision, team_reviewed, review_batter) are populated in fewer than 1,205 of 278,205 rows.</w:t>
      </w:r>
    </w:p>
    <w:p w14:paraId="64D502FF">
      <w:pPr>
        <w:pStyle w:val="16"/>
        <w:numPr>
          <w:ilvl w:val="0"/>
          <w:numId w:val="1"/>
        </w:numPr>
        <w:spacing w:after="90"/>
      </w:pPr>
      <w:r>
        <w:rPr>
          <w:color w:val="F1E4E9"/>
          <w:sz w:val="21"/>
          <w:szCs w:val="21"/>
        </w:rPr>
        <w:t>Event-specific fields (fielders, new_batter, player_out, wicket_kind) are populated only on wicket-taking deliveries, by design.</w:t>
      </w:r>
    </w:p>
    <w:p w14:paraId="2F94EE0B">
      <w:pPr>
        <w:pStyle w:val="16"/>
        <w:numPr>
          <w:ilvl w:val="0"/>
          <w:numId w:val="1"/>
        </w:numPr>
        <w:spacing w:after="90"/>
      </w:pPr>
      <w:r>
        <w:rPr>
          <w:color w:val="F1E4E9"/>
          <w:sz w:val="21"/>
          <w:szCs w:val="21"/>
        </w:rPr>
        <w:t>Venue names show minor inconsistencies across seasons (e.g., "Wankhede Stadium" vs. "Wankhede Stadium, Mumbai"), which affects venue-level aggregation.</w:t>
      </w:r>
    </w:p>
    <w:p w14:paraId="48CFBB6B">
      <w:pPr>
        <w:pStyle w:val="16"/>
        <w:numPr>
          <w:ilvl w:val="0"/>
          <w:numId w:val="1"/>
        </w:numPr>
        <w:spacing w:after="90"/>
      </w:pPr>
      <w:r>
        <w:rPr>
          <w:color w:val="F1E4E9"/>
          <w:sz w:val="21"/>
          <w:szCs w:val="21"/>
        </w:rPr>
        <w:t>Team names reflect historical franchise rebranding, meaning win totals for a current franchise name may not include wins recorded under a prior name in the same city/ownership lineage.</w:t>
      </w:r>
    </w:p>
    <w:p w14:paraId="215D8A9C">
      <w:r>
        <w:br w:type="page"/>
      </w:r>
    </w:p>
    <w:p w14:paraId="6CE1CD8D">
      <w:pPr>
        <w:pStyle w:val="2"/>
        <w:pBdr>
          <w:bottom w:val="single" w:color="E8B84B" w:sz="12" w:space="6"/>
        </w:pBdr>
        <w:spacing w:before="200" w:after="200"/>
      </w:pPr>
      <w:r>
        <w:rPr>
          <w:b/>
          <w:bCs/>
          <w:color w:val="FFFFFF"/>
          <w:sz w:val="30"/>
          <w:szCs w:val="30"/>
        </w:rPr>
        <w:t>Season Trends</w:t>
      </w:r>
    </w:p>
    <w:p w14:paraId="35DCBF63">
      <w:pPr>
        <w:spacing w:after="180" w:line="300" w:lineRule="auto"/>
        <w:jc w:val="both"/>
      </w:pPr>
      <w:r>
        <w:rPr>
          <w:color w:val="F1E4E9"/>
          <w:sz w:val="21"/>
          <w:szCs w:val="21"/>
        </w:rPr>
        <w:t>The number of matches played per season has grown over the dataset's 18-year history, broadly tracking the tournament's expansion. Early seasons from 2008 through 2010 featured between 57 and 60 matches, consistent with an 8-team league format. Matches per season jumped noticeably in 2011–2013 with the addition of new franchises, before settling back to a steady 59–60 matches per season for most of the 2014–2021 period.</w:t>
      </w:r>
    </w:p>
    <w:p w14:paraId="51DC7299">
      <w:pPr>
        <w:spacing w:after="180" w:line="300" w:lineRule="auto"/>
        <w:jc w:val="both"/>
      </w:pPr>
      <w:r>
        <w:rPr>
          <w:color w:val="F1E4E9"/>
          <w:sz w:val="21"/>
          <w:szCs w:val="21"/>
        </w:rPr>
        <w:t>From 2022 onward, the season length increased again to a consistent 70–76 matches per year, reflecting a further expansion of the franchise roster and a longer group stage. The chart below reads per-season values directly from the source report's season-by-season chart; exact figures are approximate where the source text gave only a range.</w:t>
      </w:r>
    </w:p>
    <w:p w14:paraId="3225654B">
      <w:pPr>
        <w:spacing w:before="120" w:after="60"/>
        <w:jc w:val="center"/>
      </w:pPr>
      <w:r>
        <w:drawing>
          <wp:inline distT="0" distB="0" distL="0" distR="0">
            <wp:extent cx="5715000" cy="3200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8"/>
                    <a:srcRect/>
                    <a:stretch>
                      <a:fillRect/>
                    </a:stretch>
                  </pic:blipFill>
                  <pic:spPr>
                    <a:xfrm>
                      <a:off x="0" y="0"/>
                      <a:ext cx="5715000" cy="3200400"/>
                    </a:xfrm>
                    <a:prstGeom prst="rect">
                      <a:avLst/>
                    </a:prstGeom>
                  </pic:spPr>
                </pic:pic>
              </a:graphicData>
            </a:graphic>
          </wp:inline>
        </w:drawing>
      </w:r>
    </w:p>
    <w:p w14:paraId="378DF88B">
      <w:pPr>
        <w:spacing w:before="90" w:after="260"/>
        <w:jc w:val="center"/>
      </w:pPr>
      <w:r>
        <w:rPr>
          <w:i/>
          <w:iCs/>
          <w:color w:val="C9AEB8"/>
          <w:sz w:val="18"/>
          <w:szCs w:val="18"/>
        </w:rPr>
        <w:t>Chart 1. Matches played per season, 2007/08–2025 (gradient line).</w:t>
      </w:r>
    </w:p>
    <w:p w14:paraId="288ADFBC">
      <w:r>
        <w:br w:type="page"/>
      </w:r>
    </w:p>
    <w:p w14:paraId="35163E34">
      <w:pPr>
        <w:pStyle w:val="2"/>
        <w:pBdr>
          <w:bottom w:val="single" w:color="E8B84B" w:sz="12" w:space="6"/>
        </w:pBdr>
        <w:spacing w:before="200" w:after="200"/>
      </w:pPr>
      <w:r>
        <w:rPr>
          <w:b/>
          <w:bCs/>
          <w:color w:val="FFFFFF"/>
          <w:sz w:val="30"/>
          <w:szCs w:val="30"/>
        </w:rPr>
        <w:t>Venue Trends</w:t>
      </w:r>
    </w:p>
    <w:p w14:paraId="5B2167F0">
      <w:pPr>
        <w:spacing w:after="180" w:line="300" w:lineRule="auto"/>
        <w:jc w:val="both"/>
      </w:pPr>
      <w:r>
        <w:rPr>
          <w:color w:val="F1E4E9"/>
          <w:sz w:val="21"/>
          <w:szCs w:val="21"/>
        </w:rPr>
        <w:t>Eden Gardens is the most frequently used ground in the dataset, hosting 77 matches, narrowly ahead of Wankhede Stadium at 73 matches. M Chinnaswamy Stadium (65 matches) and Feroz Shah Kotla (60 matches) round out the four most-used venues named explicitly in the source analysis, out of 59 unique venues across 38 cities recorded overall.</w:t>
      </w:r>
    </w:p>
    <w:p w14:paraId="2AB43FA5">
      <w:pPr>
        <w:spacing w:after="180" w:line="300" w:lineRule="auto"/>
        <w:jc w:val="both"/>
      </w:pPr>
      <w:r>
        <w:rPr>
          <w:color w:val="F1E4E9"/>
          <w:sz w:val="21"/>
          <w:szCs w:val="21"/>
        </w:rPr>
        <w:t>The source report also notes that some venues appear under slightly different name variants across seasons — for example, "Wankhede Stadium" and "Wankhede Stadium, Mumbai" — which the original analysis flags as likely inconsistent naming conventions in the source data rather than genuinely distinct grounds. Combined, Wankhede Stadium and its variant entries account for over 120 matches.</w:t>
      </w:r>
    </w:p>
    <w:p w14:paraId="2115DD34">
      <w:pPr>
        <w:spacing w:before="120" w:after="60"/>
        <w:jc w:val="center"/>
      </w:pPr>
      <w:r>
        <w:drawing>
          <wp:inline distT="0" distB="0" distL="0" distR="0">
            <wp:extent cx="5334000" cy="2914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9"/>
                    <a:srcRect/>
                    <a:stretch>
                      <a:fillRect/>
                    </a:stretch>
                  </pic:blipFill>
                  <pic:spPr>
                    <a:xfrm>
                      <a:off x="0" y="0"/>
                      <a:ext cx="5334000" cy="2914650"/>
                    </a:xfrm>
                    <a:prstGeom prst="rect">
                      <a:avLst/>
                    </a:prstGeom>
                  </pic:spPr>
                </pic:pic>
              </a:graphicData>
            </a:graphic>
          </wp:inline>
        </w:drawing>
      </w:r>
    </w:p>
    <w:p w14:paraId="5513280A">
      <w:pPr>
        <w:spacing w:before="90" w:after="260"/>
        <w:jc w:val="center"/>
      </w:pPr>
      <w:r>
        <w:rPr>
          <w:i/>
          <w:iCs/>
          <w:color w:val="C9AEB8"/>
          <w:sz w:val="18"/>
          <w:szCs w:val="18"/>
        </w:rPr>
        <w:t>Chart 2. Top four venues by matches hosted (gradient bar).</w:t>
      </w:r>
    </w:p>
    <w:p w14:paraId="4E401259">
      <w:r>
        <w:br w:type="page"/>
      </w:r>
    </w:p>
    <w:p w14:paraId="59B2DA84">
      <w:pPr>
        <w:pStyle w:val="2"/>
        <w:pBdr>
          <w:bottom w:val="single" w:color="E8B84B" w:sz="12" w:space="6"/>
        </w:pBdr>
        <w:spacing w:before="200" w:after="200"/>
      </w:pPr>
      <w:r>
        <w:rPr>
          <w:b/>
          <w:bCs/>
          <w:color w:val="FFFFFF"/>
          <w:sz w:val="30"/>
          <w:szCs w:val="30"/>
        </w:rPr>
        <w:t>Team Performance — Overview</w:t>
      </w:r>
    </w:p>
    <w:p w14:paraId="32511AA1">
      <w:pPr>
        <w:spacing w:after="180" w:line="300" w:lineRule="auto"/>
        <w:jc w:val="both"/>
      </w:pPr>
      <w:r>
        <w:rPr>
          <w:color w:val="F1E4E9"/>
          <w:sz w:val="21"/>
          <w:szCs w:val="21"/>
        </w:rPr>
        <w:t>Mumbai Indians recorded the highest number of match wins in the dataset with 151, ahead of Chennai Super Kings (142) and Kolkata Knight Riders (135). Royal Challengers Bangalore and Rajasthan Royals are tied for fourth place with 114 wins each. These figures reflect wins recorded directly in the match_won_by field and may include franchises under both their current and historical team names.</w:t>
      </w:r>
    </w:p>
    <w:p w14:paraId="1EC0FB8F">
      <w:pPr>
        <w:spacing w:after="180" w:line="300" w:lineRule="auto"/>
        <w:jc w:val="both"/>
      </w:pPr>
      <w:r>
        <w:rPr>
          <w:color w:val="F1E4E9"/>
          <w:sz w:val="21"/>
          <w:szCs w:val="21"/>
        </w:rPr>
        <w:t>Twenty-three matches in the dataset recorded "Unknown" as the winning team, meaning the win totals above do not sum to the full 1,169-match total. The two charts on the following pages present the complete top-12 win standings and the relative win share among the top five franchises.</w:t>
      </w:r>
    </w:p>
    <w:p w14:paraId="7414191E">
      <w:pPr>
        <w:pStyle w:val="3"/>
        <w:spacing w:before="260" w:after="140"/>
      </w:pPr>
      <w:r>
        <w:rPr>
          <w:b/>
          <w:bCs/>
          <w:color w:val="E8B84B"/>
          <w:sz w:val="24"/>
          <w:szCs w:val="24"/>
        </w:rPr>
        <w:t>Key Figures</w:t>
      </w:r>
    </w:p>
    <w:p w14:paraId="16E2038B">
      <w:pPr>
        <w:pStyle w:val="16"/>
        <w:numPr>
          <w:ilvl w:val="0"/>
          <w:numId w:val="1"/>
        </w:numPr>
        <w:spacing w:after="90"/>
      </w:pPr>
      <w:r>
        <w:rPr>
          <w:color w:val="F1E4E9"/>
          <w:sz w:val="21"/>
          <w:szCs w:val="21"/>
        </w:rPr>
        <w:t>Mumbai Indians: 151 match wins — the most of any team in the dataset.</w:t>
      </w:r>
    </w:p>
    <w:p w14:paraId="0CCB512D">
      <w:pPr>
        <w:pStyle w:val="16"/>
        <w:numPr>
          <w:ilvl w:val="0"/>
          <w:numId w:val="1"/>
        </w:numPr>
        <w:spacing w:after="90"/>
      </w:pPr>
      <w:r>
        <w:rPr>
          <w:color w:val="F1E4E9"/>
          <w:sz w:val="21"/>
          <w:szCs w:val="21"/>
        </w:rPr>
        <w:t>Chennai Super Kings: 142 match wins.</w:t>
      </w:r>
    </w:p>
    <w:p w14:paraId="564C12D7">
      <w:pPr>
        <w:pStyle w:val="16"/>
        <w:numPr>
          <w:ilvl w:val="0"/>
          <w:numId w:val="1"/>
        </w:numPr>
        <w:spacing w:after="90"/>
      </w:pPr>
      <w:r>
        <w:rPr>
          <w:color w:val="F1E4E9"/>
          <w:sz w:val="21"/>
          <w:szCs w:val="21"/>
        </w:rPr>
        <w:t>Kolkata Knight Riders: 135 match wins.</w:t>
      </w:r>
    </w:p>
    <w:p w14:paraId="342EACA2">
      <w:pPr>
        <w:pStyle w:val="16"/>
        <w:numPr>
          <w:ilvl w:val="0"/>
          <w:numId w:val="1"/>
        </w:numPr>
        <w:spacing w:after="90"/>
      </w:pPr>
      <w:r>
        <w:rPr>
          <w:color w:val="F1E4E9"/>
          <w:sz w:val="21"/>
          <w:szCs w:val="21"/>
        </w:rPr>
        <w:t>Royal Challengers Bangalore and Rajasthan Royals: 114 match wins each.</w:t>
      </w:r>
    </w:p>
    <w:p w14:paraId="733AFDE4">
      <w:pPr>
        <w:pStyle w:val="16"/>
        <w:numPr>
          <w:ilvl w:val="0"/>
          <w:numId w:val="1"/>
        </w:numPr>
        <w:spacing w:after="90"/>
      </w:pPr>
      <w:r>
        <w:rPr>
          <w:color w:val="F1E4E9"/>
          <w:sz w:val="21"/>
          <w:szCs w:val="21"/>
        </w:rPr>
        <w:t>23 matches recorded "Unknown" as the winning team.</w:t>
      </w:r>
    </w:p>
    <w:p w14:paraId="7625A0AA">
      <w:r>
        <w:br w:type="page"/>
      </w:r>
    </w:p>
    <w:p w14:paraId="0E37133B">
      <w:pPr>
        <w:pStyle w:val="2"/>
        <w:pBdr>
          <w:bottom w:val="single" w:color="E8B84B" w:sz="12" w:space="6"/>
        </w:pBdr>
        <w:spacing w:before="200" w:after="200"/>
      </w:pPr>
      <w:r>
        <w:rPr>
          <w:b/>
          <w:bCs/>
          <w:color w:val="FFFFFF"/>
          <w:sz w:val="30"/>
          <w:szCs w:val="30"/>
        </w:rPr>
        <w:t>Chart — Match Wins by Team (Top 12)</w:t>
      </w:r>
    </w:p>
    <w:p w14:paraId="3960616A">
      <w:pPr>
        <w:spacing w:before="120" w:after="60"/>
        <w:jc w:val="center"/>
      </w:pPr>
      <w:r>
        <w:drawing>
          <wp:inline distT="0" distB="0" distL="0" distR="0">
            <wp:extent cx="5715000" cy="3657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0"/>
                    <a:srcRect/>
                    <a:stretch>
                      <a:fillRect/>
                    </a:stretch>
                  </pic:blipFill>
                  <pic:spPr>
                    <a:xfrm>
                      <a:off x="0" y="0"/>
                      <a:ext cx="5715000" cy="3657600"/>
                    </a:xfrm>
                    <a:prstGeom prst="rect">
                      <a:avLst/>
                    </a:prstGeom>
                  </pic:spPr>
                </pic:pic>
              </a:graphicData>
            </a:graphic>
          </wp:inline>
        </w:drawing>
      </w:r>
    </w:p>
    <w:p w14:paraId="1A8366C2">
      <w:pPr>
        <w:spacing w:before="90" w:after="260"/>
        <w:jc w:val="center"/>
      </w:pPr>
      <w:r>
        <w:rPr>
          <w:i/>
          <w:iCs/>
          <w:color w:val="C9AEB8"/>
          <w:sz w:val="18"/>
          <w:szCs w:val="18"/>
        </w:rPr>
        <w:t>Chart 3. Match wins for the top 12 teams in the dataset (gradient horizontal bar). Win totals beyond the top five are approximate, read from the source report's chart.</w:t>
      </w:r>
    </w:p>
    <w:p w14:paraId="6166F45F">
      <w:pPr>
        <w:spacing w:after="180" w:line="300" w:lineRule="auto"/>
        <w:jc w:val="both"/>
      </w:pPr>
      <w:r>
        <w:rPr>
          <w:color w:val="F1E4E9"/>
          <w:sz w:val="21"/>
          <w:szCs w:val="21"/>
        </w:rPr>
        <w:t>The gap between the top three franchises and the rest of the field is substantial: Mumbai Indians, Chennai Super Kings, and Kolkata Knight Riders each exceed 130 wins, while the next tier of teams — Royal Challengers Bangalore, Rajasthan Royals, and Sunrisers Hyderabad — cluster in the 90–115 win range. The newest franchises, Gujarat Titans, Punjab Kings, and Lucknow Super Giants, naturally show fewer total wins, reflecting fewer seasons of competition rather than weaker performance per season.</w:t>
      </w:r>
    </w:p>
    <w:p w14:paraId="476F189D">
      <w:r>
        <w:br w:type="page"/>
      </w:r>
    </w:p>
    <w:p w14:paraId="3A6AF8C8">
      <w:pPr>
        <w:pStyle w:val="2"/>
        <w:pBdr>
          <w:bottom w:val="single" w:color="E8B84B" w:sz="12" w:space="6"/>
        </w:pBdr>
        <w:spacing w:before="200" w:after="200"/>
      </w:pPr>
      <w:r>
        <w:rPr>
          <w:b/>
          <w:bCs/>
          <w:color w:val="FFFFFF"/>
          <w:sz w:val="30"/>
          <w:szCs w:val="30"/>
        </w:rPr>
        <w:t>Chart — Win Share, Top 5 Teams</w:t>
      </w:r>
    </w:p>
    <w:p w14:paraId="19FC8171">
      <w:pPr>
        <w:spacing w:before="120" w:after="60"/>
        <w:jc w:val="center"/>
      </w:pPr>
      <w:r>
        <w:drawing>
          <wp:inline distT="0" distB="0" distL="0" distR="0">
            <wp:extent cx="5143500" cy="4114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1"/>
                    <a:srcRect/>
                    <a:stretch>
                      <a:fillRect/>
                    </a:stretch>
                  </pic:blipFill>
                  <pic:spPr>
                    <a:xfrm>
                      <a:off x="0" y="0"/>
                      <a:ext cx="5143500" cy="4114800"/>
                    </a:xfrm>
                    <a:prstGeom prst="rect">
                      <a:avLst/>
                    </a:prstGeom>
                  </pic:spPr>
                </pic:pic>
              </a:graphicData>
            </a:graphic>
          </wp:inline>
        </w:drawing>
      </w:r>
    </w:p>
    <w:p w14:paraId="79DBB111">
      <w:pPr>
        <w:spacing w:before="90" w:after="260"/>
        <w:jc w:val="center"/>
      </w:pPr>
      <w:r>
        <w:rPr>
          <w:i/>
          <w:iCs/>
          <w:color w:val="C9AEB8"/>
          <w:sz w:val="18"/>
          <w:szCs w:val="18"/>
        </w:rPr>
        <w:t>Chart 4. Share of combined wins among the top five franchises (gradient donut).</w:t>
      </w:r>
    </w:p>
    <w:p w14:paraId="38E1CA45">
      <w:pPr>
        <w:spacing w:after="180" w:line="300" w:lineRule="auto"/>
        <w:jc w:val="both"/>
      </w:pPr>
      <w:r>
        <w:rPr>
          <w:color w:val="F1E4E9"/>
          <w:sz w:val="21"/>
          <w:szCs w:val="21"/>
        </w:rPr>
        <w:t>Among just the five most successful franchises, Mumbai Indians account for 23.0% of their combined win total, with Chennai Super Kings close behind at 21.6%. Kolkata Knight Riders, Royal Challengers Bangalore, and Rajasthan Royals make up the remaining share in a relatively even three-way split, indicating that success at the top of the table has not been dominated by a single franchise across the tournament's full history.</w:t>
      </w:r>
    </w:p>
    <w:p w14:paraId="4402244B">
      <w:r>
        <w:br w:type="page"/>
      </w:r>
    </w:p>
    <w:p w14:paraId="38F857CF">
      <w:pPr>
        <w:pStyle w:val="2"/>
        <w:pBdr>
          <w:bottom w:val="single" w:color="E8B84B" w:sz="12" w:space="6"/>
        </w:pBdr>
        <w:spacing w:before="200" w:after="200"/>
      </w:pPr>
      <w:r>
        <w:rPr>
          <w:b/>
          <w:bCs/>
          <w:color w:val="FFFFFF"/>
          <w:sz w:val="30"/>
          <w:szCs w:val="30"/>
        </w:rPr>
        <w:t>Toss Analysis</w:t>
      </w:r>
    </w:p>
    <w:p w14:paraId="62F2CAFB">
      <w:pPr>
        <w:spacing w:after="180" w:line="300" w:lineRule="auto"/>
        <w:jc w:val="both"/>
      </w:pPr>
      <w:r>
        <w:rPr>
          <w:color w:val="F1E4E9"/>
          <w:sz w:val="21"/>
          <w:szCs w:val="21"/>
        </w:rPr>
        <w:t>Regarding the toss, teams elected to field first in 764 of 1,169 matches — about 65.4% — compared to 405 matches (34.6%) where the team batted first after winning the toss. This is a clear and consistent tactical preference for chasing across the matches recorded in the dataset.</w:t>
      </w:r>
    </w:p>
    <w:p w14:paraId="75A3ADCF">
      <w:pPr>
        <w:spacing w:before="120" w:after="60"/>
        <w:jc w:val="center"/>
      </w:pPr>
      <w:r>
        <w:drawing>
          <wp:inline distT="0" distB="0" distL="0" distR="0">
            <wp:extent cx="4762500" cy="3924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2"/>
                    <a:srcRect/>
                    <a:stretch>
                      <a:fillRect/>
                    </a:stretch>
                  </pic:blipFill>
                  <pic:spPr>
                    <a:xfrm>
                      <a:off x="0" y="0"/>
                      <a:ext cx="4762500" cy="3924300"/>
                    </a:xfrm>
                    <a:prstGeom prst="rect">
                      <a:avLst/>
                    </a:prstGeom>
                  </pic:spPr>
                </pic:pic>
              </a:graphicData>
            </a:graphic>
          </wp:inline>
        </w:drawing>
      </w:r>
    </w:p>
    <w:p w14:paraId="529DAEF2">
      <w:pPr>
        <w:spacing w:before="90" w:after="260"/>
        <w:jc w:val="center"/>
      </w:pPr>
      <w:r>
        <w:rPr>
          <w:i/>
          <w:iCs/>
          <w:color w:val="C9AEB8"/>
          <w:sz w:val="18"/>
          <w:szCs w:val="18"/>
        </w:rPr>
        <w:t>Chart 5. Toss decision distribution across all 1,169 matches (gradient donut).</w:t>
      </w:r>
    </w:p>
    <w:p w14:paraId="4CD19C4F">
      <w:pPr>
        <w:spacing w:after="180" w:line="300" w:lineRule="auto"/>
        <w:jc w:val="both"/>
      </w:pPr>
      <w:r>
        <w:rPr>
          <w:color w:val="F1E4E9"/>
          <w:sz w:val="21"/>
          <w:szCs w:val="21"/>
        </w:rPr>
        <w:t>A near two-to-one preference for fielding first suggests that, across the tournament's history, captains have generally valued knowing the target and batting with a clear run-rate objective over the traditional advantage of batting first on a fresh pitch. This pattern is consistent with the broader trend in modern T20 cricket toward chasing as the statistically preferred toss decision on most surfaces.</w:t>
      </w:r>
    </w:p>
    <w:p w14:paraId="4DC913E8">
      <w:r>
        <w:br w:type="page"/>
      </w:r>
    </w:p>
    <w:p w14:paraId="563F402D">
      <w:pPr>
        <w:pStyle w:val="2"/>
        <w:pBdr>
          <w:bottom w:val="single" w:color="E8B84B" w:sz="12" w:space="6"/>
        </w:pBdr>
        <w:spacing w:before="200" w:after="200"/>
      </w:pPr>
      <w:r>
        <w:rPr>
          <w:b/>
          <w:bCs/>
          <w:color w:val="FFFFFF"/>
          <w:sz w:val="30"/>
          <w:szCs w:val="30"/>
        </w:rPr>
        <w:t>Batting Performance — Overview</w:t>
      </w:r>
    </w:p>
    <w:p w14:paraId="203AEAD8">
      <w:pPr>
        <w:spacing w:after="180" w:line="300" w:lineRule="auto"/>
        <w:jc w:val="both"/>
      </w:pPr>
      <w:r>
        <w:rPr>
          <w:color w:val="F1E4E9"/>
          <w:sz w:val="21"/>
          <w:szCs w:val="21"/>
        </w:rPr>
        <w:t>Virat Kohli is the leading run-scorer in the dataset with 8,671 total runs, well ahead of Rohit Sharma (7,048 runs) and Shikhar Dhawan (6,769 runs). David Warner (6,567 runs) and Suresh Raina (5,536 runs) round out the top five. MS Dhoni, KL Rahul, AB de Villiers, Ajinkya Rahane, and Chris Gayle complete the top ten run-scorers, each accumulating between roughly 4,900 and 6,600 runs across the recorded matches.</w:t>
      </w:r>
    </w:p>
    <w:p w14:paraId="0FE023EE">
      <w:pPr>
        <w:spacing w:after="180" w:line="300" w:lineRule="auto"/>
        <w:jc w:val="both"/>
      </w:pPr>
      <w:r>
        <w:rPr>
          <w:color w:val="F1E4E9"/>
          <w:sz w:val="21"/>
          <w:szCs w:val="21"/>
        </w:rPr>
        <w:t>Separately, AB de Villiers received the most Player of the Match awards in the dataset with 25, followed by Chris Gayle (22) and Rohit Sharma (21). Virat Kohli and MS Dhoni also rank among the most frequently awarded players, with 19 and 18 awards respectively — notable given that Kohli's tally leads run-scoring by a wide margin but trails these players specifically in match-award count.</w:t>
      </w:r>
    </w:p>
    <w:p w14:paraId="62144B75">
      <w:pPr>
        <w:pStyle w:val="3"/>
        <w:spacing w:before="260" w:after="140"/>
      </w:pPr>
      <w:r>
        <w:rPr>
          <w:b/>
          <w:bCs/>
          <w:color w:val="E8B84B"/>
          <w:sz w:val="24"/>
          <w:szCs w:val="24"/>
        </w:rPr>
        <w:t>Key Figures</w:t>
      </w:r>
    </w:p>
    <w:p w14:paraId="404D8038">
      <w:pPr>
        <w:pStyle w:val="16"/>
        <w:numPr>
          <w:ilvl w:val="0"/>
          <w:numId w:val="1"/>
        </w:numPr>
        <w:spacing w:after="90"/>
      </w:pPr>
      <w:r>
        <w:rPr>
          <w:color w:val="F1E4E9"/>
          <w:sz w:val="21"/>
          <w:szCs w:val="21"/>
        </w:rPr>
        <w:t>V Kohli: 8,671 runs — the highest total in the dataset.</w:t>
      </w:r>
    </w:p>
    <w:p w14:paraId="1F25EE8B">
      <w:pPr>
        <w:pStyle w:val="16"/>
        <w:numPr>
          <w:ilvl w:val="0"/>
          <w:numId w:val="1"/>
        </w:numPr>
        <w:spacing w:after="90"/>
      </w:pPr>
      <w:r>
        <w:rPr>
          <w:color w:val="F1E4E9"/>
          <w:sz w:val="21"/>
          <w:szCs w:val="21"/>
        </w:rPr>
        <w:t>RG Sharma: 7,048 runs.</w:t>
      </w:r>
    </w:p>
    <w:p w14:paraId="19BE2874">
      <w:pPr>
        <w:pStyle w:val="16"/>
        <w:numPr>
          <w:ilvl w:val="0"/>
          <w:numId w:val="1"/>
        </w:numPr>
        <w:spacing w:after="90"/>
      </w:pPr>
      <w:r>
        <w:rPr>
          <w:color w:val="F1E4E9"/>
          <w:sz w:val="21"/>
          <w:szCs w:val="21"/>
        </w:rPr>
        <w:t>S Dhawan: 6,769 runs.</w:t>
      </w:r>
    </w:p>
    <w:p w14:paraId="17F9FF1C">
      <w:pPr>
        <w:pStyle w:val="16"/>
        <w:numPr>
          <w:ilvl w:val="0"/>
          <w:numId w:val="1"/>
        </w:numPr>
        <w:spacing w:after="90"/>
      </w:pPr>
      <w:r>
        <w:rPr>
          <w:color w:val="F1E4E9"/>
          <w:sz w:val="21"/>
          <w:szCs w:val="21"/>
        </w:rPr>
        <w:t>DA Warner: 6,567 runs.</w:t>
      </w:r>
    </w:p>
    <w:p w14:paraId="2D08F9C2">
      <w:pPr>
        <w:pStyle w:val="16"/>
        <w:numPr>
          <w:ilvl w:val="0"/>
          <w:numId w:val="1"/>
        </w:numPr>
        <w:spacing w:after="90"/>
      </w:pPr>
      <w:r>
        <w:rPr>
          <w:color w:val="F1E4E9"/>
          <w:sz w:val="21"/>
          <w:szCs w:val="21"/>
        </w:rPr>
        <w:t>SK Raina: 5,536 runs.</w:t>
      </w:r>
    </w:p>
    <w:p w14:paraId="27E864DC">
      <w:r>
        <w:br w:type="page"/>
      </w:r>
    </w:p>
    <w:p w14:paraId="76863E03">
      <w:pPr>
        <w:pStyle w:val="2"/>
        <w:pBdr>
          <w:bottom w:val="single" w:color="E8B84B" w:sz="12" w:space="6"/>
        </w:pBdr>
        <w:spacing w:before="200" w:after="200"/>
      </w:pPr>
      <w:r>
        <w:rPr>
          <w:b/>
          <w:bCs/>
          <w:color w:val="FFFFFF"/>
          <w:sz w:val="30"/>
          <w:szCs w:val="30"/>
        </w:rPr>
        <w:t>Chart — Top 10 Run Scorers</w:t>
      </w:r>
    </w:p>
    <w:p w14:paraId="10454F5A">
      <w:pPr>
        <w:spacing w:before="120" w:after="60"/>
        <w:jc w:val="center"/>
      </w:pPr>
      <w:r>
        <w:drawing>
          <wp:inline distT="0" distB="0" distL="0" distR="0">
            <wp:extent cx="5715000" cy="3657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3"/>
                    <a:srcRect/>
                    <a:stretch>
                      <a:fillRect/>
                    </a:stretch>
                  </pic:blipFill>
                  <pic:spPr>
                    <a:xfrm>
                      <a:off x="0" y="0"/>
                      <a:ext cx="5715000" cy="3657600"/>
                    </a:xfrm>
                    <a:prstGeom prst="rect">
                      <a:avLst/>
                    </a:prstGeom>
                  </pic:spPr>
                </pic:pic>
              </a:graphicData>
            </a:graphic>
          </wp:inline>
        </w:drawing>
      </w:r>
    </w:p>
    <w:p w14:paraId="1C8E2BE9">
      <w:pPr>
        <w:spacing w:before="90" w:after="260"/>
        <w:jc w:val="center"/>
      </w:pPr>
      <w:r>
        <w:rPr>
          <w:i/>
          <w:iCs/>
          <w:color w:val="C9AEB8"/>
          <w:sz w:val="18"/>
          <w:szCs w:val="18"/>
        </w:rPr>
        <w:t>Chart 6. Total runs scored by the top 10 batters in the dataset (gradient horizontal bar). Values beyond the top five are approximate, read from the source report's chart, consistent with its stated range of roughly 4,900–6,600 runs for the remaining places.</w:t>
      </w:r>
    </w:p>
    <w:p w14:paraId="55E90C34">
      <w:pPr>
        <w:spacing w:after="180" w:line="300" w:lineRule="auto"/>
        <w:jc w:val="both"/>
      </w:pPr>
      <w:r>
        <w:rPr>
          <w:color w:val="F1E4E9"/>
          <w:sz w:val="21"/>
          <w:szCs w:val="21"/>
        </w:rPr>
        <w:t>The top four run-scorers — Kohli, Sharma, Dhawan, and Warner — are all specialist top-order batters known for long IPL careers spanning a decade or more, which aligns with the cumulative nature of this metric: longevity across many seasons is as important to a high career total as any single standout season.</w:t>
      </w:r>
    </w:p>
    <w:p w14:paraId="42F700F1">
      <w:r>
        <w:br w:type="page"/>
      </w:r>
    </w:p>
    <w:p w14:paraId="38E50975">
      <w:pPr>
        <w:pStyle w:val="2"/>
        <w:pBdr>
          <w:bottom w:val="single" w:color="E8B84B" w:sz="12" w:space="6"/>
        </w:pBdr>
        <w:spacing w:before="200" w:after="200"/>
      </w:pPr>
      <w:r>
        <w:rPr>
          <w:b/>
          <w:bCs/>
          <w:color w:val="FFFFFF"/>
          <w:sz w:val="30"/>
          <w:szCs w:val="30"/>
        </w:rPr>
        <w:t>Chart — Player of the Match Awards</w:t>
      </w:r>
    </w:p>
    <w:p w14:paraId="4B34904A">
      <w:pPr>
        <w:spacing w:before="120" w:after="60"/>
        <w:jc w:val="center"/>
      </w:pPr>
      <w:r>
        <w:drawing>
          <wp:inline distT="0" distB="0" distL="0" distR="0">
            <wp:extent cx="5334000" cy="29146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4"/>
                    <a:srcRect/>
                    <a:stretch>
                      <a:fillRect/>
                    </a:stretch>
                  </pic:blipFill>
                  <pic:spPr>
                    <a:xfrm>
                      <a:off x="0" y="0"/>
                      <a:ext cx="5334000" cy="2914650"/>
                    </a:xfrm>
                    <a:prstGeom prst="rect">
                      <a:avLst/>
                    </a:prstGeom>
                  </pic:spPr>
                </pic:pic>
              </a:graphicData>
            </a:graphic>
          </wp:inline>
        </w:drawing>
      </w:r>
    </w:p>
    <w:p w14:paraId="5F9DA73C">
      <w:pPr>
        <w:spacing w:before="90" w:after="260"/>
        <w:jc w:val="center"/>
      </w:pPr>
      <w:r>
        <w:rPr>
          <w:i/>
          <w:iCs/>
          <w:color w:val="C9AEB8"/>
          <w:sz w:val="18"/>
          <w:szCs w:val="18"/>
        </w:rPr>
        <w:t>Chart 7. Player of the Match awards for the top five most-awarded players (gradient horizontal bar).</w:t>
      </w:r>
    </w:p>
    <w:p w14:paraId="75838B23">
      <w:pPr>
        <w:spacing w:after="180" w:line="300" w:lineRule="auto"/>
        <w:jc w:val="both"/>
      </w:pPr>
      <w:r>
        <w:rPr>
          <w:color w:val="F1E4E9"/>
          <w:sz w:val="21"/>
          <w:szCs w:val="21"/>
        </w:rPr>
        <w:t>AB de Villiers' 25 awards against a career total below the very top run-scorers suggests a pattern of high-impact, match-defining innings rather than sheer run accumulation. Chris Gayle's 22 awards likely reflect a similar pattern, consistent with his reputation as one of the format's most explosive opening batters.</w:t>
      </w:r>
    </w:p>
    <w:p w14:paraId="49C25043">
      <w:r>
        <w:br w:type="page"/>
      </w:r>
    </w:p>
    <w:p w14:paraId="05D0207B">
      <w:pPr>
        <w:pStyle w:val="2"/>
        <w:pBdr>
          <w:bottom w:val="single" w:color="E8B84B" w:sz="12" w:space="6"/>
        </w:pBdr>
        <w:spacing w:before="200" w:after="200"/>
      </w:pPr>
      <w:r>
        <w:rPr>
          <w:b/>
          <w:bCs/>
          <w:color w:val="FFFFFF"/>
          <w:sz w:val="30"/>
          <w:szCs w:val="30"/>
        </w:rPr>
        <w:t>Bowling Performance</w:t>
      </w:r>
    </w:p>
    <w:p w14:paraId="66E0B2FC">
      <w:pPr>
        <w:spacing w:after="180" w:line="300" w:lineRule="auto"/>
        <w:jc w:val="both"/>
      </w:pPr>
      <w:r>
        <w:rPr>
          <w:color w:val="F1E4E9"/>
          <w:sz w:val="21"/>
          <w:szCs w:val="21"/>
        </w:rPr>
        <w:t>Yuzvendra Chahal leads all bowlers in total wickets taken with 221, followed by Bhuvneshwar Kumar (198) and a tie between Sunil Narine and Piyush Chawla at 192 wickets each. Ravichandran Ashwin (187) and Jasprit Bumrah (186) follow closely behind. Dwayne Bravo, Amit Mishra, Ravindra Jadeja, and Lasith Malinga complete the top ten wicket-takers in the dataset.</w:t>
      </w:r>
    </w:p>
    <w:p w14:paraId="02EC6151">
      <w:pPr>
        <w:spacing w:after="180" w:line="300" w:lineRule="auto"/>
        <w:jc w:val="both"/>
      </w:pPr>
      <w:r>
        <w:rPr>
          <w:color w:val="F1E4E9"/>
          <w:sz w:val="21"/>
          <w:szCs w:val="21"/>
        </w:rPr>
        <w:t>Notably, the top wicket-takers list is dominated by specialist spin bowlers (Chahal, Narine, Chawla, Ashwin, Mishra, Jadeja) alongside a smaller number of frontline pace bowlers (Kumar, Bumrah, Bravo, Malinga), reflecting the historically significant role of spin bowling in IPL conditions, particularly in the middle overs.</w:t>
      </w:r>
    </w:p>
    <w:p w14:paraId="596C93B7">
      <w:pPr>
        <w:pStyle w:val="3"/>
        <w:spacing w:before="260" w:after="140"/>
      </w:pPr>
      <w:r>
        <w:rPr>
          <w:b/>
          <w:bCs/>
          <w:color w:val="E8B84B"/>
          <w:sz w:val="24"/>
          <w:szCs w:val="24"/>
        </w:rPr>
        <w:t>Key Figures</w:t>
      </w:r>
    </w:p>
    <w:p w14:paraId="601A843A">
      <w:pPr>
        <w:pStyle w:val="16"/>
        <w:numPr>
          <w:ilvl w:val="0"/>
          <w:numId w:val="1"/>
        </w:numPr>
        <w:spacing w:after="90"/>
      </w:pPr>
      <w:r>
        <w:rPr>
          <w:color w:val="F1E4E9"/>
          <w:sz w:val="21"/>
          <w:szCs w:val="21"/>
        </w:rPr>
        <w:t>YS Chahal: 221 wickets — the most of any bowler in the dataset.</w:t>
      </w:r>
    </w:p>
    <w:p w14:paraId="140250B5">
      <w:pPr>
        <w:pStyle w:val="16"/>
        <w:numPr>
          <w:ilvl w:val="0"/>
          <w:numId w:val="1"/>
        </w:numPr>
        <w:spacing w:after="90"/>
      </w:pPr>
      <w:r>
        <w:rPr>
          <w:color w:val="F1E4E9"/>
          <w:sz w:val="21"/>
          <w:szCs w:val="21"/>
        </w:rPr>
        <w:t>B Kumar: 198 wickets.</w:t>
      </w:r>
    </w:p>
    <w:p w14:paraId="299F552E">
      <w:pPr>
        <w:pStyle w:val="16"/>
        <w:numPr>
          <w:ilvl w:val="0"/>
          <w:numId w:val="1"/>
        </w:numPr>
        <w:spacing w:after="90"/>
      </w:pPr>
      <w:r>
        <w:rPr>
          <w:color w:val="F1E4E9"/>
          <w:sz w:val="21"/>
          <w:szCs w:val="21"/>
        </w:rPr>
        <w:t>SP Narine and PP Chawla: 192 wickets each.</w:t>
      </w:r>
    </w:p>
    <w:p w14:paraId="6CAE038F">
      <w:pPr>
        <w:pStyle w:val="16"/>
        <w:numPr>
          <w:ilvl w:val="0"/>
          <w:numId w:val="1"/>
        </w:numPr>
        <w:spacing w:after="90"/>
      </w:pPr>
      <w:r>
        <w:rPr>
          <w:color w:val="F1E4E9"/>
          <w:sz w:val="21"/>
          <w:szCs w:val="21"/>
        </w:rPr>
        <w:t>R Ashwin: 187 wickets.</w:t>
      </w:r>
    </w:p>
    <w:p w14:paraId="799BF828">
      <w:pPr>
        <w:pStyle w:val="16"/>
        <w:numPr>
          <w:ilvl w:val="0"/>
          <w:numId w:val="1"/>
        </w:numPr>
        <w:spacing w:after="90"/>
      </w:pPr>
      <w:r>
        <w:rPr>
          <w:color w:val="F1E4E9"/>
          <w:sz w:val="21"/>
          <w:szCs w:val="21"/>
        </w:rPr>
        <w:t>JJ Bumrah: 186 wickets.</w:t>
      </w:r>
    </w:p>
    <w:p w14:paraId="430A4838">
      <w:r>
        <w:br w:type="page"/>
      </w:r>
    </w:p>
    <w:p w14:paraId="0DBD7760">
      <w:pPr>
        <w:pStyle w:val="2"/>
        <w:pBdr>
          <w:bottom w:val="single" w:color="E8B84B" w:sz="12" w:space="6"/>
        </w:pBdr>
        <w:spacing w:before="200" w:after="200"/>
      </w:pPr>
      <w:r>
        <w:rPr>
          <w:b/>
          <w:bCs/>
          <w:color w:val="FFFFFF"/>
          <w:sz w:val="30"/>
          <w:szCs w:val="30"/>
        </w:rPr>
        <w:t>Chart — Top 10 Wicket Takers</w:t>
      </w:r>
    </w:p>
    <w:p w14:paraId="054A2D54">
      <w:pPr>
        <w:spacing w:before="120" w:after="60"/>
        <w:jc w:val="center"/>
      </w:pPr>
      <w:r>
        <w:drawing>
          <wp:inline distT="0" distB="0" distL="0" distR="0">
            <wp:extent cx="5715000" cy="3657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5"/>
                    <a:srcRect/>
                    <a:stretch>
                      <a:fillRect/>
                    </a:stretch>
                  </pic:blipFill>
                  <pic:spPr>
                    <a:xfrm>
                      <a:off x="0" y="0"/>
                      <a:ext cx="5715000" cy="3657600"/>
                    </a:xfrm>
                    <a:prstGeom prst="rect">
                      <a:avLst/>
                    </a:prstGeom>
                  </pic:spPr>
                </pic:pic>
              </a:graphicData>
            </a:graphic>
          </wp:inline>
        </w:drawing>
      </w:r>
    </w:p>
    <w:p w14:paraId="639C1DA3">
      <w:pPr>
        <w:spacing w:before="90" w:after="260"/>
        <w:jc w:val="center"/>
      </w:pPr>
      <w:r>
        <w:rPr>
          <w:i/>
          <w:iCs/>
          <w:color w:val="C9AEB8"/>
          <w:sz w:val="18"/>
          <w:szCs w:val="18"/>
        </w:rPr>
        <w:t>Chart 8. Total wickets taken by the top 10 bowlers in the dataset (gradient horizontal bar). Values beyond the top six are approximate, read from the source report's chart.</w:t>
      </w:r>
    </w:p>
    <w:p w14:paraId="7D2E1141">
      <w:pPr>
        <w:spacing w:after="180" w:line="300" w:lineRule="auto"/>
        <w:jc w:val="both"/>
      </w:pPr>
      <w:r>
        <w:rPr>
          <w:color w:val="F1E4E9"/>
          <w:sz w:val="21"/>
          <w:szCs w:val="21"/>
        </w:rPr>
        <w:t>The relatively tight spread between third and tenth place (170–192 wickets) contrasts with the larger gap separating Chahal at the top (221) from the rest of the field, suggesting Chahal's tally represents a standout career total even among the format's most successful specialist bowlers.</w:t>
      </w:r>
    </w:p>
    <w:p w14:paraId="04F04BFD">
      <w:r>
        <w:br w:type="page"/>
      </w:r>
    </w:p>
    <w:p w14:paraId="5CD779BF">
      <w:pPr>
        <w:pStyle w:val="2"/>
        <w:pBdr>
          <w:bottom w:val="single" w:color="E8B84B" w:sz="12" w:space="6"/>
        </w:pBdr>
        <w:spacing w:before="200" w:after="200"/>
      </w:pPr>
      <w:r>
        <w:rPr>
          <w:b/>
          <w:bCs/>
          <w:color w:val="FFFFFF"/>
          <w:sz w:val="30"/>
          <w:szCs w:val="30"/>
        </w:rPr>
        <w:t>Dismissal Analysis</w:t>
      </w:r>
    </w:p>
    <w:p w14:paraId="753F1501">
      <w:pPr>
        <w:spacing w:after="180" w:line="300" w:lineRule="auto"/>
        <w:jc w:val="both"/>
      </w:pPr>
      <w:r>
        <w:rPr>
          <w:color w:val="F1E4E9"/>
          <w:sz w:val="21"/>
          <w:szCs w:val="21"/>
        </w:rPr>
        <w:t>Examining how wickets were taken, "caught" is by far the most common dismissal type, accounting for 8,665 instances — more than three and a half times the next most common type. "Bowled" follows with 2,345 dismissals, then "run out" (1,153) and "lbw" (853). Less frequent dismissal types include "caught and bowled" (388), "stumped" (376), "hit wicket" (18), "retired hurt" (17), "retired out" (5), and "obstructing the field" (3).</w:t>
      </w:r>
    </w:p>
    <w:p w14:paraId="770C32DE">
      <w:pPr>
        <w:spacing w:before="120" w:after="60"/>
        <w:jc w:val="center"/>
      </w:pPr>
      <w:r>
        <w:drawing>
          <wp:inline distT="0" distB="0" distL="0" distR="0">
            <wp:extent cx="5715000" cy="3429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6"/>
                    <a:srcRect/>
                    <a:stretch>
                      <a:fillRect/>
                    </a:stretch>
                  </pic:blipFill>
                  <pic:spPr>
                    <a:xfrm>
                      <a:off x="0" y="0"/>
                      <a:ext cx="5715000" cy="3429000"/>
                    </a:xfrm>
                    <a:prstGeom prst="rect">
                      <a:avLst/>
                    </a:prstGeom>
                  </pic:spPr>
                </pic:pic>
              </a:graphicData>
            </a:graphic>
          </wp:inline>
        </w:drawing>
      </w:r>
    </w:p>
    <w:p w14:paraId="47BB99D0">
      <w:pPr>
        <w:spacing w:before="90" w:after="260"/>
        <w:jc w:val="center"/>
      </w:pPr>
      <w:r>
        <w:rPr>
          <w:i/>
          <w:iCs/>
          <w:color w:val="C9AEB8"/>
          <w:sz w:val="18"/>
          <w:szCs w:val="18"/>
        </w:rPr>
        <w:t>Chart 9. Full dismissal kind distribution across all recorded wickets (gradient horizontal bar).</w:t>
      </w:r>
    </w:p>
    <w:p w14:paraId="5329774A">
      <w:pPr>
        <w:spacing w:after="180" w:line="300" w:lineRule="auto"/>
        <w:jc w:val="both"/>
      </w:pPr>
      <w:r>
        <w:rPr>
          <w:color w:val="F1E4E9"/>
          <w:sz w:val="21"/>
          <w:szCs w:val="21"/>
        </w:rPr>
        <w:t>The overwhelming share of catches is consistent with T20 cricket's attacking batting approach, where aggressive shot-making against fielding sides packed with close catchers produces far more catches relative to bowled or lbw dismissals than in longer formats of the game.</w:t>
      </w:r>
    </w:p>
    <w:p w14:paraId="4F7149CD">
      <w:r>
        <w:br w:type="page"/>
      </w:r>
    </w:p>
    <w:p w14:paraId="5DB54966">
      <w:pPr>
        <w:pStyle w:val="2"/>
        <w:pBdr>
          <w:bottom w:val="single" w:color="E8B84B" w:sz="12" w:space="6"/>
        </w:pBdr>
        <w:spacing w:before="200" w:after="200"/>
      </w:pPr>
      <w:r>
        <w:rPr>
          <w:b/>
          <w:bCs/>
          <w:color w:val="FFFFFF"/>
          <w:sz w:val="30"/>
          <w:szCs w:val="30"/>
        </w:rPr>
        <w:t>Extras Analysis</w:t>
      </w:r>
    </w:p>
    <w:p w14:paraId="1EDAC0EB">
      <w:pPr>
        <w:spacing w:after="180" w:line="300" w:lineRule="auto"/>
        <w:jc w:val="both"/>
      </w:pPr>
      <w:r>
        <w:rPr>
          <w:color w:val="F1E4E9"/>
          <w:sz w:val="21"/>
          <w:szCs w:val="21"/>
        </w:rPr>
        <w:t>Among recorded extras, wides are the most frequent by a wide margin at 9,079 instances, followed by leg byes (4,203), no balls (1,136), and byes (686). A small number of deliveries recorded combined extra types, such as "byes, noballs" (15 instances) and "legbyes, noballs" (12 instances), reflecting rare compound scoring events on a single delivery.</w:t>
      </w:r>
    </w:p>
    <w:p w14:paraId="7260DB33">
      <w:pPr>
        <w:spacing w:before="120" w:after="60"/>
        <w:jc w:val="center"/>
      </w:pPr>
      <w:r>
        <w:drawing>
          <wp:inline distT="0" distB="0" distL="0" distR="0">
            <wp:extent cx="5715000" cy="2971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7"/>
                    <a:srcRect/>
                    <a:stretch>
                      <a:fillRect/>
                    </a:stretch>
                  </pic:blipFill>
                  <pic:spPr>
                    <a:xfrm>
                      <a:off x="0" y="0"/>
                      <a:ext cx="5715000" cy="2971800"/>
                    </a:xfrm>
                    <a:prstGeom prst="rect">
                      <a:avLst/>
                    </a:prstGeom>
                  </pic:spPr>
                </pic:pic>
              </a:graphicData>
            </a:graphic>
          </wp:inline>
        </w:drawing>
      </w:r>
    </w:p>
    <w:p w14:paraId="034A22F8">
      <w:pPr>
        <w:spacing w:before="90" w:after="260"/>
        <w:jc w:val="center"/>
      </w:pPr>
      <w:r>
        <w:rPr>
          <w:i/>
          <w:iCs/>
          <w:color w:val="C9AEB8"/>
          <w:sz w:val="18"/>
          <w:szCs w:val="18"/>
        </w:rPr>
        <w:t>Chart 10. Extras type distribution across the full dataset (gradient horizontal bar).</w:t>
      </w:r>
    </w:p>
    <w:p w14:paraId="1654343A">
      <w:pPr>
        <w:spacing w:after="180" w:line="300" w:lineRule="auto"/>
        <w:jc w:val="both"/>
      </w:pPr>
      <w:r>
        <w:rPr>
          <w:color w:val="F1E4E9"/>
          <w:sz w:val="21"/>
          <w:szCs w:val="21"/>
        </w:rPr>
        <w:t>The dominance of wides over no balls (roughly 8-to-1) is a familiar pattern in T20 cricket, where bowlers are frequently penalized for width and height restrictions designed to limit defensive bowling, while the no-ball rate stays comparatively low as a share of all deliveries bowled.</w:t>
      </w:r>
    </w:p>
    <w:p w14:paraId="2BB80789">
      <w:r>
        <w:br w:type="page"/>
      </w:r>
    </w:p>
    <w:p w14:paraId="7B38A5F4">
      <w:pPr>
        <w:pStyle w:val="2"/>
        <w:pBdr>
          <w:bottom w:val="single" w:color="E8B84B" w:sz="12" w:space="6"/>
        </w:pBdr>
        <w:spacing w:before="200" w:after="200"/>
      </w:pPr>
      <w:r>
        <w:rPr>
          <w:b/>
          <w:bCs/>
          <w:color w:val="FFFFFF"/>
          <w:sz w:val="30"/>
          <w:szCs w:val="30"/>
        </w:rPr>
        <w:t>Cross-Cutting Observations</w:t>
      </w:r>
    </w:p>
    <w:p w14:paraId="49AF70B4">
      <w:pPr>
        <w:spacing w:after="180" w:line="300" w:lineRule="auto"/>
        <w:jc w:val="both"/>
      </w:pPr>
      <w:r>
        <w:rPr>
          <w:color w:val="F1E4E9"/>
          <w:sz w:val="21"/>
          <w:szCs w:val="21"/>
        </w:rPr>
        <w:t>Several patterns in this dataset connect across sections. The strong preference for fielding first (65.4% of tosses) aligns with the historical trend of T20 cricket favoring chasing sides, and may partly explain why teams with strong death-bowling attacks — such as Mumbai Indians, historically built around top-tier fast bowling — have accumulated some of the highest win totals in the dataset.</w:t>
      </w:r>
    </w:p>
    <w:p w14:paraId="12555CCE">
      <w:pPr>
        <w:spacing w:after="180" w:line="300" w:lineRule="auto"/>
        <w:jc w:val="both"/>
      </w:pPr>
      <w:r>
        <w:rPr>
          <w:color w:val="F1E4E9"/>
          <w:sz w:val="21"/>
          <w:szCs w:val="21"/>
        </w:rPr>
        <w:t>Similarly, the dominance of specialist spinners among the top wicket-takers (Chahal, Narine, Chawla, Ashwin, Mishra, Jadeja) suggests that middle-overs spin bowling has been a disproportionately significant route to wicket-taking success across IPL history, even though pace bowlers dominate the powerplay and death-overs phases of a T20 innings.</w:t>
      </w:r>
    </w:p>
    <w:p w14:paraId="7C4246BA">
      <w:pPr>
        <w:spacing w:after="180" w:line="300" w:lineRule="auto"/>
        <w:jc w:val="both"/>
      </w:pPr>
      <w:r>
        <w:rPr>
          <w:color w:val="F1E4E9"/>
          <w:sz w:val="21"/>
          <w:szCs w:val="21"/>
        </w:rPr>
        <w:t>The batting leaderboard is dominated by top-order batters with long IPL careers, reinforcing that cumulative statistics such as total runs and total wickets reward longevity and consistency across many seasons as much as any single standout campaign.</w:t>
      </w:r>
    </w:p>
    <w:p w14:paraId="4B465716">
      <w:r>
        <w:br w:type="page"/>
      </w:r>
    </w:p>
    <w:p w14:paraId="0B085790">
      <w:pPr>
        <w:pStyle w:val="2"/>
        <w:pBdr>
          <w:bottom w:val="single" w:color="E8B84B" w:sz="12" w:space="6"/>
        </w:pBdr>
        <w:spacing w:before="200" w:after="200"/>
      </w:pPr>
      <w:r>
        <w:rPr>
          <w:b/>
          <w:bCs/>
          <w:color w:val="FFFFFF"/>
          <w:sz w:val="30"/>
          <w:szCs w:val="30"/>
        </w:rPr>
        <w:t>Key Findings</w:t>
      </w:r>
    </w:p>
    <w:p w14:paraId="47FF9D58">
      <w:pPr>
        <w:pStyle w:val="16"/>
        <w:numPr>
          <w:ilvl w:val="0"/>
          <w:numId w:val="1"/>
        </w:numPr>
        <w:spacing w:after="90"/>
      </w:pPr>
      <w:r>
        <w:rPr>
          <w:color w:val="F1E4E9"/>
          <w:sz w:val="21"/>
          <w:szCs w:val="21"/>
        </w:rPr>
        <w:t>The dataset spans 18 seasons (2007/08–2025), recording 278,205 deliveries across 1,169 matches at 59 venues in 38 cities.</w:t>
      </w:r>
    </w:p>
    <w:p w14:paraId="789A079B">
      <w:pPr>
        <w:pStyle w:val="16"/>
        <w:numPr>
          <w:ilvl w:val="0"/>
          <w:numId w:val="1"/>
        </w:numPr>
        <w:spacing w:after="90"/>
      </w:pPr>
      <w:r>
        <w:rPr>
          <w:color w:val="F1E4E9"/>
          <w:sz w:val="21"/>
          <w:szCs w:val="21"/>
        </w:rPr>
        <w:t>Mumbai Indians are the most successful franchise by match wins (151), ahead of Chennai Super Kings (142) and Kolkata Knight Riders (135).</w:t>
      </w:r>
    </w:p>
    <w:p w14:paraId="0B753B00">
      <w:pPr>
        <w:pStyle w:val="16"/>
        <w:numPr>
          <w:ilvl w:val="0"/>
          <w:numId w:val="1"/>
        </w:numPr>
        <w:spacing w:after="90"/>
      </w:pPr>
      <w:r>
        <w:rPr>
          <w:color w:val="F1E4E9"/>
          <w:sz w:val="21"/>
          <w:szCs w:val="21"/>
        </w:rPr>
        <w:t>Teams have a clear tactical preference for fielding first after winning the toss (65.4% of matches).</w:t>
      </w:r>
    </w:p>
    <w:p w14:paraId="6C9BC7B6">
      <w:pPr>
        <w:pStyle w:val="16"/>
        <w:numPr>
          <w:ilvl w:val="0"/>
          <w:numId w:val="1"/>
        </w:numPr>
        <w:spacing w:after="90"/>
      </w:pPr>
      <w:r>
        <w:rPr>
          <w:color w:val="F1E4E9"/>
          <w:sz w:val="21"/>
          <w:szCs w:val="21"/>
        </w:rPr>
        <w:t>Virat Kohli is the tournament's leading run-scorer (8,671 runs); Yuzvendra Chahal is the leading wicket-taker (221 wickets).</w:t>
      </w:r>
    </w:p>
    <w:p w14:paraId="65B955B9">
      <w:pPr>
        <w:pStyle w:val="16"/>
        <w:numPr>
          <w:ilvl w:val="0"/>
          <w:numId w:val="1"/>
        </w:numPr>
        <w:spacing w:after="90"/>
      </w:pPr>
      <w:r>
        <w:rPr>
          <w:color w:val="F1E4E9"/>
          <w:sz w:val="21"/>
          <w:szCs w:val="21"/>
        </w:rPr>
        <w:t>AB de Villiers holds the most Player of the Match awards (25), ahead of Chris Gayle (22) and Rohit Sharma (21).</w:t>
      </w:r>
    </w:p>
    <w:p w14:paraId="0F07003D">
      <w:pPr>
        <w:pStyle w:val="16"/>
        <w:numPr>
          <w:ilvl w:val="0"/>
          <w:numId w:val="1"/>
        </w:numPr>
        <w:spacing w:after="90"/>
      </w:pPr>
      <w:r>
        <w:rPr>
          <w:color w:val="F1E4E9"/>
          <w:sz w:val="21"/>
          <w:szCs w:val="21"/>
        </w:rPr>
        <w:t>Catches account for the large majority of dismissals (8,665 of roughly 13,823 total wickets, or about 63%), consistent with T20 cricket's attacking batting style.</w:t>
      </w:r>
    </w:p>
    <w:p w14:paraId="60E7C1F2">
      <w:pPr>
        <w:pStyle w:val="16"/>
        <w:numPr>
          <w:ilvl w:val="0"/>
          <w:numId w:val="1"/>
        </w:numPr>
        <w:spacing w:after="90"/>
      </w:pPr>
      <w:r>
        <w:rPr>
          <w:color w:val="F1E4E9"/>
          <w:sz w:val="21"/>
          <w:szCs w:val="21"/>
        </w:rPr>
        <w:t>Wides are by far the most common extra type (9,079 instances), roughly double the combined total of leg byes, no balls, and byes.</w:t>
      </w:r>
    </w:p>
    <w:p w14:paraId="5D159BCE">
      <w:pPr>
        <w:pStyle w:val="16"/>
        <w:numPr>
          <w:ilvl w:val="0"/>
          <w:numId w:val="1"/>
        </w:numPr>
        <w:spacing w:after="90"/>
      </w:pPr>
      <w:r>
        <w:rPr>
          <w:color w:val="F1E4E9"/>
          <w:sz w:val="21"/>
          <w:szCs w:val="21"/>
        </w:rPr>
        <w:t>Matches per season have grown from 57–60 in the earliest seasons to 70–76 in the most recent seasons, reflecting tournament expansion.</w:t>
      </w:r>
    </w:p>
    <w:p w14:paraId="77C9351D">
      <w:r>
        <w:br w:type="page"/>
      </w:r>
    </w:p>
    <w:p w14:paraId="5BE9B2DD">
      <w:pPr>
        <w:pStyle w:val="2"/>
        <w:pBdr>
          <w:bottom w:val="single" w:color="E8B84B" w:sz="12" w:space="6"/>
        </w:pBdr>
        <w:spacing w:before="200" w:after="200"/>
      </w:pPr>
      <w:r>
        <w:rPr>
          <w:b/>
          <w:bCs/>
          <w:color w:val="FFFFFF"/>
          <w:sz w:val="30"/>
          <w:szCs w:val="30"/>
        </w:rPr>
        <w:t>Data Quality &amp; Limitations</w:t>
      </w:r>
    </w:p>
    <w:p w14:paraId="0CC02C4A">
      <w:pPr>
        <w:pStyle w:val="16"/>
        <w:numPr>
          <w:ilvl w:val="0"/>
          <w:numId w:val="1"/>
        </w:numPr>
        <w:spacing w:after="90"/>
      </w:pPr>
      <w:r>
        <w:rPr>
          <w:color w:val="F1E4E9"/>
          <w:sz w:val="21"/>
          <w:szCs w:val="21"/>
        </w:rPr>
        <w:t>This report is a redesign of a prior analysis document and does not have direct access to the underlying 278,205-row ball-by-ball dataset; all figures reproduce what was stated or charted in that prior report.</w:t>
      </w:r>
    </w:p>
    <w:p w14:paraId="23DAF832">
      <w:pPr>
        <w:pStyle w:val="16"/>
        <w:numPr>
          <w:ilvl w:val="0"/>
          <w:numId w:val="1"/>
        </w:numPr>
        <w:spacing w:after="90"/>
      </w:pPr>
      <w:r>
        <w:rPr>
          <w:color w:val="F1E4E9"/>
          <w:sz w:val="21"/>
          <w:szCs w:val="21"/>
        </w:rPr>
        <w:t>Per-season match counts and win totals beyond the top five or six ranked entries were read visually from source charts rather than sourced from an exact stated figure, and are labeled as approximate throughout this report.</w:t>
      </w:r>
    </w:p>
    <w:p w14:paraId="4F02ED0F">
      <w:pPr>
        <w:pStyle w:val="16"/>
        <w:numPr>
          <w:ilvl w:val="0"/>
          <w:numId w:val="1"/>
        </w:numPr>
        <w:spacing w:after="90"/>
      </w:pPr>
      <w:r>
        <w:rPr>
          <w:color w:val="F1E4E9"/>
          <w:sz w:val="21"/>
          <w:szCs w:val="21"/>
        </w:rPr>
        <w:t>DRS-related fields (umpire, review_decision, team_reviewed, review_batter) are populated in under 0.5% of rows, limiting any analysis of umpire review patterns.</w:t>
      </w:r>
    </w:p>
    <w:p w14:paraId="6C919341">
      <w:pPr>
        <w:pStyle w:val="16"/>
        <w:numPr>
          <w:ilvl w:val="0"/>
          <w:numId w:val="1"/>
        </w:numPr>
        <w:spacing w:after="90"/>
      </w:pPr>
      <w:r>
        <w:rPr>
          <w:color w:val="F1E4E9"/>
          <w:sz w:val="21"/>
          <w:szCs w:val="21"/>
        </w:rPr>
        <w:t>Venue name inconsistencies (e.g., "Wankhede Stadium" vs. "Wankhede Stadium, Mumbai") likely cause the true match count for at least one venue to be understated in venue-level rankings.</w:t>
      </w:r>
    </w:p>
    <w:p w14:paraId="29A54C8D">
      <w:pPr>
        <w:pStyle w:val="16"/>
        <w:numPr>
          <w:ilvl w:val="0"/>
          <w:numId w:val="1"/>
        </w:numPr>
        <w:spacing w:after="90"/>
      </w:pPr>
      <w:r>
        <w:rPr>
          <w:color w:val="F1E4E9"/>
          <w:sz w:val="21"/>
          <w:szCs w:val="21"/>
        </w:rPr>
        <w:t>Team win totals may be split across historical and current franchise names for teams that have rebranded, understating the true combined total for that lineage under a single name.</w:t>
      </w:r>
    </w:p>
    <w:p w14:paraId="31906860">
      <w:pPr>
        <w:pStyle w:val="16"/>
        <w:numPr>
          <w:ilvl w:val="0"/>
          <w:numId w:val="1"/>
        </w:numPr>
        <w:spacing w:after="90"/>
      </w:pPr>
      <w:r>
        <w:rPr>
          <w:color w:val="F1E4E9"/>
          <w:sz w:val="21"/>
          <w:szCs w:val="21"/>
        </w:rPr>
        <w:t>23 matches in the dataset recorded "Unknown" as the winning team and are therefore excluded from all team-level win totals.</w:t>
      </w:r>
    </w:p>
    <w:p w14:paraId="79E24533">
      <w:r>
        <w:br w:type="page"/>
      </w:r>
    </w:p>
    <w:p w14:paraId="484C0030">
      <w:pPr>
        <w:pStyle w:val="2"/>
        <w:pBdr>
          <w:bottom w:val="single" w:color="E8B84B" w:sz="12" w:space="6"/>
        </w:pBdr>
        <w:spacing w:before="200" w:after="200"/>
      </w:pPr>
      <w:r>
        <w:rPr>
          <w:b/>
          <w:bCs/>
          <w:color w:val="FFFFFF"/>
          <w:sz w:val="30"/>
          <w:szCs w:val="30"/>
        </w:rPr>
        <w:t>Recommendations for Further Analysis</w:t>
      </w:r>
    </w:p>
    <w:p w14:paraId="36CCA487">
      <w:pPr>
        <w:pStyle w:val="16"/>
        <w:numPr>
          <w:ilvl w:val="0"/>
          <w:numId w:val="1"/>
        </w:numPr>
        <w:spacing w:after="90"/>
      </w:pPr>
      <w:r>
        <w:rPr>
          <w:color w:val="F1E4E9"/>
          <w:sz w:val="21"/>
          <w:szCs w:val="21"/>
        </w:rPr>
        <w:t>Obtain direct access to the full 278,205-row ball-by-ball dataset to replace approximate chart-read values with exact computed figures, particularly for season-by-season match counts and win totals beyond the top five teams.</w:t>
      </w:r>
    </w:p>
    <w:p w14:paraId="3E4A4767">
      <w:pPr>
        <w:pStyle w:val="16"/>
        <w:numPr>
          <w:ilvl w:val="0"/>
          <w:numId w:val="1"/>
        </w:numPr>
        <w:spacing w:after="90"/>
      </w:pPr>
      <w:r>
        <w:rPr>
          <w:color w:val="F1E4E9"/>
          <w:sz w:val="21"/>
          <w:szCs w:val="21"/>
        </w:rPr>
        <w:t>Standardize venue name variants (e.g., merging "Wankhede Stadium" and "Wankhede Stadium, Mumbai") before any further venue-level analysis to avoid undercounting high-usage grounds.</w:t>
      </w:r>
    </w:p>
    <w:p w14:paraId="389B604F">
      <w:pPr>
        <w:pStyle w:val="16"/>
        <w:numPr>
          <w:ilvl w:val="0"/>
          <w:numId w:val="1"/>
        </w:numPr>
        <w:spacing w:after="90"/>
      </w:pPr>
      <w:r>
        <w:rPr>
          <w:color w:val="F1E4E9"/>
          <w:sz w:val="21"/>
          <w:szCs w:val="21"/>
        </w:rPr>
        <w:t>Map historical franchise names to their current identities (Delhi Daredevils → Delhi Capitals, Royal Challengers Bangalore → Royal Challengers Bengaluru) to produce a single combined win total per ownership lineage.</w:t>
      </w:r>
    </w:p>
    <w:p w14:paraId="220834FE">
      <w:pPr>
        <w:pStyle w:val="16"/>
        <w:numPr>
          <w:ilvl w:val="0"/>
          <w:numId w:val="1"/>
        </w:numPr>
        <w:spacing w:after="90"/>
      </w:pPr>
      <w:r>
        <w:rPr>
          <w:color w:val="F1E4E9"/>
          <w:sz w:val="21"/>
          <w:szCs w:val="21"/>
        </w:rPr>
        <w:t>Investigate the 23 matches with an "Unknown" winning team to determine whether these are genuinely no-result matches or a data-entry gap that could be resolved.</w:t>
      </w:r>
    </w:p>
    <w:p w14:paraId="5EBDD373">
      <w:pPr>
        <w:pStyle w:val="16"/>
        <w:numPr>
          <w:ilvl w:val="0"/>
          <w:numId w:val="1"/>
        </w:numPr>
        <w:spacing w:after="90"/>
      </w:pPr>
      <w:r>
        <w:rPr>
          <w:color w:val="F1E4E9"/>
          <w:sz w:val="21"/>
          <w:szCs w:val="21"/>
        </w:rPr>
        <w:t>Extend the analysis to phase-of-innings breakdowns (powerplay, middle overs, death overs) now that ball-by-ball granularity is confirmed to be available in the underlying dataset.</w:t>
      </w:r>
    </w:p>
    <w:p w14:paraId="6BD9EC48">
      <w:r>
        <w:br w:type="page"/>
      </w:r>
    </w:p>
    <w:p w14:paraId="4801690E">
      <w:pPr>
        <w:pStyle w:val="2"/>
        <w:pBdr>
          <w:bottom w:val="single" w:color="E8B84B" w:sz="12" w:space="6"/>
        </w:pBdr>
        <w:spacing w:before="200" w:after="200"/>
      </w:pPr>
      <w:r>
        <w:rPr>
          <w:b/>
          <w:bCs/>
          <w:color w:val="FFFFFF"/>
          <w:sz w:val="30"/>
          <w:szCs w:val="30"/>
        </w:rPr>
        <w:t>Conclusion</w:t>
      </w:r>
    </w:p>
    <w:p w14:paraId="4D66643E">
      <w:pPr>
        <w:spacing w:after="180" w:line="300" w:lineRule="auto"/>
        <w:jc w:val="both"/>
      </w:pPr>
      <w:r>
        <w:rPr>
          <w:color w:val="F1E4E9"/>
          <w:sz w:val="21"/>
          <w:szCs w:val="21"/>
        </w:rPr>
        <w:t>The IPL ball-by-ball dataset spans 18 seasons of competitive T20 cricket (2007/08–2025), capturing 278,205 deliveries across 1,169 matches played at 59 venues in 38 cities. The data reflects the league's evolution through franchise changes — such as Delhi Daredevils to Delhi Capitals, and Royal Challengers Bangalore to Bengaluru — while maintaining consistent ball-level detail on batting, bowling, and match outcomes.</w:t>
      </w:r>
    </w:p>
    <w:p w14:paraId="606923AE">
      <w:pPr>
        <w:spacing w:after="180" w:line="300" w:lineRule="auto"/>
        <w:jc w:val="both"/>
      </w:pPr>
      <w:r>
        <w:rPr>
          <w:color w:val="F1E4E9"/>
          <w:sz w:val="21"/>
          <w:szCs w:val="21"/>
        </w:rPr>
        <w:t>Mumbai Indians emerge as the most successful franchise by match wins (151), while Virat Kohli stands out as the tournament's leading run-scorer (8,671 runs) and Yuzvendra Chahal as the leading wicket-taker (221 wickets). Fielding dismissals, particularly catches, account for the large majority of wickets recorded, and teams have shown a notable preference for fielding first after winning the toss (764 of 1,169 tosses, 65.4%).</w:t>
      </w:r>
    </w:p>
    <w:p w14:paraId="41906A3B">
      <w:pPr>
        <w:spacing w:after="180" w:line="300" w:lineRule="auto"/>
        <w:jc w:val="both"/>
      </w:pPr>
      <w:r>
        <w:rPr>
          <w:color w:val="F1E4E9"/>
          <w:sz w:val="21"/>
          <w:szCs w:val="21"/>
        </w:rPr>
        <w:t>Overall, the dataset provides a comprehensive and granular record of IPL match dynamics, suitable for tracking individual player performance, team success patterns, and game-state trends across nearly two decades of the tournament — though some fields, such as umpire records and review decisions, remain largely unpopulated and limit analysis in those specific areas. This redesigned edition preserves every figure from the original analysis while presenting it through a unified gradient visual style across ten charts and a fully restyled report layout.</w:t>
      </w:r>
    </w:p>
    <w:p w14:paraId="5B91D323">
      <w:r>
        <w:br w:type="page"/>
      </w:r>
    </w:p>
    <w:p w14:paraId="46EA5C67">
      <w:pPr>
        <w:pStyle w:val="2"/>
        <w:pBdr>
          <w:bottom w:val="single" w:color="E8B84B" w:sz="12" w:space="6"/>
        </w:pBdr>
        <w:spacing w:before="200" w:after="200"/>
      </w:pPr>
      <w:r>
        <w:rPr>
          <w:b/>
          <w:bCs/>
          <w:color w:val="FFFFFF"/>
          <w:sz w:val="30"/>
          <w:szCs w:val="30"/>
        </w:rPr>
        <w:t>Appendix — Summary Data Tables</w:t>
      </w:r>
    </w:p>
    <w:p w14:paraId="3BD24E25">
      <w:pPr>
        <w:pStyle w:val="3"/>
        <w:spacing w:before="260" w:after="140"/>
      </w:pPr>
      <w:r>
        <w:rPr>
          <w:b/>
          <w:bCs/>
          <w:color w:val="E8B84B"/>
          <w:sz w:val="24"/>
          <w:szCs w:val="24"/>
        </w:rPr>
        <w:t>Dataset Overview</w:t>
      </w:r>
    </w:p>
    <w:tbl>
      <w:tblPr>
        <w:tblStyle w:val="9"/>
        <w:tblW w:w="9350" w:type="dxa"/>
        <w:tblInd w:w="0" w:type="dxa"/>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Layout w:type="autofit"/>
        <w:tblCellMar>
          <w:top w:w="0" w:type="dxa"/>
          <w:left w:w="10" w:type="dxa"/>
          <w:bottom w:w="0" w:type="dxa"/>
          <w:right w:w="10" w:type="dxa"/>
        </w:tblCellMar>
      </w:tblPr>
      <w:tblGrid>
        <w:gridCol w:w="5376"/>
        <w:gridCol w:w="3974"/>
      </w:tblGrid>
      <w:tr w14:paraId="112E66A6">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rPr>
          <w:tblHeader/>
        </w:trPr>
        <w:tc>
          <w:tcPr>
            <w:tcW w:w="0" w:type="auto"/>
            <w:shd w:val="clear" w:color="auto" w:fill="000000"/>
            <w:tcMar>
              <w:top w:w="100" w:type="dxa"/>
              <w:left w:w="120" w:type="dxa"/>
              <w:bottom w:w="100" w:type="dxa"/>
              <w:right w:w="120" w:type="dxa"/>
            </w:tcMar>
            <w:vAlign w:val="center"/>
          </w:tcPr>
          <w:p w14:paraId="68BB47DA">
            <w:r>
              <w:rPr>
                <w:b/>
                <w:bCs/>
                <w:color w:val="E8B84B"/>
                <w:sz w:val="19"/>
                <w:szCs w:val="19"/>
              </w:rPr>
              <w:t>Metric</w:t>
            </w:r>
          </w:p>
        </w:tc>
        <w:tc>
          <w:tcPr>
            <w:tcW w:w="0" w:type="auto"/>
            <w:shd w:val="clear" w:color="auto" w:fill="000000"/>
            <w:tcMar>
              <w:top w:w="100" w:type="dxa"/>
              <w:left w:w="120" w:type="dxa"/>
              <w:bottom w:w="100" w:type="dxa"/>
              <w:right w:w="120" w:type="dxa"/>
            </w:tcMar>
            <w:vAlign w:val="center"/>
          </w:tcPr>
          <w:p w14:paraId="51B3EC20">
            <w:r>
              <w:rPr>
                <w:b/>
                <w:bCs/>
                <w:color w:val="E8B84B"/>
                <w:sz w:val="19"/>
                <w:szCs w:val="19"/>
              </w:rPr>
              <w:t>Value</w:t>
            </w:r>
          </w:p>
        </w:tc>
      </w:tr>
      <w:tr w14:paraId="317EF425">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4E79E970">
            <w:r>
              <w:rPr>
                <w:color w:val="F1E4E9"/>
                <w:sz w:val="19"/>
                <w:szCs w:val="19"/>
              </w:rPr>
              <w:t>Total deliveries (rows)</w:t>
            </w:r>
          </w:p>
        </w:tc>
        <w:tc>
          <w:tcPr>
            <w:tcW w:w="0" w:type="auto"/>
            <w:shd w:val="clear" w:color="auto" w:fill="4A0F26"/>
            <w:tcMar>
              <w:top w:w="90" w:type="dxa"/>
              <w:left w:w="120" w:type="dxa"/>
              <w:bottom w:w="90" w:type="dxa"/>
              <w:right w:w="120" w:type="dxa"/>
            </w:tcMar>
            <w:vAlign w:val="center"/>
          </w:tcPr>
          <w:p w14:paraId="3E17F69A">
            <w:r>
              <w:rPr>
                <w:color w:val="F1E4E9"/>
                <w:sz w:val="19"/>
                <w:szCs w:val="19"/>
              </w:rPr>
              <w:t>278,205</w:t>
            </w:r>
          </w:p>
        </w:tc>
      </w:tr>
      <w:tr w14:paraId="642A661A">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41167363">
            <w:r>
              <w:rPr>
                <w:color w:val="F1E4E9"/>
                <w:sz w:val="19"/>
                <w:szCs w:val="19"/>
              </w:rPr>
              <w:t>Total matches</w:t>
            </w:r>
          </w:p>
        </w:tc>
        <w:tc>
          <w:tcPr>
            <w:tcW w:w="0" w:type="auto"/>
            <w:shd w:val="clear" w:color="auto" w:fill="5C1230"/>
            <w:tcMar>
              <w:top w:w="90" w:type="dxa"/>
              <w:left w:w="120" w:type="dxa"/>
              <w:bottom w:w="90" w:type="dxa"/>
              <w:right w:w="120" w:type="dxa"/>
            </w:tcMar>
            <w:vAlign w:val="center"/>
          </w:tcPr>
          <w:p w14:paraId="0F870F5C">
            <w:r>
              <w:rPr>
                <w:color w:val="F1E4E9"/>
                <w:sz w:val="19"/>
                <w:szCs w:val="19"/>
              </w:rPr>
              <w:t>1,169</w:t>
            </w:r>
          </w:p>
        </w:tc>
      </w:tr>
      <w:tr w14:paraId="53C1B30B">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151706C8">
            <w:r>
              <w:rPr>
                <w:color w:val="F1E4E9"/>
                <w:sz w:val="19"/>
                <w:szCs w:val="19"/>
              </w:rPr>
              <w:t>Seasons covered</w:t>
            </w:r>
          </w:p>
        </w:tc>
        <w:tc>
          <w:tcPr>
            <w:tcW w:w="0" w:type="auto"/>
            <w:shd w:val="clear" w:color="auto" w:fill="4A0F26"/>
            <w:tcMar>
              <w:top w:w="90" w:type="dxa"/>
              <w:left w:w="120" w:type="dxa"/>
              <w:bottom w:w="90" w:type="dxa"/>
              <w:right w:w="120" w:type="dxa"/>
            </w:tcMar>
            <w:vAlign w:val="center"/>
          </w:tcPr>
          <w:p w14:paraId="11316CE1">
            <w:r>
              <w:rPr>
                <w:color w:val="F1E4E9"/>
                <w:sz w:val="19"/>
                <w:szCs w:val="19"/>
              </w:rPr>
              <w:t>18 (2007/08–2025)</w:t>
            </w:r>
          </w:p>
        </w:tc>
      </w:tr>
      <w:tr w14:paraId="194C1CB4">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3D82F3B9">
            <w:r>
              <w:rPr>
                <w:color w:val="F1E4E9"/>
                <w:sz w:val="19"/>
                <w:szCs w:val="19"/>
              </w:rPr>
              <w:t>Unique venues</w:t>
            </w:r>
          </w:p>
        </w:tc>
        <w:tc>
          <w:tcPr>
            <w:tcW w:w="0" w:type="auto"/>
            <w:shd w:val="clear" w:color="auto" w:fill="5C1230"/>
            <w:tcMar>
              <w:top w:w="90" w:type="dxa"/>
              <w:left w:w="120" w:type="dxa"/>
              <w:bottom w:w="90" w:type="dxa"/>
              <w:right w:w="120" w:type="dxa"/>
            </w:tcMar>
            <w:vAlign w:val="center"/>
          </w:tcPr>
          <w:p w14:paraId="5E9FD472">
            <w:r>
              <w:rPr>
                <w:color w:val="F1E4E9"/>
                <w:sz w:val="19"/>
                <w:szCs w:val="19"/>
              </w:rPr>
              <w:t>59</w:t>
            </w:r>
          </w:p>
        </w:tc>
      </w:tr>
      <w:tr w14:paraId="272573D6">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31C41461">
            <w:r>
              <w:rPr>
                <w:color w:val="F1E4E9"/>
                <w:sz w:val="19"/>
                <w:szCs w:val="19"/>
              </w:rPr>
              <w:t>Unique cities</w:t>
            </w:r>
          </w:p>
        </w:tc>
        <w:tc>
          <w:tcPr>
            <w:tcW w:w="0" w:type="auto"/>
            <w:shd w:val="clear" w:color="auto" w:fill="4A0F26"/>
            <w:tcMar>
              <w:top w:w="90" w:type="dxa"/>
              <w:left w:w="120" w:type="dxa"/>
              <w:bottom w:w="90" w:type="dxa"/>
              <w:right w:w="120" w:type="dxa"/>
            </w:tcMar>
            <w:vAlign w:val="center"/>
          </w:tcPr>
          <w:p w14:paraId="19E9C3E0">
            <w:r>
              <w:rPr>
                <w:color w:val="F1E4E9"/>
                <w:sz w:val="19"/>
                <w:szCs w:val="19"/>
              </w:rPr>
              <w:t>38</w:t>
            </w:r>
          </w:p>
        </w:tc>
      </w:tr>
      <w:tr w14:paraId="64A78A49">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62DD36AA">
            <w:r>
              <w:rPr>
                <w:color w:val="F1E4E9"/>
                <w:sz w:val="19"/>
                <w:szCs w:val="19"/>
              </w:rPr>
              <w:t>Unique batters</w:t>
            </w:r>
          </w:p>
        </w:tc>
        <w:tc>
          <w:tcPr>
            <w:tcW w:w="0" w:type="auto"/>
            <w:shd w:val="clear" w:color="auto" w:fill="5C1230"/>
            <w:tcMar>
              <w:top w:w="90" w:type="dxa"/>
              <w:left w:w="120" w:type="dxa"/>
              <w:bottom w:w="90" w:type="dxa"/>
              <w:right w:w="120" w:type="dxa"/>
            </w:tcMar>
            <w:vAlign w:val="center"/>
          </w:tcPr>
          <w:p w14:paraId="3A11B06C">
            <w:r>
              <w:rPr>
                <w:color w:val="F1E4E9"/>
                <w:sz w:val="19"/>
                <w:szCs w:val="19"/>
              </w:rPr>
              <w:t>703</w:t>
            </w:r>
          </w:p>
        </w:tc>
      </w:tr>
      <w:tr w14:paraId="14991096">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3977C0A2">
            <w:r>
              <w:rPr>
                <w:color w:val="F1E4E9"/>
                <w:sz w:val="19"/>
                <w:szCs w:val="19"/>
              </w:rPr>
              <w:t>Unique bowlers</w:t>
            </w:r>
          </w:p>
        </w:tc>
        <w:tc>
          <w:tcPr>
            <w:tcW w:w="0" w:type="auto"/>
            <w:shd w:val="clear" w:color="auto" w:fill="4A0F26"/>
            <w:tcMar>
              <w:top w:w="90" w:type="dxa"/>
              <w:left w:w="120" w:type="dxa"/>
              <w:bottom w:w="90" w:type="dxa"/>
              <w:right w:w="120" w:type="dxa"/>
            </w:tcMar>
            <w:vAlign w:val="center"/>
          </w:tcPr>
          <w:p w14:paraId="7C1C0361">
            <w:r>
              <w:rPr>
                <w:color w:val="F1E4E9"/>
                <w:sz w:val="19"/>
                <w:szCs w:val="19"/>
              </w:rPr>
              <w:t>550</w:t>
            </w:r>
          </w:p>
        </w:tc>
      </w:tr>
      <w:tr w14:paraId="3B33BBAA">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5A2C1D80">
            <w:r>
              <w:rPr>
                <w:color w:val="F1E4E9"/>
                <w:sz w:val="19"/>
                <w:szCs w:val="19"/>
              </w:rPr>
              <w:t>Total runs recorded</w:t>
            </w:r>
          </w:p>
        </w:tc>
        <w:tc>
          <w:tcPr>
            <w:tcW w:w="0" w:type="auto"/>
            <w:shd w:val="clear" w:color="auto" w:fill="5C1230"/>
            <w:tcMar>
              <w:top w:w="90" w:type="dxa"/>
              <w:left w:w="120" w:type="dxa"/>
              <w:bottom w:w="90" w:type="dxa"/>
              <w:right w:w="120" w:type="dxa"/>
            </w:tcMar>
            <w:vAlign w:val="center"/>
          </w:tcPr>
          <w:p w14:paraId="17F400E8">
            <w:r>
              <w:rPr>
                <w:color w:val="F1E4E9"/>
                <w:sz w:val="19"/>
                <w:szCs w:val="19"/>
              </w:rPr>
              <w:t>374,283</w:t>
            </w:r>
          </w:p>
        </w:tc>
      </w:tr>
      <w:tr w14:paraId="21E7EF90">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24AC71C6">
            <w:r>
              <w:rPr>
                <w:color w:val="F1E4E9"/>
                <w:sz w:val="19"/>
                <w:szCs w:val="19"/>
              </w:rPr>
              <w:t>Distinct team name entries</w:t>
            </w:r>
          </w:p>
        </w:tc>
        <w:tc>
          <w:tcPr>
            <w:tcW w:w="0" w:type="auto"/>
            <w:shd w:val="clear" w:color="auto" w:fill="4A0F26"/>
            <w:tcMar>
              <w:top w:w="90" w:type="dxa"/>
              <w:left w:w="120" w:type="dxa"/>
              <w:bottom w:w="90" w:type="dxa"/>
              <w:right w:w="120" w:type="dxa"/>
            </w:tcMar>
            <w:vAlign w:val="center"/>
          </w:tcPr>
          <w:p w14:paraId="4B85B9FA">
            <w:r>
              <w:rPr>
                <w:color w:val="F1E4E9"/>
                <w:sz w:val="19"/>
                <w:szCs w:val="19"/>
              </w:rPr>
              <w:t>19</w:t>
            </w:r>
          </w:p>
        </w:tc>
      </w:tr>
    </w:tbl>
    <w:p w14:paraId="61A71C5E">
      <w:pPr>
        <w:spacing w:after="220"/>
      </w:pPr>
    </w:p>
    <w:p w14:paraId="32683082">
      <w:pPr>
        <w:pStyle w:val="3"/>
        <w:spacing w:before="260" w:after="140"/>
      </w:pPr>
      <w:r>
        <w:rPr>
          <w:b/>
          <w:bCs/>
          <w:color w:val="E8B84B"/>
          <w:sz w:val="24"/>
          <w:szCs w:val="24"/>
        </w:rPr>
        <w:t>Toss Decision</w:t>
      </w:r>
    </w:p>
    <w:tbl>
      <w:tblPr>
        <w:tblStyle w:val="9"/>
        <w:tblW w:w="9350" w:type="dxa"/>
        <w:tblInd w:w="0" w:type="dxa"/>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Layout w:type="autofit"/>
        <w:tblCellMar>
          <w:top w:w="0" w:type="dxa"/>
          <w:left w:w="10" w:type="dxa"/>
          <w:bottom w:w="0" w:type="dxa"/>
          <w:right w:w="10" w:type="dxa"/>
        </w:tblCellMar>
      </w:tblPr>
      <w:tblGrid>
        <w:gridCol w:w="3458"/>
        <w:gridCol w:w="3318"/>
        <w:gridCol w:w="2574"/>
      </w:tblGrid>
      <w:tr w14:paraId="0991484D">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rPr>
          <w:tblHeader/>
        </w:trPr>
        <w:tc>
          <w:tcPr>
            <w:tcW w:w="0" w:type="auto"/>
            <w:shd w:val="clear" w:color="auto" w:fill="000000"/>
            <w:tcMar>
              <w:top w:w="100" w:type="dxa"/>
              <w:left w:w="120" w:type="dxa"/>
              <w:bottom w:w="100" w:type="dxa"/>
              <w:right w:w="120" w:type="dxa"/>
            </w:tcMar>
            <w:vAlign w:val="center"/>
          </w:tcPr>
          <w:p w14:paraId="25CEF93B">
            <w:r>
              <w:rPr>
                <w:b/>
                <w:bCs/>
                <w:color w:val="E8B84B"/>
                <w:sz w:val="19"/>
                <w:szCs w:val="19"/>
              </w:rPr>
              <w:t>Decision</w:t>
            </w:r>
          </w:p>
        </w:tc>
        <w:tc>
          <w:tcPr>
            <w:tcW w:w="0" w:type="auto"/>
            <w:shd w:val="clear" w:color="auto" w:fill="000000"/>
            <w:tcMar>
              <w:top w:w="100" w:type="dxa"/>
              <w:left w:w="120" w:type="dxa"/>
              <w:bottom w:w="100" w:type="dxa"/>
              <w:right w:w="120" w:type="dxa"/>
            </w:tcMar>
            <w:vAlign w:val="center"/>
          </w:tcPr>
          <w:p w14:paraId="48A999DD">
            <w:r>
              <w:rPr>
                <w:b/>
                <w:bCs/>
                <w:color w:val="E8B84B"/>
                <w:sz w:val="19"/>
                <w:szCs w:val="19"/>
              </w:rPr>
              <w:t>Matches</w:t>
            </w:r>
          </w:p>
        </w:tc>
        <w:tc>
          <w:tcPr>
            <w:tcW w:w="0" w:type="auto"/>
            <w:shd w:val="clear" w:color="auto" w:fill="000000"/>
            <w:tcMar>
              <w:top w:w="100" w:type="dxa"/>
              <w:left w:w="120" w:type="dxa"/>
              <w:bottom w:w="100" w:type="dxa"/>
              <w:right w:w="120" w:type="dxa"/>
            </w:tcMar>
            <w:vAlign w:val="center"/>
          </w:tcPr>
          <w:p w14:paraId="52A5C9E0">
            <w:r>
              <w:rPr>
                <w:b/>
                <w:bCs/>
                <w:color w:val="E8B84B"/>
                <w:sz w:val="19"/>
                <w:szCs w:val="19"/>
              </w:rPr>
              <w:t>Share</w:t>
            </w:r>
          </w:p>
        </w:tc>
      </w:tr>
      <w:tr w14:paraId="54D69F7A">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4DD827E9">
            <w:r>
              <w:rPr>
                <w:color w:val="F1E4E9"/>
                <w:sz w:val="19"/>
                <w:szCs w:val="19"/>
              </w:rPr>
              <w:t>Field first</w:t>
            </w:r>
          </w:p>
        </w:tc>
        <w:tc>
          <w:tcPr>
            <w:tcW w:w="0" w:type="auto"/>
            <w:shd w:val="clear" w:color="auto" w:fill="4A0F26"/>
            <w:tcMar>
              <w:top w:w="90" w:type="dxa"/>
              <w:left w:w="120" w:type="dxa"/>
              <w:bottom w:w="90" w:type="dxa"/>
              <w:right w:w="120" w:type="dxa"/>
            </w:tcMar>
            <w:vAlign w:val="center"/>
          </w:tcPr>
          <w:p w14:paraId="0F6BEA92">
            <w:r>
              <w:rPr>
                <w:color w:val="F1E4E9"/>
                <w:sz w:val="19"/>
                <w:szCs w:val="19"/>
              </w:rPr>
              <w:t>764</w:t>
            </w:r>
          </w:p>
        </w:tc>
        <w:tc>
          <w:tcPr>
            <w:tcW w:w="0" w:type="auto"/>
            <w:shd w:val="clear" w:color="auto" w:fill="4A0F26"/>
            <w:tcMar>
              <w:top w:w="90" w:type="dxa"/>
              <w:left w:w="120" w:type="dxa"/>
              <w:bottom w:w="90" w:type="dxa"/>
              <w:right w:w="120" w:type="dxa"/>
            </w:tcMar>
            <w:vAlign w:val="center"/>
          </w:tcPr>
          <w:p w14:paraId="79040512">
            <w:r>
              <w:rPr>
                <w:color w:val="F1E4E9"/>
                <w:sz w:val="19"/>
                <w:szCs w:val="19"/>
              </w:rPr>
              <w:t>65.4%</w:t>
            </w:r>
          </w:p>
        </w:tc>
      </w:tr>
      <w:tr w14:paraId="58561110">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45178053">
            <w:r>
              <w:rPr>
                <w:color w:val="F1E4E9"/>
                <w:sz w:val="19"/>
                <w:szCs w:val="19"/>
              </w:rPr>
              <w:t>Bat first</w:t>
            </w:r>
          </w:p>
        </w:tc>
        <w:tc>
          <w:tcPr>
            <w:tcW w:w="0" w:type="auto"/>
            <w:shd w:val="clear" w:color="auto" w:fill="5C1230"/>
            <w:tcMar>
              <w:top w:w="90" w:type="dxa"/>
              <w:left w:w="120" w:type="dxa"/>
              <w:bottom w:w="90" w:type="dxa"/>
              <w:right w:w="120" w:type="dxa"/>
            </w:tcMar>
            <w:vAlign w:val="center"/>
          </w:tcPr>
          <w:p w14:paraId="08BEA6AE">
            <w:r>
              <w:rPr>
                <w:color w:val="F1E4E9"/>
                <w:sz w:val="19"/>
                <w:szCs w:val="19"/>
              </w:rPr>
              <w:t>405</w:t>
            </w:r>
          </w:p>
        </w:tc>
        <w:tc>
          <w:tcPr>
            <w:tcW w:w="0" w:type="auto"/>
            <w:shd w:val="clear" w:color="auto" w:fill="5C1230"/>
            <w:tcMar>
              <w:top w:w="90" w:type="dxa"/>
              <w:left w:w="120" w:type="dxa"/>
              <w:bottom w:w="90" w:type="dxa"/>
              <w:right w:w="120" w:type="dxa"/>
            </w:tcMar>
            <w:vAlign w:val="center"/>
          </w:tcPr>
          <w:p w14:paraId="02C9F7A6">
            <w:r>
              <w:rPr>
                <w:color w:val="F1E4E9"/>
                <w:sz w:val="19"/>
                <w:szCs w:val="19"/>
              </w:rPr>
              <w:t>34.6%</w:t>
            </w:r>
          </w:p>
        </w:tc>
      </w:tr>
    </w:tbl>
    <w:p w14:paraId="6CB89CA0">
      <w:r>
        <w:br w:type="page"/>
      </w:r>
    </w:p>
    <w:p w14:paraId="5C0A3972">
      <w:pPr>
        <w:pStyle w:val="3"/>
        <w:spacing w:before="260" w:after="140"/>
      </w:pPr>
      <w:r>
        <w:rPr>
          <w:b/>
          <w:bCs/>
          <w:color w:val="E8B84B"/>
          <w:sz w:val="24"/>
          <w:szCs w:val="24"/>
        </w:rPr>
        <w:t>Match Wins by Team (Top 12)</w:t>
      </w:r>
    </w:p>
    <w:tbl>
      <w:tblPr>
        <w:tblStyle w:val="9"/>
        <w:tblW w:w="9350" w:type="dxa"/>
        <w:tblInd w:w="0" w:type="dxa"/>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Layout w:type="autofit"/>
        <w:tblCellMar>
          <w:top w:w="0" w:type="dxa"/>
          <w:left w:w="10" w:type="dxa"/>
          <w:bottom w:w="0" w:type="dxa"/>
          <w:right w:w="10" w:type="dxa"/>
        </w:tblCellMar>
      </w:tblPr>
      <w:tblGrid>
        <w:gridCol w:w="7407"/>
        <w:gridCol w:w="1943"/>
      </w:tblGrid>
      <w:tr w14:paraId="7E2DE80A">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rPr>
          <w:tblHeader/>
        </w:trPr>
        <w:tc>
          <w:tcPr>
            <w:tcW w:w="0" w:type="auto"/>
            <w:shd w:val="clear" w:color="auto" w:fill="000000"/>
            <w:tcMar>
              <w:top w:w="100" w:type="dxa"/>
              <w:left w:w="120" w:type="dxa"/>
              <w:bottom w:w="100" w:type="dxa"/>
              <w:right w:w="120" w:type="dxa"/>
            </w:tcMar>
            <w:vAlign w:val="center"/>
          </w:tcPr>
          <w:p w14:paraId="2EA46F56">
            <w:r>
              <w:rPr>
                <w:b/>
                <w:bCs/>
                <w:color w:val="E8B84B"/>
                <w:sz w:val="19"/>
                <w:szCs w:val="19"/>
              </w:rPr>
              <w:t>Team</w:t>
            </w:r>
          </w:p>
        </w:tc>
        <w:tc>
          <w:tcPr>
            <w:tcW w:w="0" w:type="auto"/>
            <w:shd w:val="clear" w:color="auto" w:fill="000000"/>
            <w:tcMar>
              <w:top w:w="100" w:type="dxa"/>
              <w:left w:w="120" w:type="dxa"/>
              <w:bottom w:w="100" w:type="dxa"/>
              <w:right w:w="120" w:type="dxa"/>
            </w:tcMar>
            <w:vAlign w:val="center"/>
          </w:tcPr>
          <w:p w14:paraId="4E11B993">
            <w:r>
              <w:rPr>
                <w:b/>
                <w:bCs/>
                <w:color w:val="E8B84B"/>
                <w:sz w:val="19"/>
                <w:szCs w:val="19"/>
              </w:rPr>
              <w:t>Wins</w:t>
            </w:r>
          </w:p>
        </w:tc>
      </w:tr>
      <w:tr w14:paraId="52EEE939">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213CFC81">
            <w:r>
              <w:rPr>
                <w:color w:val="F1E4E9"/>
                <w:sz w:val="19"/>
                <w:szCs w:val="19"/>
              </w:rPr>
              <w:t>Mumbai Indians</w:t>
            </w:r>
          </w:p>
        </w:tc>
        <w:tc>
          <w:tcPr>
            <w:tcW w:w="0" w:type="auto"/>
            <w:shd w:val="clear" w:color="auto" w:fill="4A0F26"/>
            <w:tcMar>
              <w:top w:w="90" w:type="dxa"/>
              <w:left w:w="120" w:type="dxa"/>
              <w:bottom w:w="90" w:type="dxa"/>
              <w:right w:w="120" w:type="dxa"/>
            </w:tcMar>
            <w:vAlign w:val="center"/>
          </w:tcPr>
          <w:p w14:paraId="6F985EB8">
            <w:r>
              <w:rPr>
                <w:color w:val="F1E4E9"/>
                <w:sz w:val="19"/>
                <w:szCs w:val="19"/>
              </w:rPr>
              <w:t>151</w:t>
            </w:r>
          </w:p>
        </w:tc>
      </w:tr>
      <w:tr w14:paraId="773F536E">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484796D1">
            <w:r>
              <w:rPr>
                <w:color w:val="F1E4E9"/>
                <w:sz w:val="19"/>
                <w:szCs w:val="19"/>
              </w:rPr>
              <w:t>Chennai Super Kings</w:t>
            </w:r>
          </w:p>
        </w:tc>
        <w:tc>
          <w:tcPr>
            <w:tcW w:w="0" w:type="auto"/>
            <w:shd w:val="clear" w:color="auto" w:fill="5C1230"/>
            <w:tcMar>
              <w:top w:w="90" w:type="dxa"/>
              <w:left w:w="120" w:type="dxa"/>
              <w:bottom w:w="90" w:type="dxa"/>
              <w:right w:w="120" w:type="dxa"/>
            </w:tcMar>
            <w:vAlign w:val="center"/>
          </w:tcPr>
          <w:p w14:paraId="5B620B8F">
            <w:r>
              <w:rPr>
                <w:color w:val="F1E4E9"/>
                <w:sz w:val="19"/>
                <w:szCs w:val="19"/>
              </w:rPr>
              <w:t>142</w:t>
            </w:r>
          </w:p>
        </w:tc>
      </w:tr>
      <w:tr w14:paraId="67AF896D">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6FC64ACE">
            <w:r>
              <w:rPr>
                <w:color w:val="F1E4E9"/>
                <w:sz w:val="19"/>
                <w:szCs w:val="19"/>
              </w:rPr>
              <w:t>Kolkata Knight Riders</w:t>
            </w:r>
          </w:p>
        </w:tc>
        <w:tc>
          <w:tcPr>
            <w:tcW w:w="0" w:type="auto"/>
            <w:shd w:val="clear" w:color="auto" w:fill="4A0F26"/>
            <w:tcMar>
              <w:top w:w="90" w:type="dxa"/>
              <w:left w:w="120" w:type="dxa"/>
              <w:bottom w:w="90" w:type="dxa"/>
              <w:right w:w="120" w:type="dxa"/>
            </w:tcMar>
            <w:vAlign w:val="center"/>
          </w:tcPr>
          <w:p w14:paraId="3512EAE4">
            <w:r>
              <w:rPr>
                <w:color w:val="F1E4E9"/>
                <w:sz w:val="19"/>
                <w:szCs w:val="19"/>
              </w:rPr>
              <w:t>135</w:t>
            </w:r>
          </w:p>
        </w:tc>
      </w:tr>
      <w:tr w14:paraId="137E9534">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758ADDA1">
            <w:r>
              <w:rPr>
                <w:color w:val="F1E4E9"/>
                <w:sz w:val="19"/>
                <w:szCs w:val="19"/>
              </w:rPr>
              <w:t>Rajasthan Royals</w:t>
            </w:r>
          </w:p>
        </w:tc>
        <w:tc>
          <w:tcPr>
            <w:tcW w:w="0" w:type="auto"/>
            <w:shd w:val="clear" w:color="auto" w:fill="5C1230"/>
            <w:tcMar>
              <w:top w:w="90" w:type="dxa"/>
              <w:left w:w="120" w:type="dxa"/>
              <w:bottom w:w="90" w:type="dxa"/>
              <w:right w:w="120" w:type="dxa"/>
            </w:tcMar>
            <w:vAlign w:val="center"/>
          </w:tcPr>
          <w:p w14:paraId="25C913F9">
            <w:r>
              <w:rPr>
                <w:color w:val="F1E4E9"/>
                <w:sz w:val="19"/>
                <w:szCs w:val="19"/>
              </w:rPr>
              <w:t>114</w:t>
            </w:r>
          </w:p>
        </w:tc>
      </w:tr>
      <w:tr w14:paraId="685EBF77">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356FA23D">
            <w:r>
              <w:rPr>
                <w:color w:val="F1E4E9"/>
                <w:sz w:val="19"/>
                <w:szCs w:val="19"/>
              </w:rPr>
              <w:t>Royal Challengers Bangalore</w:t>
            </w:r>
          </w:p>
        </w:tc>
        <w:tc>
          <w:tcPr>
            <w:tcW w:w="0" w:type="auto"/>
            <w:shd w:val="clear" w:color="auto" w:fill="4A0F26"/>
            <w:tcMar>
              <w:top w:w="90" w:type="dxa"/>
              <w:left w:w="120" w:type="dxa"/>
              <w:bottom w:w="90" w:type="dxa"/>
              <w:right w:w="120" w:type="dxa"/>
            </w:tcMar>
            <w:vAlign w:val="center"/>
          </w:tcPr>
          <w:p w14:paraId="20594D2D">
            <w:r>
              <w:rPr>
                <w:color w:val="F1E4E9"/>
                <w:sz w:val="19"/>
                <w:szCs w:val="19"/>
              </w:rPr>
              <w:t>114</w:t>
            </w:r>
          </w:p>
        </w:tc>
      </w:tr>
      <w:tr w14:paraId="584FBD2B">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7CF649A3">
            <w:r>
              <w:rPr>
                <w:color w:val="F1E4E9"/>
                <w:sz w:val="19"/>
                <w:szCs w:val="19"/>
              </w:rPr>
              <w:t>Sunrisers Hyderabad</w:t>
            </w:r>
          </w:p>
        </w:tc>
        <w:tc>
          <w:tcPr>
            <w:tcW w:w="0" w:type="auto"/>
            <w:shd w:val="clear" w:color="auto" w:fill="5C1230"/>
            <w:tcMar>
              <w:top w:w="90" w:type="dxa"/>
              <w:left w:w="120" w:type="dxa"/>
              <w:bottom w:w="90" w:type="dxa"/>
              <w:right w:w="120" w:type="dxa"/>
            </w:tcMar>
            <w:vAlign w:val="center"/>
          </w:tcPr>
          <w:p w14:paraId="2A252191">
            <w:r>
              <w:rPr>
                <w:color w:val="F1E4E9"/>
                <w:sz w:val="19"/>
                <w:szCs w:val="19"/>
              </w:rPr>
              <w:t>~93*</w:t>
            </w:r>
          </w:p>
        </w:tc>
      </w:tr>
      <w:tr w14:paraId="7EA7B6A4">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5A520B33">
            <w:r>
              <w:rPr>
                <w:color w:val="F1E4E9"/>
                <w:sz w:val="19"/>
                <w:szCs w:val="19"/>
              </w:rPr>
              <w:t>Kings XI Punjab</w:t>
            </w:r>
          </w:p>
        </w:tc>
        <w:tc>
          <w:tcPr>
            <w:tcW w:w="0" w:type="auto"/>
            <w:shd w:val="clear" w:color="auto" w:fill="4A0F26"/>
            <w:tcMar>
              <w:top w:w="90" w:type="dxa"/>
              <w:left w:w="120" w:type="dxa"/>
              <w:bottom w:w="90" w:type="dxa"/>
              <w:right w:w="120" w:type="dxa"/>
            </w:tcMar>
            <w:vAlign w:val="center"/>
          </w:tcPr>
          <w:p w14:paraId="2D44871F">
            <w:r>
              <w:rPr>
                <w:color w:val="F1E4E9"/>
                <w:sz w:val="19"/>
                <w:szCs w:val="19"/>
              </w:rPr>
              <w:t>~85*</w:t>
            </w:r>
          </w:p>
        </w:tc>
      </w:tr>
      <w:tr w14:paraId="71F8B780">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386EC6B0">
            <w:r>
              <w:rPr>
                <w:color w:val="F1E4E9"/>
                <w:sz w:val="19"/>
                <w:szCs w:val="19"/>
              </w:rPr>
              <w:t>Delhi Daredevils</w:t>
            </w:r>
          </w:p>
        </w:tc>
        <w:tc>
          <w:tcPr>
            <w:tcW w:w="0" w:type="auto"/>
            <w:shd w:val="clear" w:color="auto" w:fill="5C1230"/>
            <w:tcMar>
              <w:top w:w="90" w:type="dxa"/>
              <w:left w:w="120" w:type="dxa"/>
              <w:bottom w:w="90" w:type="dxa"/>
              <w:right w:w="120" w:type="dxa"/>
            </w:tcMar>
            <w:vAlign w:val="center"/>
          </w:tcPr>
          <w:p w14:paraId="679F7A21">
            <w:r>
              <w:rPr>
                <w:color w:val="F1E4E9"/>
                <w:sz w:val="19"/>
                <w:szCs w:val="19"/>
              </w:rPr>
              <w:t>~67*</w:t>
            </w:r>
          </w:p>
        </w:tc>
      </w:tr>
      <w:tr w14:paraId="08A28A8F">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6D0B7B22">
            <w:r>
              <w:rPr>
                <w:color w:val="F1E4E9"/>
                <w:sz w:val="19"/>
                <w:szCs w:val="19"/>
              </w:rPr>
              <w:t>Delhi Capitals</w:t>
            </w:r>
          </w:p>
        </w:tc>
        <w:tc>
          <w:tcPr>
            <w:tcW w:w="0" w:type="auto"/>
            <w:shd w:val="clear" w:color="auto" w:fill="4A0F26"/>
            <w:tcMar>
              <w:top w:w="90" w:type="dxa"/>
              <w:left w:w="120" w:type="dxa"/>
              <w:bottom w:w="90" w:type="dxa"/>
              <w:right w:w="120" w:type="dxa"/>
            </w:tcMar>
            <w:vAlign w:val="center"/>
          </w:tcPr>
          <w:p w14:paraId="57181DF0">
            <w:r>
              <w:rPr>
                <w:color w:val="F1E4E9"/>
                <w:sz w:val="19"/>
                <w:szCs w:val="19"/>
              </w:rPr>
              <w:t>~51*</w:t>
            </w:r>
          </w:p>
        </w:tc>
      </w:tr>
      <w:tr w14:paraId="674AC0A4">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4C576301">
            <w:r>
              <w:rPr>
                <w:color w:val="F1E4E9"/>
                <w:sz w:val="19"/>
                <w:szCs w:val="19"/>
              </w:rPr>
              <w:t>Gujarat Titans</w:t>
            </w:r>
          </w:p>
        </w:tc>
        <w:tc>
          <w:tcPr>
            <w:tcW w:w="0" w:type="auto"/>
            <w:shd w:val="clear" w:color="auto" w:fill="5C1230"/>
            <w:tcMar>
              <w:top w:w="90" w:type="dxa"/>
              <w:left w:w="120" w:type="dxa"/>
              <w:bottom w:w="90" w:type="dxa"/>
              <w:right w:w="120" w:type="dxa"/>
            </w:tcMar>
            <w:vAlign w:val="center"/>
          </w:tcPr>
          <w:p w14:paraId="0A1F9A5E">
            <w:r>
              <w:rPr>
                <w:color w:val="F1E4E9"/>
                <w:sz w:val="19"/>
                <w:szCs w:val="19"/>
              </w:rPr>
              <w:t>~38*</w:t>
            </w:r>
          </w:p>
        </w:tc>
      </w:tr>
      <w:tr w14:paraId="4A3309F1">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0F64054B">
            <w:r>
              <w:rPr>
                <w:color w:val="F1E4E9"/>
                <w:sz w:val="19"/>
                <w:szCs w:val="19"/>
              </w:rPr>
              <w:t>Punjab Kings</w:t>
            </w:r>
          </w:p>
        </w:tc>
        <w:tc>
          <w:tcPr>
            <w:tcW w:w="0" w:type="auto"/>
            <w:shd w:val="clear" w:color="auto" w:fill="4A0F26"/>
            <w:tcMar>
              <w:top w:w="90" w:type="dxa"/>
              <w:left w:w="120" w:type="dxa"/>
              <w:bottom w:w="90" w:type="dxa"/>
              <w:right w:w="120" w:type="dxa"/>
            </w:tcMar>
            <w:vAlign w:val="center"/>
          </w:tcPr>
          <w:p w14:paraId="0562A5F3">
            <w:r>
              <w:rPr>
                <w:color w:val="F1E4E9"/>
                <w:sz w:val="19"/>
                <w:szCs w:val="19"/>
              </w:rPr>
              <w:t>~33*</w:t>
            </w:r>
          </w:p>
        </w:tc>
      </w:tr>
      <w:tr w14:paraId="132B33F9">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7A4923C9">
            <w:r>
              <w:rPr>
                <w:color w:val="F1E4E9"/>
                <w:sz w:val="19"/>
                <w:szCs w:val="19"/>
              </w:rPr>
              <w:t>Lucknow Super Giants</w:t>
            </w:r>
          </w:p>
        </w:tc>
        <w:tc>
          <w:tcPr>
            <w:tcW w:w="0" w:type="auto"/>
            <w:shd w:val="clear" w:color="auto" w:fill="5C1230"/>
            <w:tcMar>
              <w:top w:w="90" w:type="dxa"/>
              <w:left w:w="120" w:type="dxa"/>
              <w:bottom w:w="90" w:type="dxa"/>
              <w:right w:w="120" w:type="dxa"/>
            </w:tcMar>
            <w:vAlign w:val="center"/>
          </w:tcPr>
          <w:p w14:paraId="6FF7A901">
            <w:r>
              <w:rPr>
                <w:color w:val="F1E4E9"/>
                <w:sz w:val="19"/>
                <w:szCs w:val="19"/>
              </w:rPr>
              <w:t>~30*</w:t>
            </w:r>
          </w:p>
        </w:tc>
      </w:tr>
    </w:tbl>
    <w:p w14:paraId="5D6A20FB">
      <w:pPr>
        <w:spacing w:after="160"/>
      </w:pPr>
      <w:r>
        <w:rPr>
          <w:i/>
          <w:iCs/>
          <w:color w:val="C9AEB8"/>
          <w:sz w:val="16"/>
          <w:szCs w:val="16"/>
        </w:rPr>
        <w:t>* Approximate, read from the source report's chart — not stated as an exact figure in the source text.</w:t>
      </w:r>
    </w:p>
    <w:p w14:paraId="6F14D4C6">
      <w:r>
        <w:br w:type="page"/>
      </w:r>
    </w:p>
    <w:p w14:paraId="2986C0C1">
      <w:pPr>
        <w:pStyle w:val="3"/>
        <w:spacing w:before="260" w:after="140"/>
      </w:pPr>
      <w:r>
        <w:rPr>
          <w:b/>
          <w:bCs/>
          <w:color w:val="E8B84B"/>
          <w:sz w:val="24"/>
          <w:szCs w:val="24"/>
        </w:rPr>
        <w:t>Top 10 Run Scorers</w:t>
      </w:r>
    </w:p>
    <w:tbl>
      <w:tblPr>
        <w:tblStyle w:val="9"/>
        <w:tblW w:w="9350" w:type="dxa"/>
        <w:tblInd w:w="0" w:type="dxa"/>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Layout w:type="autofit"/>
        <w:tblCellMar>
          <w:top w:w="0" w:type="dxa"/>
          <w:left w:w="10" w:type="dxa"/>
          <w:bottom w:w="0" w:type="dxa"/>
          <w:right w:w="10" w:type="dxa"/>
        </w:tblCellMar>
      </w:tblPr>
      <w:tblGrid>
        <w:gridCol w:w="5033"/>
        <w:gridCol w:w="4317"/>
      </w:tblGrid>
      <w:tr w14:paraId="24AC07BF">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rPr>
          <w:tblHeader/>
        </w:trPr>
        <w:tc>
          <w:tcPr>
            <w:tcW w:w="0" w:type="auto"/>
            <w:shd w:val="clear" w:color="auto" w:fill="000000"/>
            <w:tcMar>
              <w:top w:w="100" w:type="dxa"/>
              <w:left w:w="120" w:type="dxa"/>
              <w:bottom w:w="100" w:type="dxa"/>
              <w:right w:w="120" w:type="dxa"/>
            </w:tcMar>
            <w:vAlign w:val="center"/>
          </w:tcPr>
          <w:p w14:paraId="66CF5D8B">
            <w:r>
              <w:rPr>
                <w:b/>
                <w:bCs/>
                <w:color w:val="E8B84B"/>
                <w:sz w:val="19"/>
                <w:szCs w:val="19"/>
              </w:rPr>
              <w:t>Batter</w:t>
            </w:r>
          </w:p>
        </w:tc>
        <w:tc>
          <w:tcPr>
            <w:tcW w:w="0" w:type="auto"/>
            <w:shd w:val="clear" w:color="auto" w:fill="000000"/>
            <w:tcMar>
              <w:top w:w="100" w:type="dxa"/>
              <w:left w:w="120" w:type="dxa"/>
              <w:bottom w:w="100" w:type="dxa"/>
              <w:right w:w="120" w:type="dxa"/>
            </w:tcMar>
            <w:vAlign w:val="center"/>
          </w:tcPr>
          <w:p w14:paraId="6B17312C">
            <w:r>
              <w:rPr>
                <w:b/>
                <w:bCs/>
                <w:color w:val="E8B84B"/>
                <w:sz w:val="19"/>
                <w:szCs w:val="19"/>
              </w:rPr>
              <w:t>Total Runs</w:t>
            </w:r>
          </w:p>
        </w:tc>
      </w:tr>
      <w:tr w14:paraId="3CCD693C">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32021D30">
            <w:r>
              <w:rPr>
                <w:color w:val="F1E4E9"/>
                <w:sz w:val="19"/>
                <w:szCs w:val="19"/>
              </w:rPr>
              <w:t>V Kohli</w:t>
            </w:r>
          </w:p>
        </w:tc>
        <w:tc>
          <w:tcPr>
            <w:tcW w:w="0" w:type="auto"/>
            <w:shd w:val="clear" w:color="auto" w:fill="4A0F26"/>
            <w:tcMar>
              <w:top w:w="90" w:type="dxa"/>
              <w:left w:w="120" w:type="dxa"/>
              <w:bottom w:w="90" w:type="dxa"/>
              <w:right w:w="120" w:type="dxa"/>
            </w:tcMar>
            <w:vAlign w:val="center"/>
          </w:tcPr>
          <w:p w14:paraId="0AAE9402">
            <w:r>
              <w:rPr>
                <w:color w:val="F1E4E9"/>
                <w:sz w:val="19"/>
                <w:szCs w:val="19"/>
              </w:rPr>
              <w:t>8,671</w:t>
            </w:r>
          </w:p>
        </w:tc>
      </w:tr>
      <w:tr w14:paraId="3EE8EE36">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0A06CCAD">
            <w:r>
              <w:rPr>
                <w:color w:val="F1E4E9"/>
                <w:sz w:val="19"/>
                <w:szCs w:val="19"/>
              </w:rPr>
              <w:t>RG Sharma</w:t>
            </w:r>
          </w:p>
        </w:tc>
        <w:tc>
          <w:tcPr>
            <w:tcW w:w="0" w:type="auto"/>
            <w:shd w:val="clear" w:color="auto" w:fill="5C1230"/>
            <w:tcMar>
              <w:top w:w="90" w:type="dxa"/>
              <w:left w:w="120" w:type="dxa"/>
              <w:bottom w:w="90" w:type="dxa"/>
              <w:right w:w="120" w:type="dxa"/>
            </w:tcMar>
            <w:vAlign w:val="center"/>
          </w:tcPr>
          <w:p w14:paraId="74A543D8">
            <w:r>
              <w:rPr>
                <w:color w:val="F1E4E9"/>
                <w:sz w:val="19"/>
                <w:szCs w:val="19"/>
              </w:rPr>
              <w:t>7,048</w:t>
            </w:r>
          </w:p>
        </w:tc>
      </w:tr>
      <w:tr w14:paraId="6FF2B552">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78884173">
            <w:r>
              <w:rPr>
                <w:color w:val="F1E4E9"/>
                <w:sz w:val="19"/>
                <w:szCs w:val="19"/>
              </w:rPr>
              <w:t>S Dhawan</w:t>
            </w:r>
          </w:p>
        </w:tc>
        <w:tc>
          <w:tcPr>
            <w:tcW w:w="0" w:type="auto"/>
            <w:shd w:val="clear" w:color="auto" w:fill="4A0F26"/>
            <w:tcMar>
              <w:top w:w="90" w:type="dxa"/>
              <w:left w:w="120" w:type="dxa"/>
              <w:bottom w:w="90" w:type="dxa"/>
              <w:right w:w="120" w:type="dxa"/>
            </w:tcMar>
            <w:vAlign w:val="center"/>
          </w:tcPr>
          <w:p w14:paraId="05E52002">
            <w:r>
              <w:rPr>
                <w:color w:val="F1E4E9"/>
                <w:sz w:val="19"/>
                <w:szCs w:val="19"/>
              </w:rPr>
              <w:t>6,769</w:t>
            </w:r>
          </w:p>
        </w:tc>
      </w:tr>
      <w:tr w14:paraId="65F722C4">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5BC16E3D">
            <w:r>
              <w:rPr>
                <w:color w:val="F1E4E9"/>
                <w:sz w:val="19"/>
                <w:szCs w:val="19"/>
              </w:rPr>
              <w:t>DA Warner</w:t>
            </w:r>
          </w:p>
        </w:tc>
        <w:tc>
          <w:tcPr>
            <w:tcW w:w="0" w:type="auto"/>
            <w:shd w:val="clear" w:color="auto" w:fill="5C1230"/>
            <w:tcMar>
              <w:top w:w="90" w:type="dxa"/>
              <w:left w:w="120" w:type="dxa"/>
              <w:bottom w:w="90" w:type="dxa"/>
              <w:right w:w="120" w:type="dxa"/>
            </w:tcMar>
            <w:vAlign w:val="center"/>
          </w:tcPr>
          <w:p w14:paraId="7A118895">
            <w:r>
              <w:rPr>
                <w:color w:val="F1E4E9"/>
                <w:sz w:val="19"/>
                <w:szCs w:val="19"/>
              </w:rPr>
              <w:t>6,567</w:t>
            </w:r>
          </w:p>
        </w:tc>
      </w:tr>
      <w:tr w14:paraId="741AAE39">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158352F5">
            <w:r>
              <w:rPr>
                <w:color w:val="F1E4E9"/>
                <w:sz w:val="19"/>
                <w:szCs w:val="19"/>
              </w:rPr>
              <w:t>SK Raina</w:t>
            </w:r>
          </w:p>
        </w:tc>
        <w:tc>
          <w:tcPr>
            <w:tcW w:w="0" w:type="auto"/>
            <w:shd w:val="clear" w:color="auto" w:fill="4A0F26"/>
            <w:tcMar>
              <w:top w:w="90" w:type="dxa"/>
              <w:left w:w="120" w:type="dxa"/>
              <w:bottom w:w="90" w:type="dxa"/>
              <w:right w:w="120" w:type="dxa"/>
            </w:tcMar>
            <w:vAlign w:val="center"/>
          </w:tcPr>
          <w:p w14:paraId="0EFED472">
            <w:r>
              <w:rPr>
                <w:color w:val="F1E4E9"/>
                <w:sz w:val="19"/>
                <w:szCs w:val="19"/>
              </w:rPr>
              <w:t>5,536</w:t>
            </w:r>
          </w:p>
        </w:tc>
      </w:tr>
      <w:tr w14:paraId="4A6D6C1B">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32F5A321">
            <w:r>
              <w:rPr>
                <w:color w:val="F1E4E9"/>
                <w:sz w:val="19"/>
                <w:szCs w:val="19"/>
              </w:rPr>
              <w:t>MS Dhoni</w:t>
            </w:r>
          </w:p>
        </w:tc>
        <w:tc>
          <w:tcPr>
            <w:tcW w:w="0" w:type="auto"/>
            <w:shd w:val="clear" w:color="auto" w:fill="5C1230"/>
            <w:tcMar>
              <w:top w:w="90" w:type="dxa"/>
              <w:left w:w="120" w:type="dxa"/>
              <w:bottom w:w="90" w:type="dxa"/>
              <w:right w:w="120" w:type="dxa"/>
            </w:tcMar>
            <w:vAlign w:val="center"/>
          </w:tcPr>
          <w:p w14:paraId="126280B8">
            <w:r>
              <w:rPr>
                <w:color w:val="F1E4E9"/>
                <w:sz w:val="19"/>
                <w:szCs w:val="19"/>
              </w:rPr>
              <w:t>~5,350*</w:t>
            </w:r>
          </w:p>
        </w:tc>
      </w:tr>
      <w:tr w14:paraId="7B282403">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520368DE">
            <w:r>
              <w:rPr>
                <w:color w:val="F1E4E9"/>
                <w:sz w:val="19"/>
                <w:szCs w:val="19"/>
              </w:rPr>
              <w:t>KL Rahul</w:t>
            </w:r>
          </w:p>
        </w:tc>
        <w:tc>
          <w:tcPr>
            <w:tcW w:w="0" w:type="auto"/>
            <w:shd w:val="clear" w:color="auto" w:fill="4A0F26"/>
            <w:tcMar>
              <w:top w:w="90" w:type="dxa"/>
              <w:left w:w="120" w:type="dxa"/>
              <w:bottom w:w="90" w:type="dxa"/>
              <w:right w:w="120" w:type="dxa"/>
            </w:tcMar>
            <w:vAlign w:val="center"/>
          </w:tcPr>
          <w:p w14:paraId="3C101309">
            <w:r>
              <w:rPr>
                <w:color w:val="F1E4E9"/>
                <w:sz w:val="19"/>
                <w:szCs w:val="19"/>
              </w:rPr>
              <w:t>~5,200*</w:t>
            </w:r>
          </w:p>
        </w:tc>
      </w:tr>
      <w:tr w14:paraId="5A413806">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1423E36B">
            <w:r>
              <w:rPr>
                <w:color w:val="F1E4E9"/>
                <w:sz w:val="19"/>
                <w:szCs w:val="19"/>
              </w:rPr>
              <w:t>AB de Villiers</w:t>
            </w:r>
          </w:p>
        </w:tc>
        <w:tc>
          <w:tcPr>
            <w:tcW w:w="0" w:type="auto"/>
            <w:shd w:val="clear" w:color="auto" w:fill="5C1230"/>
            <w:tcMar>
              <w:top w:w="90" w:type="dxa"/>
              <w:left w:w="120" w:type="dxa"/>
              <w:bottom w:w="90" w:type="dxa"/>
              <w:right w:w="120" w:type="dxa"/>
            </w:tcMar>
            <w:vAlign w:val="center"/>
          </w:tcPr>
          <w:p w14:paraId="6B6D766D">
            <w:r>
              <w:rPr>
                <w:color w:val="F1E4E9"/>
                <w:sz w:val="19"/>
                <w:szCs w:val="19"/>
              </w:rPr>
              <w:t>~5,100*</w:t>
            </w:r>
          </w:p>
        </w:tc>
      </w:tr>
      <w:tr w14:paraId="28725885">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794B3411">
            <w:r>
              <w:rPr>
                <w:color w:val="F1E4E9"/>
                <w:sz w:val="19"/>
                <w:szCs w:val="19"/>
              </w:rPr>
              <w:t>AM Rahane</w:t>
            </w:r>
          </w:p>
        </w:tc>
        <w:tc>
          <w:tcPr>
            <w:tcW w:w="0" w:type="auto"/>
            <w:shd w:val="clear" w:color="auto" w:fill="4A0F26"/>
            <w:tcMar>
              <w:top w:w="90" w:type="dxa"/>
              <w:left w:w="120" w:type="dxa"/>
              <w:bottom w:w="90" w:type="dxa"/>
              <w:right w:w="120" w:type="dxa"/>
            </w:tcMar>
            <w:vAlign w:val="center"/>
          </w:tcPr>
          <w:p w14:paraId="02D6661D">
            <w:r>
              <w:rPr>
                <w:color w:val="F1E4E9"/>
                <w:sz w:val="19"/>
                <w:szCs w:val="19"/>
              </w:rPr>
              <w:t>~5,000*</w:t>
            </w:r>
          </w:p>
        </w:tc>
      </w:tr>
      <w:tr w14:paraId="0CE160B7">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1A0EAC6A">
            <w:r>
              <w:rPr>
                <w:color w:val="F1E4E9"/>
                <w:sz w:val="19"/>
                <w:szCs w:val="19"/>
              </w:rPr>
              <w:t>CH Gayle</w:t>
            </w:r>
          </w:p>
        </w:tc>
        <w:tc>
          <w:tcPr>
            <w:tcW w:w="0" w:type="auto"/>
            <w:shd w:val="clear" w:color="auto" w:fill="5C1230"/>
            <w:tcMar>
              <w:top w:w="90" w:type="dxa"/>
              <w:left w:w="120" w:type="dxa"/>
              <w:bottom w:w="90" w:type="dxa"/>
              <w:right w:w="120" w:type="dxa"/>
            </w:tcMar>
            <w:vAlign w:val="center"/>
          </w:tcPr>
          <w:p w14:paraId="6303279B">
            <w:r>
              <w:rPr>
                <w:color w:val="F1E4E9"/>
                <w:sz w:val="19"/>
                <w:szCs w:val="19"/>
              </w:rPr>
              <w:t>~4,900*</w:t>
            </w:r>
          </w:p>
        </w:tc>
      </w:tr>
    </w:tbl>
    <w:p w14:paraId="29ECAA9A">
      <w:pPr>
        <w:spacing w:after="160"/>
      </w:pPr>
      <w:r>
        <w:rPr>
          <w:i/>
          <w:iCs/>
          <w:color w:val="C9AEB8"/>
          <w:sz w:val="16"/>
          <w:szCs w:val="16"/>
        </w:rPr>
        <w:t>* Approximate, read from the source report's chart, within its stated range of roughly 4,900–6,600 runs.</w:t>
      </w:r>
    </w:p>
    <w:p w14:paraId="78164568">
      <w:pPr>
        <w:spacing w:after="220"/>
      </w:pPr>
    </w:p>
    <w:p w14:paraId="28A04995">
      <w:pPr>
        <w:pStyle w:val="3"/>
        <w:spacing w:before="260" w:after="140"/>
      </w:pPr>
      <w:r>
        <w:rPr>
          <w:b/>
          <w:bCs/>
          <w:color w:val="E8B84B"/>
          <w:sz w:val="24"/>
          <w:szCs w:val="24"/>
        </w:rPr>
        <w:t>Top 10 Wicket Takers</w:t>
      </w:r>
    </w:p>
    <w:tbl>
      <w:tblPr>
        <w:tblStyle w:val="9"/>
        <w:tblW w:w="9350" w:type="dxa"/>
        <w:tblInd w:w="0" w:type="dxa"/>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Layout w:type="autofit"/>
        <w:tblCellMar>
          <w:top w:w="0" w:type="dxa"/>
          <w:left w:w="10" w:type="dxa"/>
          <w:bottom w:w="0" w:type="dxa"/>
          <w:right w:w="10" w:type="dxa"/>
        </w:tblCellMar>
      </w:tblPr>
      <w:tblGrid>
        <w:gridCol w:w="5169"/>
        <w:gridCol w:w="4181"/>
      </w:tblGrid>
      <w:tr w14:paraId="7A05D0E5">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rPr>
          <w:tblHeader/>
        </w:trPr>
        <w:tc>
          <w:tcPr>
            <w:tcW w:w="0" w:type="auto"/>
            <w:shd w:val="clear" w:color="auto" w:fill="000000"/>
            <w:tcMar>
              <w:top w:w="100" w:type="dxa"/>
              <w:left w:w="120" w:type="dxa"/>
              <w:bottom w:w="100" w:type="dxa"/>
              <w:right w:w="120" w:type="dxa"/>
            </w:tcMar>
            <w:vAlign w:val="center"/>
          </w:tcPr>
          <w:p w14:paraId="2B136137">
            <w:r>
              <w:rPr>
                <w:b/>
                <w:bCs/>
                <w:color w:val="E8B84B"/>
                <w:sz w:val="19"/>
                <w:szCs w:val="19"/>
              </w:rPr>
              <w:t>Bowler</w:t>
            </w:r>
          </w:p>
        </w:tc>
        <w:tc>
          <w:tcPr>
            <w:tcW w:w="0" w:type="auto"/>
            <w:shd w:val="clear" w:color="auto" w:fill="000000"/>
            <w:tcMar>
              <w:top w:w="100" w:type="dxa"/>
              <w:left w:w="120" w:type="dxa"/>
              <w:bottom w:w="100" w:type="dxa"/>
              <w:right w:w="120" w:type="dxa"/>
            </w:tcMar>
            <w:vAlign w:val="center"/>
          </w:tcPr>
          <w:p w14:paraId="5F388DE6">
            <w:r>
              <w:rPr>
                <w:b/>
                <w:bCs/>
                <w:color w:val="E8B84B"/>
                <w:sz w:val="19"/>
                <w:szCs w:val="19"/>
              </w:rPr>
              <w:t>Wickets</w:t>
            </w:r>
          </w:p>
        </w:tc>
      </w:tr>
      <w:tr w14:paraId="6B986BEF">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007CCF58">
            <w:r>
              <w:rPr>
                <w:color w:val="F1E4E9"/>
                <w:sz w:val="19"/>
                <w:szCs w:val="19"/>
              </w:rPr>
              <w:t>YS Chahal</w:t>
            </w:r>
          </w:p>
        </w:tc>
        <w:tc>
          <w:tcPr>
            <w:tcW w:w="0" w:type="auto"/>
            <w:shd w:val="clear" w:color="auto" w:fill="4A0F26"/>
            <w:tcMar>
              <w:top w:w="90" w:type="dxa"/>
              <w:left w:w="120" w:type="dxa"/>
              <w:bottom w:w="90" w:type="dxa"/>
              <w:right w:w="120" w:type="dxa"/>
            </w:tcMar>
            <w:vAlign w:val="center"/>
          </w:tcPr>
          <w:p w14:paraId="0FD04280">
            <w:r>
              <w:rPr>
                <w:color w:val="F1E4E9"/>
                <w:sz w:val="19"/>
                <w:szCs w:val="19"/>
              </w:rPr>
              <w:t>221</w:t>
            </w:r>
          </w:p>
        </w:tc>
      </w:tr>
      <w:tr w14:paraId="2E4D585E">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2E5AF3D3">
            <w:r>
              <w:rPr>
                <w:color w:val="F1E4E9"/>
                <w:sz w:val="19"/>
                <w:szCs w:val="19"/>
              </w:rPr>
              <w:t>B Kumar</w:t>
            </w:r>
          </w:p>
        </w:tc>
        <w:tc>
          <w:tcPr>
            <w:tcW w:w="0" w:type="auto"/>
            <w:shd w:val="clear" w:color="auto" w:fill="5C1230"/>
            <w:tcMar>
              <w:top w:w="90" w:type="dxa"/>
              <w:left w:w="120" w:type="dxa"/>
              <w:bottom w:w="90" w:type="dxa"/>
              <w:right w:w="120" w:type="dxa"/>
            </w:tcMar>
            <w:vAlign w:val="center"/>
          </w:tcPr>
          <w:p w14:paraId="344AB9E4">
            <w:r>
              <w:rPr>
                <w:color w:val="F1E4E9"/>
                <w:sz w:val="19"/>
                <w:szCs w:val="19"/>
              </w:rPr>
              <w:t>198</w:t>
            </w:r>
          </w:p>
        </w:tc>
      </w:tr>
      <w:tr w14:paraId="1A4104F7">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3AA793C4">
            <w:r>
              <w:rPr>
                <w:color w:val="F1E4E9"/>
                <w:sz w:val="19"/>
                <w:szCs w:val="19"/>
              </w:rPr>
              <w:t>PP Chawla</w:t>
            </w:r>
          </w:p>
        </w:tc>
        <w:tc>
          <w:tcPr>
            <w:tcW w:w="0" w:type="auto"/>
            <w:shd w:val="clear" w:color="auto" w:fill="4A0F26"/>
            <w:tcMar>
              <w:top w:w="90" w:type="dxa"/>
              <w:left w:w="120" w:type="dxa"/>
              <w:bottom w:w="90" w:type="dxa"/>
              <w:right w:w="120" w:type="dxa"/>
            </w:tcMar>
            <w:vAlign w:val="center"/>
          </w:tcPr>
          <w:p w14:paraId="35D9BB00">
            <w:r>
              <w:rPr>
                <w:color w:val="F1E4E9"/>
                <w:sz w:val="19"/>
                <w:szCs w:val="19"/>
              </w:rPr>
              <w:t>192</w:t>
            </w:r>
          </w:p>
        </w:tc>
      </w:tr>
      <w:tr w14:paraId="1AB4E4C8">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25267B69">
            <w:r>
              <w:rPr>
                <w:color w:val="F1E4E9"/>
                <w:sz w:val="19"/>
                <w:szCs w:val="19"/>
              </w:rPr>
              <w:t>SP Narine</w:t>
            </w:r>
          </w:p>
        </w:tc>
        <w:tc>
          <w:tcPr>
            <w:tcW w:w="0" w:type="auto"/>
            <w:shd w:val="clear" w:color="auto" w:fill="5C1230"/>
            <w:tcMar>
              <w:top w:w="90" w:type="dxa"/>
              <w:left w:w="120" w:type="dxa"/>
              <w:bottom w:w="90" w:type="dxa"/>
              <w:right w:w="120" w:type="dxa"/>
            </w:tcMar>
            <w:vAlign w:val="center"/>
          </w:tcPr>
          <w:p w14:paraId="49C3A793">
            <w:r>
              <w:rPr>
                <w:color w:val="F1E4E9"/>
                <w:sz w:val="19"/>
                <w:szCs w:val="19"/>
              </w:rPr>
              <w:t>192</w:t>
            </w:r>
          </w:p>
        </w:tc>
      </w:tr>
      <w:tr w14:paraId="77651A74">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141BCEB6">
            <w:r>
              <w:rPr>
                <w:color w:val="F1E4E9"/>
                <w:sz w:val="19"/>
                <w:szCs w:val="19"/>
              </w:rPr>
              <w:t>R Ashwin</w:t>
            </w:r>
          </w:p>
        </w:tc>
        <w:tc>
          <w:tcPr>
            <w:tcW w:w="0" w:type="auto"/>
            <w:shd w:val="clear" w:color="auto" w:fill="4A0F26"/>
            <w:tcMar>
              <w:top w:w="90" w:type="dxa"/>
              <w:left w:w="120" w:type="dxa"/>
              <w:bottom w:w="90" w:type="dxa"/>
              <w:right w:w="120" w:type="dxa"/>
            </w:tcMar>
            <w:vAlign w:val="center"/>
          </w:tcPr>
          <w:p w14:paraId="1EEEF568">
            <w:r>
              <w:rPr>
                <w:color w:val="F1E4E9"/>
                <w:sz w:val="19"/>
                <w:szCs w:val="19"/>
              </w:rPr>
              <w:t>187</w:t>
            </w:r>
          </w:p>
        </w:tc>
      </w:tr>
      <w:tr w14:paraId="65239E50">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31A0A6BF">
            <w:r>
              <w:rPr>
                <w:color w:val="F1E4E9"/>
                <w:sz w:val="19"/>
                <w:szCs w:val="19"/>
              </w:rPr>
              <w:t>JJ Bumrah</w:t>
            </w:r>
          </w:p>
        </w:tc>
        <w:tc>
          <w:tcPr>
            <w:tcW w:w="0" w:type="auto"/>
            <w:shd w:val="clear" w:color="auto" w:fill="5C1230"/>
            <w:tcMar>
              <w:top w:w="90" w:type="dxa"/>
              <w:left w:w="120" w:type="dxa"/>
              <w:bottom w:w="90" w:type="dxa"/>
              <w:right w:w="120" w:type="dxa"/>
            </w:tcMar>
            <w:vAlign w:val="center"/>
          </w:tcPr>
          <w:p w14:paraId="30332509">
            <w:r>
              <w:rPr>
                <w:color w:val="F1E4E9"/>
                <w:sz w:val="19"/>
                <w:szCs w:val="19"/>
              </w:rPr>
              <w:t>186</w:t>
            </w:r>
          </w:p>
        </w:tc>
      </w:tr>
      <w:tr w14:paraId="2F715B89">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533DB37C">
            <w:r>
              <w:rPr>
                <w:color w:val="F1E4E9"/>
                <w:sz w:val="19"/>
                <w:szCs w:val="19"/>
              </w:rPr>
              <w:t>DJ Bravo</w:t>
            </w:r>
          </w:p>
        </w:tc>
        <w:tc>
          <w:tcPr>
            <w:tcW w:w="0" w:type="auto"/>
            <w:shd w:val="clear" w:color="auto" w:fill="4A0F26"/>
            <w:tcMar>
              <w:top w:w="90" w:type="dxa"/>
              <w:left w:w="120" w:type="dxa"/>
              <w:bottom w:w="90" w:type="dxa"/>
              <w:right w:w="120" w:type="dxa"/>
            </w:tcMar>
            <w:vAlign w:val="center"/>
          </w:tcPr>
          <w:p w14:paraId="1B9BFB12">
            <w:r>
              <w:rPr>
                <w:color w:val="F1E4E9"/>
                <w:sz w:val="19"/>
                <w:szCs w:val="19"/>
              </w:rPr>
              <w:t>~183*</w:t>
            </w:r>
          </w:p>
        </w:tc>
      </w:tr>
      <w:tr w14:paraId="6F9260AD">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739CA979">
            <w:r>
              <w:rPr>
                <w:color w:val="F1E4E9"/>
                <w:sz w:val="19"/>
                <w:szCs w:val="19"/>
              </w:rPr>
              <w:t>A Mishra</w:t>
            </w:r>
          </w:p>
        </w:tc>
        <w:tc>
          <w:tcPr>
            <w:tcW w:w="0" w:type="auto"/>
            <w:shd w:val="clear" w:color="auto" w:fill="5C1230"/>
            <w:tcMar>
              <w:top w:w="90" w:type="dxa"/>
              <w:left w:w="120" w:type="dxa"/>
              <w:bottom w:w="90" w:type="dxa"/>
              <w:right w:w="120" w:type="dxa"/>
            </w:tcMar>
            <w:vAlign w:val="center"/>
          </w:tcPr>
          <w:p w14:paraId="21F7028D">
            <w:r>
              <w:rPr>
                <w:color w:val="F1E4E9"/>
                <w:sz w:val="19"/>
                <w:szCs w:val="19"/>
              </w:rPr>
              <w:t>~175*</w:t>
            </w:r>
          </w:p>
        </w:tc>
      </w:tr>
      <w:tr w14:paraId="169DDB9F">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4B17CC92">
            <w:r>
              <w:rPr>
                <w:color w:val="F1E4E9"/>
                <w:sz w:val="19"/>
                <w:szCs w:val="19"/>
              </w:rPr>
              <w:t>RA Jadeja</w:t>
            </w:r>
          </w:p>
        </w:tc>
        <w:tc>
          <w:tcPr>
            <w:tcW w:w="0" w:type="auto"/>
            <w:shd w:val="clear" w:color="auto" w:fill="4A0F26"/>
            <w:tcMar>
              <w:top w:w="90" w:type="dxa"/>
              <w:left w:w="120" w:type="dxa"/>
              <w:bottom w:w="90" w:type="dxa"/>
              <w:right w:w="120" w:type="dxa"/>
            </w:tcMar>
            <w:vAlign w:val="center"/>
          </w:tcPr>
          <w:p w14:paraId="2EEBD22E">
            <w:r>
              <w:rPr>
                <w:color w:val="F1E4E9"/>
                <w:sz w:val="19"/>
                <w:szCs w:val="19"/>
              </w:rPr>
              <w:t>~170*</w:t>
            </w:r>
          </w:p>
        </w:tc>
      </w:tr>
      <w:tr w14:paraId="289B248F">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15ABA9D3">
            <w:r>
              <w:rPr>
                <w:color w:val="F1E4E9"/>
                <w:sz w:val="19"/>
                <w:szCs w:val="19"/>
              </w:rPr>
              <w:t>SL Malinga</w:t>
            </w:r>
          </w:p>
        </w:tc>
        <w:tc>
          <w:tcPr>
            <w:tcW w:w="0" w:type="auto"/>
            <w:shd w:val="clear" w:color="auto" w:fill="5C1230"/>
            <w:tcMar>
              <w:top w:w="90" w:type="dxa"/>
              <w:left w:w="120" w:type="dxa"/>
              <w:bottom w:w="90" w:type="dxa"/>
              <w:right w:w="120" w:type="dxa"/>
            </w:tcMar>
            <w:vAlign w:val="center"/>
          </w:tcPr>
          <w:p w14:paraId="16F23326">
            <w:r>
              <w:rPr>
                <w:color w:val="F1E4E9"/>
                <w:sz w:val="19"/>
                <w:szCs w:val="19"/>
              </w:rPr>
              <w:t>~170*</w:t>
            </w:r>
          </w:p>
        </w:tc>
      </w:tr>
    </w:tbl>
    <w:p w14:paraId="35B56365">
      <w:pPr>
        <w:spacing w:after="160"/>
      </w:pPr>
      <w:r>
        <w:rPr>
          <w:i/>
          <w:iCs/>
          <w:color w:val="C9AEB8"/>
          <w:sz w:val="16"/>
          <w:szCs w:val="16"/>
        </w:rPr>
        <w:t>* Approximate, read from the source report's chart — not stated as an exact figure in the source text.</w:t>
      </w:r>
    </w:p>
    <w:p w14:paraId="52A718F6">
      <w:r>
        <w:br w:type="page"/>
      </w:r>
    </w:p>
    <w:p w14:paraId="0798E4CD">
      <w:pPr>
        <w:pStyle w:val="3"/>
        <w:spacing w:before="260" w:after="140"/>
      </w:pPr>
      <w:r>
        <w:rPr>
          <w:b/>
          <w:bCs/>
          <w:color w:val="E8B84B"/>
          <w:sz w:val="24"/>
          <w:szCs w:val="24"/>
        </w:rPr>
        <w:t>Dismissal Kind Distribution</w:t>
      </w:r>
    </w:p>
    <w:tbl>
      <w:tblPr>
        <w:tblStyle w:val="9"/>
        <w:tblW w:w="9350" w:type="dxa"/>
        <w:tblInd w:w="0" w:type="dxa"/>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Layout w:type="autofit"/>
        <w:tblCellMar>
          <w:top w:w="0" w:type="dxa"/>
          <w:left w:w="10" w:type="dxa"/>
          <w:bottom w:w="0" w:type="dxa"/>
          <w:right w:w="10" w:type="dxa"/>
        </w:tblCellMar>
      </w:tblPr>
      <w:tblGrid>
        <w:gridCol w:w="6759"/>
        <w:gridCol w:w="2591"/>
      </w:tblGrid>
      <w:tr w14:paraId="021FEF9A">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rPr>
          <w:tblHeader/>
        </w:trPr>
        <w:tc>
          <w:tcPr>
            <w:tcW w:w="0" w:type="auto"/>
            <w:shd w:val="clear" w:color="auto" w:fill="000000"/>
            <w:tcMar>
              <w:top w:w="100" w:type="dxa"/>
              <w:left w:w="120" w:type="dxa"/>
              <w:bottom w:w="100" w:type="dxa"/>
              <w:right w:w="120" w:type="dxa"/>
            </w:tcMar>
            <w:vAlign w:val="center"/>
          </w:tcPr>
          <w:p w14:paraId="0E525A71">
            <w:r>
              <w:rPr>
                <w:b/>
                <w:bCs/>
                <w:color w:val="E8B84B"/>
                <w:sz w:val="19"/>
                <w:szCs w:val="19"/>
              </w:rPr>
              <w:t>Dismissal Kind</w:t>
            </w:r>
          </w:p>
        </w:tc>
        <w:tc>
          <w:tcPr>
            <w:tcW w:w="0" w:type="auto"/>
            <w:shd w:val="clear" w:color="auto" w:fill="000000"/>
            <w:tcMar>
              <w:top w:w="100" w:type="dxa"/>
              <w:left w:w="120" w:type="dxa"/>
              <w:bottom w:w="100" w:type="dxa"/>
              <w:right w:w="120" w:type="dxa"/>
            </w:tcMar>
            <w:vAlign w:val="center"/>
          </w:tcPr>
          <w:p w14:paraId="7E347862">
            <w:r>
              <w:rPr>
                <w:b/>
                <w:bCs/>
                <w:color w:val="E8B84B"/>
                <w:sz w:val="19"/>
                <w:szCs w:val="19"/>
              </w:rPr>
              <w:t>Count</w:t>
            </w:r>
          </w:p>
        </w:tc>
      </w:tr>
      <w:tr w14:paraId="22D0D75C">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2D800DB9">
            <w:r>
              <w:rPr>
                <w:color w:val="F1E4E9"/>
                <w:sz w:val="19"/>
                <w:szCs w:val="19"/>
              </w:rPr>
              <w:t>Caught</w:t>
            </w:r>
          </w:p>
        </w:tc>
        <w:tc>
          <w:tcPr>
            <w:tcW w:w="0" w:type="auto"/>
            <w:shd w:val="clear" w:color="auto" w:fill="4A0F26"/>
            <w:tcMar>
              <w:top w:w="90" w:type="dxa"/>
              <w:left w:w="120" w:type="dxa"/>
              <w:bottom w:w="90" w:type="dxa"/>
              <w:right w:w="120" w:type="dxa"/>
            </w:tcMar>
            <w:vAlign w:val="center"/>
          </w:tcPr>
          <w:p w14:paraId="2F1CE1D6">
            <w:r>
              <w:rPr>
                <w:color w:val="F1E4E9"/>
                <w:sz w:val="19"/>
                <w:szCs w:val="19"/>
              </w:rPr>
              <w:t>8,665</w:t>
            </w:r>
          </w:p>
        </w:tc>
      </w:tr>
      <w:tr w14:paraId="57C2CC8B">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56087A55">
            <w:r>
              <w:rPr>
                <w:color w:val="F1E4E9"/>
                <w:sz w:val="19"/>
                <w:szCs w:val="19"/>
              </w:rPr>
              <w:t>Bowled</w:t>
            </w:r>
          </w:p>
        </w:tc>
        <w:tc>
          <w:tcPr>
            <w:tcW w:w="0" w:type="auto"/>
            <w:shd w:val="clear" w:color="auto" w:fill="5C1230"/>
            <w:tcMar>
              <w:top w:w="90" w:type="dxa"/>
              <w:left w:w="120" w:type="dxa"/>
              <w:bottom w:w="90" w:type="dxa"/>
              <w:right w:w="120" w:type="dxa"/>
            </w:tcMar>
            <w:vAlign w:val="center"/>
          </w:tcPr>
          <w:p w14:paraId="539B2C96">
            <w:r>
              <w:rPr>
                <w:color w:val="F1E4E9"/>
                <w:sz w:val="19"/>
                <w:szCs w:val="19"/>
              </w:rPr>
              <w:t>2,345</w:t>
            </w:r>
          </w:p>
        </w:tc>
      </w:tr>
      <w:tr w14:paraId="0AE6A49A">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1A5A797C">
            <w:r>
              <w:rPr>
                <w:color w:val="F1E4E9"/>
                <w:sz w:val="19"/>
                <w:szCs w:val="19"/>
              </w:rPr>
              <w:t>Run Out</w:t>
            </w:r>
          </w:p>
        </w:tc>
        <w:tc>
          <w:tcPr>
            <w:tcW w:w="0" w:type="auto"/>
            <w:shd w:val="clear" w:color="auto" w:fill="4A0F26"/>
            <w:tcMar>
              <w:top w:w="90" w:type="dxa"/>
              <w:left w:w="120" w:type="dxa"/>
              <w:bottom w:w="90" w:type="dxa"/>
              <w:right w:w="120" w:type="dxa"/>
            </w:tcMar>
            <w:vAlign w:val="center"/>
          </w:tcPr>
          <w:p w14:paraId="4E11138B">
            <w:r>
              <w:rPr>
                <w:color w:val="F1E4E9"/>
                <w:sz w:val="19"/>
                <w:szCs w:val="19"/>
              </w:rPr>
              <w:t>1,153</w:t>
            </w:r>
          </w:p>
        </w:tc>
      </w:tr>
      <w:tr w14:paraId="677330B3">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20E635CB">
            <w:r>
              <w:rPr>
                <w:color w:val="F1E4E9"/>
                <w:sz w:val="19"/>
                <w:szCs w:val="19"/>
              </w:rPr>
              <w:t>LBW</w:t>
            </w:r>
          </w:p>
        </w:tc>
        <w:tc>
          <w:tcPr>
            <w:tcW w:w="0" w:type="auto"/>
            <w:shd w:val="clear" w:color="auto" w:fill="5C1230"/>
            <w:tcMar>
              <w:top w:w="90" w:type="dxa"/>
              <w:left w:w="120" w:type="dxa"/>
              <w:bottom w:w="90" w:type="dxa"/>
              <w:right w:w="120" w:type="dxa"/>
            </w:tcMar>
            <w:vAlign w:val="center"/>
          </w:tcPr>
          <w:p w14:paraId="0792012E">
            <w:r>
              <w:rPr>
                <w:color w:val="F1E4E9"/>
                <w:sz w:val="19"/>
                <w:szCs w:val="19"/>
              </w:rPr>
              <w:t>853</w:t>
            </w:r>
          </w:p>
        </w:tc>
      </w:tr>
      <w:tr w14:paraId="53300BF1">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40AA8B44">
            <w:r>
              <w:rPr>
                <w:color w:val="F1E4E9"/>
                <w:sz w:val="19"/>
                <w:szCs w:val="19"/>
              </w:rPr>
              <w:t>Caught and Bowled</w:t>
            </w:r>
          </w:p>
        </w:tc>
        <w:tc>
          <w:tcPr>
            <w:tcW w:w="0" w:type="auto"/>
            <w:shd w:val="clear" w:color="auto" w:fill="4A0F26"/>
            <w:tcMar>
              <w:top w:w="90" w:type="dxa"/>
              <w:left w:w="120" w:type="dxa"/>
              <w:bottom w:w="90" w:type="dxa"/>
              <w:right w:w="120" w:type="dxa"/>
            </w:tcMar>
            <w:vAlign w:val="center"/>
          </w:tcPr>
          <w:p w14:paraId="6A4BA804">
            <w:r>
              <w:rPr>
                <w:color w:val="F1E4E9"/>
                <w:sz w:val="19"/>
                <w:szCs w:val="19"/>
              </w:rPr>
              <w:t>388</w:t>
            </w:r>
          </w:p>
        </w:tc>
      </w:tr>
      <w:tr w14:paraId="4139F982">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200C7715">
            <w:r>
              <w:rPr>
                <w:color w:val="F1E4E9"/>
                <w:sz w:val="19"/>
                <w:szCs w:val="19"/>
              </w:rPr>
              <w:t>Stumped</w:t>
            </w:r>
          </w:p>
        </w:tc>
        <w:tc>
          <w:tcPr>
            <w:tcW w:w="0" w:type="auto"/>
            <w:shd w:val="clear" w:color="auto" w:fill="5C1230"/>
            <w:tcMar>
              <w:top w:w="90" w:type="dxa"/>
              <w:left w:w="120" w:type="dxa"/>
              <w:bottom w:w="90" w:type="dxa"/>
              <w:right w:w="120" w:type="dxa"/>
            </w:tcMar>
            <w:vAlign w:val="center"/>
          </w:tcPr>
          <w:p w14:paraId="5D84ED24">
            <w:r>
              <w:rPr>
                <w:color w:val="F1E4E9"/>
                <w:sz w:val="19"/>
                <w:szCs w:val="19"/>
              </w:rPr>
              <w:t>376</w:t>
            </w:r>
          </w:p>
        </w:tc>
      </w:tr>
      <w:tr w14:paraId="0052A81E">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278B0743">
            <w:r>
              <w:rPr>
                <w:color w:val="F1E4E9"/>
                <w:sz w:val="19"/>
                <w:szCs w:val="19"/>
              </w:rPr>
              <w:t>Hit Wicket</w:t>
            </w:r>
          </w:p>
        </w:tc>
        <w:tc>
          <w:tcPr>
            <w:tcW w:w="0" w:type="auto"/>
            <w:shd w:val="clear" w:color="auto" w:fill="4A0F26"/>
            <w:tcMar>
              <w:top w:w="90" w:type="dxa"/>
              <w:left w:w="120" w:type="dxa"/>
              <w:bottom w:w="90" w:type="dxa"/>
              <w:right w:w="120" w:type="dxa"/>
            </w:tcMar>
            <w:vAlign w:val="center"/>
          </w:tcPr>
          <w:p w14:paraId="2DD08D1E">
            <w:r>
              <w:rPr>
                <w:color w:val="F1E4E9"/>
                <w:sz w:val="19"/>
                <w:szCs w:val="19"/>
              </w:rPr>
              <w:t>18</w:t>
            </w:r>
          </w:p>
        </w:tc>
      </w:tr>
      <w:tr w14:paraId="0B275FDF">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7AB77856">
            <w:r>
              <w:rPr>
                <w:color w:val="F1E4E9"/>
                <w:sz w:val="19"/>
                <w:szCs w:val="19"/>
              </w:rPr>
              <w:t>Retired Hurt</w:t>
            </w:r>
          </w:p>
        </w:tc>
        <w:tc>
          <w:tcPr>
            <w:tcW w:w="0" w:type="auto"/>
            <w:shd w:val="clear" w:color="auto" w:fill="5C1230"/>
            <w:tcMar>
              <w:top w:w="90" w:type="dxa"/>
              <w:left w:w="120" w:type="dxa"/>
              <w:bottom w:w="90" w:type="dxa"/>
              <w:right w:w="120" w:type="dxa"/>
            </w:tcMar>
            <w:vAlign w:val="center"/>
          </w:tcPr>
          <w:p w14:paraId="7B83D98C">
            <w:r>
              <w:rPr>
                <w:color w:val="F1E4E9"/>
                <w:sz w:val="19"/>
                <w:szCs w:val="19"/>
              </w:rPr>
              <w:t>17</w:t>
            </w:r>
          </w:p>
        </w:tc>
      </w:tr>
      <w:tr w14:paraId="4E249458">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5E581C00">
            <w:r>
              <w:rPr>
                <w:color w:val="F1E4E9"/>
                <w:sz w:val="19"/>
                <w:szCs w:val="19"/>
              </w:rPr>
              <w:t>Retired Out</w:t>
            </w:r>
          </w:p>
        </w:tc>
        <w:tc>
          <w:tcPr>
            <w:tcW w:w="0" w:type="auto"/>
            <w:shd w:val="clear" w:color="auto" w:fill="4A0F26"/>
            <w:tcMar>
              <w:top w:w="90" w:type="dxa"/>
              <w:left w:w="120" w:type="dxa"/>
              <w:bottom w:w="90" w:type="dxa"/>
              <w:right w:w="120" w:type="dxa"/>
            </w:tcMar>
            <w:vAlign w:val="center"/>
          </w:tcPr>
          <w:p w14:paraId="04D0B3E7">
            <w:r>
              <w:rPr>
                <w:color w:val="F1E4E9"/>
                <w:sz w:val="19"/>
                <w:szCs w:val="19"/>
              </w:rPr>
              <w:t>5</w:t>
            </w:r>
          </w:p>
        </w:tc>
      </w:tr>
      <w:tr w14:paraId="1E04DF2F">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5972F707">
            <w:r>
              <w:rPr>
                <w:color w:val="F1E4E9"/>
                <w:sz w:val="19"/>
                <w:szCs w:val="19"/>
              </w:rPr>
              <w:t>Obstructing the Field</w:t>
            </w:r>
          </w:p>
        </w:tc>
        <w:tc>
          <w:tcPr>
            <w:tcW w:w="0" w:type="auto"/>
            <w:shd w:val="clear" w:color="auto" w:fill="5C1230"/>
            <w:tcMar>
              <w:top w:w="90" w:type="dxa"/>
              <w:left w:w="120" w:type="dxa"/>
              <w:bottom w:w="90" w:type="dxa"/>
              <w:right w:w="120" w:type="dxa"/>
            </w:tcMar>
            <w:vAlign w:val="center"/>
          </w:tcPr>
          <w:p w14:paraId="053EFD1C">
            <w:r>
              <w:rPr>
                <w:color w:val="F1E4E9"/>
                <w:sz w:val="19"/>
                <w:szCs w:val="19"/>
              </w:rPr>
              <w:t>3</w:t>
            </w:r>
          </w:p>
        </w:tc>
      </w:tr>
    </w:tbl>
    <w:p w14:paraId="091E49CF">
      <w:pPr>
        <w:spacing w:after="220"/>
      </w:pPr>
    </w:p>
    <w:p w14:paraId="697CB91F">
      <w:pPr>
        <w:pStyle w:val="3"/>
        <w:spacing w:before="260" w:after="140"/>
      </w:pPr>
      <w:r>
        <w:rPr>
          <w:b/>
          <w:bCs/>
          <w:color w:val="E8B84B"/>
          <w:sz w:val="24"/>
          <w:szCs w:val="24"/>
        </w:rPr>
        <w:t>Extras Type Distribution</w:t>
      </w:r>
    </w:p>
    <w:tbl>
      <w:tblPr>
        <w:tblStyle w:val="9"/>
        <w:tblW w:w="9350" w:type="dxa"/>
        <w:tblInd w:w="0" w:type="dxa"/>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Layout w:type="autofit"/>
        <w:tblCellMar>
          <w:top w:w="0" w:type="dxa"/>
          <w:left w:w="10" w:type="dxa"/>
          <w:bottom w:w="0" w:type="dxa"/>
          <w:right w:w="10" w:type="dxa"/>
        </w:tblCellMar>
      </w:tblPr>
      <w:tblGrid>
        <w:gridCol w:w="6371"/>
        <w:gridCol w:w="2979"/>
      </w:tblGrid>
      <w:tr w14:paraId="4DA9ABBD">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rPr>
          <w:tblHeader/>
        </w:trPr>
        <w:tc>
          <w:tcPr>
            <w:tcW w:w="0" w:type="auto"/>
            <w:shd w:val="clear" w:color="auto" w:fill="000000"/>
            <w:tcMar>
              <w:top w:w="100" w:type="dxa"/>
              <w:left w:w="120" w:type="dxa"/>
              <w:bottom w:w="100" w:type="dxa"/>
              <w:right w:w="120" w:type="dxa"/>
            </w:tcMar>
            <w:vAlign w:val="center"/>
          </w:tcPr>
          <w:p w14:paraId="67BFC8E6">
            <w:r>
              <w:rPr>
                <w:b/>
                <w:bCs/>
                <w:color w:val="E8B84B"/>
                <w:sz w:val="19"/>
                <w:szCs w:val="19"/>
              </w:rPr>
              <w:t>Extra Type</w:t>
            </w:r>
          </w:p>
        </w:tc>
        <w:tc>
          <w:tcPr>
            <w:tcW w:w="0" w:type="auto"/>
            <w:shd w:val="clear" w:color="auto" w:fill="000000"/>
            <w:tcMar>
              <w:top w:w="100" w:type="dxa"/>
              <w:left w:w="120" w:type="dxa"/>
              <w:bottom w:w="100" w:type="dxa"/>
              <w:right w:w="120" w:type="dxa"/>
            </w:tcMar>
            <w:vAlign w:val="center"/>
          </w:tcPr>
          <w:p w14:paraId="187CAD0D">
            <w:r>
              <w:rPr>
                <w:b/>
                <w:bCs/>
                <w:color w:val="E8B84B"/>
                <w:sz w:val="19"/>
                <w:szCs w:val="19"/>
              </w:rPr>
              <w:t>Count</w:t>
            </w:r>
          </w:p>
        </w:tc>
      </w:tr>
      <w:tr w14:paraId="54CC7C8E">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56DDE6DD">
            <w:r>
              <w:rPr>
                <w:color w:val="F1E4E9"/>
                <w:sz w:val="19"/>
                <w:szCs w:val="19"/>
              </w:rPr>
              <w:t>Wides</w:t>
            </w:r>
          </w:p>
        </w:tc>
        <w:tc>
          <w:tcPr>
            <w:tcW w:w="0" w:type="auto"/>
            <w:shd w:val="clear" w:color="auto" w:fill="4A0F26"/>
            <w:tcMar>
              <w:top w:w="90" w:type="dxa"/>
              <w:left w:w="120" w:type="dxa"/>
              <w:bottom w:w="90" w:type="dxa"/>
              <w:right w:w="120" w:type="dxa"/>
            </w:tcMar>
            <w:vAlign w:val="center"/>
          </w:tcPr>
          <w:p w14:paraId="6F049A17">
            <w:r>
              <w:rPr>
                <w:color w:val="F1E4E9"/>
                <w:sz w:val="19"/>
                <w:szCs w:val="19"/>
              </w:rPr>
              <w:t>9,079</w:t>
            </w:r>
          </w:p>
        </w:tc>
      </w:tr>
      <w:tr w14:paraId="02AC1AAC">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62C7C52B">
            <w:r>
              <w:rPr>
                <w:color w:val="F1E4E9"/>
                <w:sz w:val="19"/>
                <w:szCs w:val="19"/>
              </w:rPr>
              <w:t>Leg Byes</w:t>
            </w:r>
          </w:p>
        </w:tc>
        <w:tc>
          <w:tcPr>
            <w:tcW w:w="0" w:type="auto"/>
            <w:shd w:val="clear" w:color="auto" w:fill="5C1230"/>
            <w:tcMar>
              <w:top w:w="90" w:type="dxa"/>
              <w:left w:w="120" w:type="dxa"/>
              <w:bottom w:w="90" w:type="dxa"/>
              <w:right w:w="120" w:type="dxa"/>
            </w:tcMar>
            <w:vAlign w:val="center"/>
          </w:tcPr>
          <w:p w14:paraId="25D3AEB8">
            <w:r>
              <w:rPr>
                <w:color w:val="F1E4E9"/>
                <w:sz w:val="19"/>
                <w:szCs w:val="19"/>
              </w:rPr>
              <w:t>4,203</w:t>
            </w:r>
          </w:p>
        </w:tc>
      </w:tr>
      <w:tr w14:paraId="750D9A37">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4821ACAA">
            <w:r>
              <w:rPr>
                <w:color w:val="F1E4E9"/>
                <w:sz w:val="19"/>
                <w:szCs w:val="19"/>
              </w:rPr>
              <w:t>No Balls</w:t>
            </w:r>
          </w:p>
        </w:tc>
        <w:tc>
          <w:tcPr>
            <w:tcW w:w="0" w:type="auto"/>
            <w:shd w:val="clear" w:color="auto" w:fill="4A0F26"/>
            <w:tcMar>
              <w:top w:w="90" w:type="dxa"/>
              <w:left w:w="120" w:type="dxa"/>
              <w:bottom w:w="90" w:type="dxa"/>
              <w:right w:w="120" w:type="dxa"/>
            </w:tcMar>
            <w:vAlign w:val="center"/>
          </w:tcPr>
          <w:p w14:paraId="68DAED38">
            <w:r>
              <w:rPr>
                <w:color w:val="F1E4E9"/>
                <w:sz w:val="19"/>
                <w:szCs w:val="19"/>
              </w:rPr>
              <w:t>1,136</w:t>
            </w:r>
          </w:p>
        </w:tc>
      </w:tr>
      <w:tr w14:paraId="4949A5CC">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32C0D97C">
            <w:r>
              <w:rPr>
                <w:color w:val="F1E4E9"/>
                <w:sz w:val="19"/>
                <w:szCs w:val="19"/>
              </w:rPr>
              <w:t>Byes</w:t>
            </w:r>
          </w:p>
        </w:tc>
        <w:tc>
          <w:tcPr>
            <w:tcW w:w="0" w:type="auto"/>
            <w:shd w:val="clear" w:color="auto" w:fill="5C1230"/>
            <w:tcMar>
              <w:top w:w="90" w:type="dxa"/>
              <w:left w:w="120" w:type="dxa"/>
              <w:bottom w:w="90" w:type="dxa"/>
              <w:right w:w="120" w:type="dxa"/>
            </w:tcMar>
            <w:vAlign w:val="center"/>
          </w:tcPr>
          <w:p w14:paraId="394994F2">
            <w:r>
              <w:rPr>
                <w:color w:val="F1E4E9"/>
                <w:sz w:val="19"/>
                <w:szCs w:val="19"/>
              </w:rPr>
              <w:t>686</w:t>
            </w:r>
          </w:p>
        </w:tc>
      </w:tr>
      <w:tr w14:paraId="680C4A9A">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43D64672">
            <w:r>
              <w:rPr>
                <w:color w:val="F1E4E9"/>
                <w:sz w:val="19"/>
                <w:szCs w:val="19"/>
              </w:rPr>
              <w:t>Byes, Noballs</w:t>
            </w:r>
          </w:p>
        </w:tc>
        <w:tc>
          <w:tcPr>
            <w:tcW w:w="0" w:type="auto"/>
            <w:shd w:val="clear" w:color="auto" w:fill="4A0F26"/>
            <w:tcMar>
              <w:top w:w="90" w:type="dxa"/>
              <w:left w:w="120" w:type="dxa"/>
              <w:bottom w:w="90" w:type="dxa"/>
              <w:right w:w="120" w:type="dxa"/>
            </w:tcMar>
            <w:vAlign w:val="center"/>
          </w:tcPr>
          <w:p w14:paraId="7378264D">
            <w:r>
              <w:rPr>
                <w:color w:val="F1E4E9"/>
                <w:sz w:val="19"/>
                <w:szCs w:val="19"/>
              </w:rPr>
              <w:t>15</w:t>
            </w:r>
          </w:p>
        </w:tc>
      </w:tr>
      <w:tr w14:paraId="00C15579">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3790730E">
            <w:r>
              <w:rPr>
                <w:color w:val="F1E4E9"/>
                <w:sz w:val="19"/>
                <w:szCs w:val="19"/>
              </w:rPr>
              <w:t>Legbyes, Noballs</w:t>
            </w:r>
          </w:p>
        </w:tc>
        <w:tc>
          <w:tcPr>
            <w:tcW w:w="0" w:type="auto"/>
            <w:shd w:val="clear" w:color="auto" w:fill="5C1230"/>
            <w:tcMar>
              <w:top w:w="90" w:type="dxa"/>
              <w:left w:w="120" w:type="dxa"/>
              <w:bottom w:w="90" w:type="dxa"/>
              <w:right w:w="120" w:type="dxa"/>
            </w:tcMar>
            <w:vAlign w:val="center"/>
          </w:tcPr>
          <w:p w14:paraId="72FC05B4">
            <w:r>
              <w:rPr>
                <w:color w:val="F1E4E9"/>
                <w:sz w:val="19"/>
                <w:szCs w:val="19"/>
              </w:rPr>
              <w:t>12</w:t>
            </w:r>
          </w:p>
        </w:tc>
      </w:tr>
    </w:tbl>
    <w:p w14:paraId="19C6D266">
      <w:r>
        <w:br w:type="page"/>
      </w:r>
    </w:p>
    <w:p w14:paraId="72CA5AD9">
      <w:pPr>
        <w:pStyle w:val="3"/>
        <w:spacing w:before="260" w:after="140"/>
      </w:pPr>
      <w:r>
        <w:rPr>
          <w:b/>
          <w:bCs/>
          <w:color w:val="E8B84B"/>
          <w:sz w:val="24"/>
          <w:szCs w:val="24"/>
        </w:rPr>
        <w:t>Matches Played per Season</w:t>
      </w:r>
    </w:p>
    <w:tbl>
      <w:tblPr>
        <w:tblStyle w:val="9"/>
        <w:tblW w:w="9350" w:type="dxa"/>
        <w:tblInd w:w="0" w:type="dxa"/>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Layout w:type="autofit"/>
        <w:tblCellMar>
          <w:top w:w="0" w:type="dxa"/>
          <w:left w:w="10" w:type="dxa"/>
          <w:bottom w:w="0" w:type="dxa"/>
          <w:right w:w="10" w:type="dxa"/>
        </w:tblCellMar>
      </w:tblPr>
      <w:tblGrid>
        <w:gridCol w:w="3235"/>
        <w:gridCol w:w="6115"/>
      </w:tblGrid>
      <w:tr w14:paraId="732EE50D">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rPr>
          <w:tblHeader/>
        </w:trPr>
        <w:tc>
          <w:tcPr>
            <w:tcW w:w="0" w:type="auto"/>
            <w:shd w:val="clear" w:color="auto" w:fill="000000"/>
            <w:tcMar>
              <w:top w:w="100" w:type="dxa"/>
              <w:left w:w="120" w:type="dxa"/>
              <w:bottom w:w="100" w:type="dxa"/>
              <w:right w:w="120" w:type="dxa"/>
            </w:tcMar>
            <w:vAlign w:val="center"/>
          </w:tcPr>
          <w:p w14:paraId="069005A1">
            <w:r>
              <w:rPr>
                <w:b/>
                <w:bCs/>
                <w:color w:val="E8B84B"/>
                <w:sz w:val="19"/>
                <w:szCs w:val="19"/>
              </w:rPr>
              <w:t>Season</w:t>
            </w:r>
          </w:p>
        </w:tc>
        <w:tc>
          <w:tcPr>
            <w:tcW w:w="0" w:type="auto"/>
            <w:shd w:val="clear" w:color="auto" w:fill="000000"/>
            <w:tcMar>
              <w:top w:w="100" w:type="dxa"/>
              <w:left w:w="120" w:type="dxa"/>
              <w:bottom w:w="100" w:type="dxa"/>
              <w:right w:w="120" w:type="dxa"/>
            </w:tcMar>
            <w:vAlign w:val="center"/>
          </w:tcPr>
          <w:p w14:paraId="22D4D4DC">
            <w:r>
              <w:rPr>
                <w:b/>
                <w:bCs/>
                <w:color w:val="E8B84B"/>
                <w:sz w:val="19"/>
                <w:szCs w:val="19"/>
              </w:rPr>
              <w:t>Matches (approx.)</w:t>
            </w:r>
          </w:p>
        </w:tc>
      </w:tr>
      <w:tr w14:paraId="5706E722">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5B882D16">
            <w:r>
              <w:rPr>
                <w:color w:val="F1E4E9"/>
                <w:sz w:val="19"/>
                <w:szCs w:val="19"/>
              </w:rPr>
              <w:t>2007/08</w:t>
            </w:r>
          </w:p>
        </w:tc>
        <w:tc>
          <w:tcPr>
            <w:tcW w:w="0" w:type="auto"/>
            <w:shd w:val="clear" w:color="auto" w:fill="4A0F26"/>
            <w:tcMar>
              <w:top w:w="90" w:type="dxa"/>
              <w:left w:w="120" w:type="dxa"/>
              <w:bottom w:w="90" w:type="dxa"/>
              <w:right w:w="120" w:type="dxa"/>
            </w:tcMar>
            <w:vAlign w:val="center"/>
          </w:tcPr>
          <w:p w14:paraId="7F37298F">
            <w:r>
              <w:rPr>
                <w:color w:val="F1E4E9"/>
                <w:sz w:val="19"/>
                <w:szCs w:val="19"/>
              </w:rPr>
              <w:t>58</w:t>
            </w:r>
          </w:p>
        </w:tc>
      </w:tr>
      <w:tr w14:paraId="76ED0466">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0B1C8840">
            <w:r>
              <w:rPr>
                <w:color w:val="F1E4E9"/>
                <w:sz w:val="19"/>
                <w:szCs w:val="19"/>
              </w:rPr>
              <w:t>2009</w:t>
            </w:r>
          </w:p>
        </w:tc>
        <w:tc>
          <w:tcPr>
            <w:tcW w:w="0" w:type="auto"/>
            <w:shd w:val="clear" w:color="auto" w:fill="5C1230"/>
            <w:tcMar>
              <w:top w:w="90" w:type="dxa"/>
              <w:left w:w="120" w:type="dxa"/>
              <w:bottom w:w="90" w:type="dxa"/>
              <w:right w:w="120" w:type="dxa"/>
            </w:tcMar>
            <w:vAlign w:val="center"/>
          </w:tcPr>
          <w:p w14:paraId="7B32B3C1">
            <w:r>
              <w:rPr>
                <w:color w:val="F1E4E9"/>
                <w:sz w:val="19"/>
                <w:szCs w:val="19"/>
              </w:rPr>
              <w:t>57</w:t>
            </w:r>
          </w:p>
        </w:tc>
      </w:tr>
      <w:tr w14:paraId="6FCF5634">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311B8417">
            <w:r>
              <w:rPr>
                <w:color w:val="F1E4E9"/>
                <w:sz w:val="19"/>
                <w:szCs w:val="19"/>
              </w:rPr>
              <w:t>2009/10</w:t>
            </w:r>
          </w:p>
        </w:tc>
        <w:tc>
          <w:tcPr>
            <w:tcW w:w="0" w:type="auto"/>
            <w:shd w:val="clear" w:color="auto" w:fill="4A0F26"/>
            <w:tcMar>
              <w:top w:w="90" w:type="dxa"/>
              <w:left w:w="120" w:type="dxa"/>
              <w:bottom w:w="90" w:type="dxa"/>
              <w:right w:w="120" w:type="dxa"/>
            </w:tcMar>
            <w:vAlign w:val="center"/>
          </w:tcPr>
          <w:p w14:paraId="5BE3AE04">
            <w:r>
              <w:rPr>
                <w:color w:val="F1E4E9"/>
                <w:sz w:val="19"/>
                <w:szCs w:val="19"/>
              </w:rPr>
              <w:t>60</w:t>
            </w:r>
          </w:p>
        </w:tc>
      </w:tr>
      <w:tr w14:paraId="62CC945F">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5B784A8B">
            <w:r>
              <w:rPr>
                <w:color w:val="F1E4E9"/>
                <w:sz w:val="19"/>
                <w:szCs w:val="19"/>
              </w:rPr>
              <w:t>2011</w:t>
            </w:r>
          </w:p>
        </w:tc>
        <w:tc>
          <w:tcPr>
            <w:tcW w:w="0" w:type="auto"/>
            <w:shd w:val="clear" w:color="auto" w:fill="5C1230"/>
            <w:tcMar>
              <w:top w:w="90" w:type="dxa"/>
              <w:left w:w="120" w:type="dxa"/>
              <w:bottom w:w="90" w:type="dxa"/>
              <w:right w:w="120" w:type="dxa"/>
            </w:tcMar>
            <w:vAlign w:val="center"/>
          </w:tcPr>
          <w:p w14:paraId="56E2AC4B">
            <w:r>
              <w:rPr>
                <w:color w:val="F1E4E9"/>
                <w:sz w:val="19"/>
                <w:szCs w:val="19"/>
              </w:rPr>
              <w:t>73</w:t>
            </w:r>
          </w:p>
        </w:tc>
      </w:tr>
      <w:tr w14:paraId="4B590A78">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745EF1BC">
            <w:r>
              <w:rPr>
                <w:color w:val="F1E4E9"/>
                <w:sz w:val="19"/>
                <w:szCs w:val="19"/>
              </w:rPr>
              <w:t>2012</w:t>
            </w:r>
          </w:p>
        </w:tc>
        <w:tc>
          <w:tcPr>
            <w:tcW w:w="0" w:type="auto"/>
            <w:shd w:val="clear" w:color="auto" w:fill="4A0F26"/>
            <w:tcMar>
              <w:top w:w="90" w:type="dxa"/>
              <w:left w:w="120" w:type="dxa"/>
              <w:bottom w:w="90" w:type="dxa"/>
              <w:right w:w="120" w:type="dxa"/>
            </w:tcMar>
            <w:vAlign w:val="center"/>
          </w:tcPr>
          <w:p w14:paraId="3D092891">
            <w:r>
              <w:rPr>
                <w:color w:val="F1E4E9"/>
                <w:sz w:val="19"/>
                <w:szCs w:val="19"/>
              </w:rPr>
              <w:t>74</w:t>
            </w:r>
          </w:p>
        </w:tc>
      </w:tr>
      <w:tr w14:paraId="74DDA3C9">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014B0E67">
            <w:r>
              <w:rPr>
                <w:color w:val="F1E4E9"/>
                <w:sz w:val="19"/>
                <w:szCs w:val="19"/>
              </w:rPr>
              <w:t>2013</w:t>
            </w:r>
          </w:p>
        </w:tc>
        <w:tc>
          <w:tcPr>
            <w:tcW w:w="0" w:type="auto"/>
            <w:shd w:val="clear" w:color="auto" w:fill="5C1230"/>
            <w:tcMar>
              <w:top w:w="90" w:type="dxa"/>
              <w:left w:w="120" w:type="dxa"/>
              <w:bottom w:w="90" w:type="dxa"/>
              <w:right w:w="120" w:type="dxa"/>
            </w:tcMar>
            <w:vAlign w:val="center"/>
          </w:tcPr>
          <w:p w14:paraId="45B2057F">
            <w:r>
              <w:rPr>
                <w:color w:val="F1E4E9"/>
                <w:sz w:val="19"/>
                <w:szCs w:val="19"/>
              </w:rPr>
              <w:t>76</w:t>
            </w:r>
          </w:p>
        </w:tc>
      </w:tr>
      <w:tr w14:paraId="13D9E891">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2AD71525">
            <w:r>
              <w:rPr>
                <w:color w:val="F1E4E9"/>
                <w:sz w:val="19"/>
                <w:szCs w:val="19"/>
              </w:rPr>
              <w:t>2014</w:t>
            </w:r>
          </w:p>
        </w:tc>
        <w:tc>
          <w:tcPr>
            <w:tcW w:w="0" w:type="auto"/>
            <w:shd w:val="clear" w:color="auto" w:fill="4A0F26"/>
            <w:tcMar>
              <w:top w:w="90" w:type="dxa"/>
              <w:left w:w="120" w:type="dxa"/>
              <w:bottom w:w="90" w:type="dxa"/>
              <w:right w:w="120" w:type="dxa"/>
            </w:tcMar>
            <w:vAlign w:val="center"/>
          </w:tcPr>
          <w:p w14:paraId="0281CE52">
            <w:r>
              <w:rPr>
                <w:color w:val="F1E4E9"/>
                <w:sz w:val="19"/>
                <w:szCs w:val="19"/>
              </w:rPr>
              <w:t>60</w:t>
            </w:r>
          </w:p>
        </w:tc>
      </w:tr>
      <w:tr w14:paraId="5A7ED98B">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42D3581F">
            <w:r>
              <w:rPr>
                <w:color w:val="F1E4E9"/>
                <w:sz w:val="19"/>
                <w:szCs w:val="19"/>
              </w:rPr>
              <w:t>2015</w:t>
            </w:r>
          </w:p>
        </w:tc>
        <w:tc>
          <w:tcPr>
            <w:tcW w:w="0" w:type="auto"/>
            <w:shd w:val="clear" w:color="auto" w:fill="5C1230"/>
            <w:tcMar>
              <w:top w:w="90" w:type="dxa"/>
              <w:left w:w="120" w:type="dxa"/>
              <w:bottom w:w="90" w:type="dxa"/>
              <w:right w:w="120" w:type="dxa"/>
            </w:tcMar>
            <w:vAlign w:val="center"/>
          </w:tcPr>
          <w:p w14:paraId="31097ACC">
            <w:r>
              <w:rPr>
                <w:color w:val="F1E4E9"/>
                <w:sz w:val="19"/>
                <w:szCs w:val="19"/>
              </w:rPr>
              <w:t>59</w:t>
            </w:r>
          </w:p>
        </w:tc>
      </w:tr>
      <w:tr w14:paraId="3221F1EF">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6D82E3C5">
            <w:r>
              <w:rPr>
                <w:color w:val="F1E4E9"/>
                <w:sz w:val="19"/>
                <w:szCs w:val="19"/>
              </w:rPr>
              <w:t>2016</w:t>
            </w:r>
          </w:p>
        </w:tc>
        <w:tc>
          <w:tcPr>
            <w:tcW w:w="0" w:type="auto"/>
            <w:shd w:val="clear" w:color="auto" w:fill="4A0F26"/>
            <w:tcMar>
              <w:top w:w="90" w:type="dxa"/>
              <w:left w:w="120" w:type="dxa"/>
              <w:bottom w:w="90" w:type="dxa"/>
              <w:right w:w="120" w:type="dxa"/>
            </w:tcMar>
            <w:vAlign w:val="center"/>
          </w:tcPr>
          <w:p w14:paraId="3B3FD711">
            <w:r>
              <w:rPr>
                <w:color w:val="F1E4E9"/>
                <w:sz w:val="19"/>
                <w:szCs w:val="19"/>
              </w:rPr>
              <w:t>60</w:t>
            </w:r>
          </w:p>
        </w:tc>
      </w:tr>
      <w:tr w14:paraId="7612B6F9">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71E1A431">
            <w:r>
              <w:rPr>
                <w:color w:val="F1E4E9"/>
                <w:sz w:val="19"/>
                <w:szCs w:val="19"/>
              </w:rPr>
              <w:t>2017</w:t>
            </w:r>
          </w:p>
        </w:tc>
        <w:tc>
          <w:tcPr>
            <w:tcW w:w="0" w:type="auto"/>
            <w:shd w:val="clear" w:color="auto" w:fill="5C1230"/>
            <w:tcMar>
              <w:top w:w="90" w:type="dxa"/>
              <w:left w:w="120" w:type="dxa"/>
              <w:bottom w:w="90" w:type="dxa"/>
              <w:right w:w="120" w:type="dxa"/>
            </w:tcMar>
            <w:vAlign w:val="center"/>
          </w:tcPr>
          <w:p w14:paraId="6BB283A9">
            <w:r>
              <w:rPr>
                <w:color w:val="F1E4E9"/>
                <w:sz w:val="19"/>
                <w:szCs w:val="19"/>
              </w:rPr>
              <w:t>59</w:t>
            </w:r>
          </w:p>
        </w:tc>
      </w:tr>
      <w:tr w14:paraId="67FE9986">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54357E9B">
            <w:r>
              <w:rPr>
                <w:color w:val="F1E4E9"/>
                <w:sz w:val="19"/>
                <w:szCs w:val="19"/>
              </w:rPr>
              <w:t>2018</w:t>
            </w:r>
          </w:p>
        </w:tc>
        <w:tc>
          <w:tcPr>
            <w:tcW w:w="0" w:type="auto"/>
            <w:shd w:val="clear" w:color="auto" w:fill="4A0F26"/>
            <w:tcMar>
              <w:top w:w="90" w:type="dxa"/>
              <w:left w:w="120" w:type="dxa"/>
              <w:bottom w:w="90" w:type="dxa"/>
              <w:right w:w="120" w:type="dxa"/>
            </w:tcMar>
            <w:vAlign w:val="center"/>
          </w:tcPr>
          <w:p w14:paraId="66390E96">
            <w:r>
              <w:rPr>
                <w:color w:val="F1E4E9"/>
                <w:sz w:val="19"/>
                <w:szCs w:val="19"/>
              </w:rPr>
              <w:t>60</w:t>
            </w:r>
          </w:p>
        </w:tc>
      </w:tr>
      <w:tr w14:paraId="2AE5FE58">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6D16E103">
            <w:r>
              <w:rPr>
                <w:color w:val="F1E4E9"/>
                <w:sz w:val="19"/>
                <w:szCs w:val="19"/>
              </w:rPr>
              <w:t>2019</w:t>
            </w:r>
          </w:p>
        </w:tc>
        <w:tc>
          <w:tcPr>
            <w:tcW w:w="0" w:type="auto"/>
            <w:shd w:val="clear" w:color="auto" w:fill="5C1230"/>
            <w:tcMar>
              <w:top w:w="90" w:type="dxa"/>
              <w:left w:w="120" w:type="dxa"/>
              <w:bottom w:w="90" w:type="dxa"/>
              <w:right w:w="120" w:type="dxa"/>
            </w:tcMar>
            <w:vAlign w:val="center"/>
          </w:tcPr>
          <w:p w14:paraId="68C4F35B">
            <w:r>
              <w:rPr>
                <w:color w:val="F1E4E9"/>
                <w:sz w:val="19"/>
                <w:szCs w:val="19"/>
              </w:rPr>
              <w:t>60</w:t>
            </w:r>
          </w:p>
        </w:tc>
      </w:tr>
      <w:tr w14:paraId="67C45C2E">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54BD4A07">
            <w:r>
              <w:rPr>
                <w:color w:val="F1E4E9"/>
                <w:sz w:val="19"/>
                <w:szCs w:val="19"/>
              </w:rPr>
              <w:t>2020/21</w:t>
            </w:r>
          </w:p>
        </w:tc>
        <w:tc>
          <w:tcPr>
            <w:tcW w:w="0" w:type="auto"/>
            <w:shd w:val="clear" w:color="auto" w:fill="4A0F26"/>
            <w:tcMar>
              <w:top w:w="90" w:type="dxa"/>
              <w:left w:w="120" w:type="dxa"/>
              <w:bottom w:w="90" w:type="dxa"/>
              <w:right w:w="120" w:type="dxa"/>
            </w:tcMar>
            <w:vAlign w:val="center"/>
          </w:tcPr>
          <w:p w14:paraId="5359A7C4">
            <w:r>
              <w:rPr>
                <w:color w:val="F1E4E9"/>
                <w:sz w:val="19"/>
                <w:szCs w:val="19"/>
              </w:rPr>
              <w:t>60</w:t>
            </w:r>
          </w:p>
        </w:tc>
      </w:tr>
      <w:tr w14:paraId="30F64AC0">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3CD10A62">
            <w:r>
              <w:rPr>
                <w:color w:val="F1E4E9"/>
                <w:sz w:val="19"/>
                <w:szCs w:val="19"/>
              </w:rPr>
              <w:t>2021</w:t>
            </w:r>
          </w:p>
        </w:tc>
        <w:tc>
          <w:tcPr>
            <w:tcW w:w="0" w:type="auto"/>
            <w:shd w:val="clear" w:color="auto" w:fill="5C1230"/>
            <w:tcMar>
              <w:top w:w="90" w:type="dxa"/>
              <w:left w:w="120" w:type="dxa"/>
              <w:bottom w:w="90" w:type="dxa"/>
              <w:right w:w="120" w:type="dxa"/>
            </w:tcMar>
            <w:vAlign w:val="center"/>
          </w:tcPr>
          <w:p w14:paraId="248316A6">
            <w:r>
              <w:rPr>
                <w:color w:val="F1E4E9"/>
                <w:sz w:val="19"/>
                <w:szCs w:val="19"/>
              </w:rPr>
              <w:t>60</w:t>
            </w:r>
          </w:p>
        </w:tc>
      </w:tr>
      <w:tr w14:paraId="0DD77C37">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4C48D79F">
            <w:r>
              <w:rPr>
                <w:color w:val="F1E4E9"/>
                <w:sz w:val="19"/>
                <w:szCs w:val="19"/>
              </w:rPr>
              <w:t>2022</w:t>
            </w:r>
          </w:p>
        </w:tc>
        <w:tc>
          <w:tcPr>
            <w:tcW w:w="0" w:type="auto"/>
            <w:shd w:val="clear" w:color="auto" w:fill="4A0F26"/>
            <w:tcMar>
              <w:top w:w="90" w:type="dxa"/>
              <w:left w:w="120" w:type="dxa"/>
              <w:bottom w:w="90" w:type="dxa"/>
              <w:right w:w="120" w:type="dxa"/>
            </w:tcMar>
            <w:vAlign w:val="center"/>
          </w:tcPr>
          <w:p w14:paraId="72392283">
            <w:r>
              <w:rPr>
                <w:color w:val="F1E4E9"/>
                <w:sz w:val="19"/>
                <w:szCs w:val="19"/>
              </w:rPr>
              <w:t>74</w:t>
            </w:r>
          </w:p>
        </w:tc>
      </w:tr>
      <w:tr w14:paraId="5A58ACA5">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48B19AE2">
            <w:r>
              <w:rPr>
                <w:color w:val="F1E4E9"/>
                <w:sz w:val="19"/>
                <w:szCs w:val="19"/>
              </w:rPr>
              <w:t>2023</w:t>
            </w:r>
          </w:p>
        </w:tc>
        <w:tc>
          <w:tcPr>
            <w:tcW w:w="0" w:type="auto"/>
            <w:shd w:val="clear" w:color="auto" w:fill="5C1230"/>
            <w:tcMar>
              <w:top w:w="90" w:type="dxa"/>
              <w:left w:w="120" w:type="dxa"/>
              <w:bottom w:w="90" w:type="dxa"/>
              <w:right w:w="120" w:type="dxa"/>
            </w:tcMar>
            <w:vAlign w:val="center"/>
          </w:tcPr>
          <w:p w14:paraId="667AEA38">
            <w:r>
              <w:rPr>
                <w:color w:val="F1E4E9"/>
                <w:sz w:val="19"/>
                <w:szCs w:val="19"/>
              </w:rPr>
              <w:t>74</w:t>
            </w:r>
          </w:p>
        </w:tc>
      </w:tr>
      <w:tr w14:paraId="7EA8EA3C">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08EDF22D">
            <w:r>
              <w:rPr>
                <w:color w:val="F1E4E9"/>
                <w:sz w:val="19"/>
                <w:szCs w:val="19"/>
              </w:rPr>
              <w:t>2024</w:t>
            </w:r>
          </w:p>
        </w:tc>
        <w:tc>
          <w:tcPr>
            <w:tcW w:w="0" w:type="auto"/>
            <w:shd w:val="clear" w:color="auto" w:fill="4A0F26"/>
            <w:tcMar>
              <w:top w:w="90" w:type="dxa"/>
              <w:left w:w="120" w:type="dxa"/>
              <w:bottom w:w="90" w:type="dxa"/>
              <w:right w:w="120" w:type="dxa"/>
            </w:tcMar>
            <w:vAlign w:val="center"/>
          </w:tcPr>
          <w:p w14:paraId="279854C7">
            <w:r>
              <w:rPr>
                <w:color w:val="F1E4E9"/>
                <w:sz w:val="19"/>
                <w:szCs w:val="19"/>
              </w:rPr>
              <w:t>71</w:t>
            </w:r>
          </w:p>
        </w:tc>
      </w:tr>
      <w:tr w14:paraId="494D5604">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5D4F74A6">
            <w:r>
              <w:rPr>
                <w:color w:val="F1E4E9"/>
                <w:sz w:val="19"/>
                <w:szCs w:val="19"/>
              </w:rPr>
              <w:t>2025</w:t>
            </w:r>
          </w:p>
        </w:tc>
        <w:tc>
          <w:tcPr>
            <w:tcW w:w="0" w:type="auto"/>
            <w:shd w:val="clear" w:color="auto" w:fill="5C1230"/>
            <w:tcMar>
              <w:top w:w="90" w:type="dxa"/>
              <w:left w:w="120" w:type="dxa"/>
              <w:bottom w:w="90" w:type="dxa"/>
              <w:right w:w="120" w:type="dxa"/>
            </w:tcMar>
            <w:vAlign w:val="center"/>
          </w:tcPr>
          <w:p w14:paraId="53CDE35C">
            <w:r>
              <w:rPr>
                <w:color w:val="F1E4E9"/>
                <w:sz w:val="19"/>
                <w:szCs w:val="19"/>
              </w:rPr>
              <w:t>74</w:t>
            </w:r>
          </w:p>
        </w:tc>
      </w:tr>
    </w:tbl>
    <w:p w14:paraId="3803BC78">
      <w:pPr>
        <w:spacing w:before="160"/>
      </w:pPr>
      <w:r>
        <w:rPr>
          <w:i/>
          <w:iCs/>
          <w:color w:val="C9AEB8"/>
          <w:sz w:val="16"/>
          <w:szCs w:val="16"/>
        </w:rPr>
        <w:t>All values approximate, read from the source report's season-by-season chart; the source text confirms only the ranges 57–60 (2008–2010) and 70–76 (2022–2025).</w:t>
      </w:r>
    </w:p>
    <w:p w14:paraId="6FB1F545">
      <w:r>
        <w:br w:type="page"/>
      </w:r>
    </w:p>
    <w:p w14:paraId="32249223">
      <w:pPr>
        <w:pStyle w:val="3"/>
        <w:spacing w:before="260" w:after="140"/>
      </w:pPr>
      <w:r>
        <w:rPr>
          <w:b/>
          <w:bCs/>
          <w:color w:val="E8B84B"/>
          <w:sz w:val="24"/>
          <w:szCs w:val="24"/>
        </w:rPr>
        <w:t>Franchise Name Changes</w:t>
      </w:r>
    </w:p>
    <w:p w14:paraId="349FAE43">
      <w:pPr>
        <w:spacing w:after="180" w:line="300" w:lineRule="auto"/>
        <w:jc w:val="both"/>
      </w:pPr>
      <w:r>
        <w:rPr>
          <w:color w:val="F1E4E9"/>
          <w:sz w:val="21"/>
          <w:szCs w:val="21"/>
        </w:rPr>
        <w:t>Several IPL franchises have changed names over the dataset's 18-season history, which the source analysis flags as a factor affecting team-level win totals. The table below lists the name changes referenced in the source report.</w:t>
      </w:r>
    </w:p>
    <w:tbl>
      <w:tblPr>
        <w:tblStyle w:val="9"/>
        <w:tblW w:w="9350" w:type="dxa"/>
        <w:tblInd w:w="0" w:type="dxa"/>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Layout w:type="autofit"/>
        <w:tblCellMar>
          <w:top w:w="0" w:type="dxa"/>
          <w:left w:w="10" w:type="dxa"/>
          <w:bottom w:w="0" w:type="dxa"/>
          <w:right w:w="10" w:type="dxa"/>
        </w:tblCellMar>
      </w:tblPr>
      <w:tblGrid>
        <w:gridCol w:w="4667"/>
        <w:gridCol w:w="4683"/>
      </w:tblGrid>
      <w:tr w14:paraId="4767865D">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rPr>
          <w:tblHeader/>
        </w:trPr>
        <w:tc>
          <w:tcPr>
            <w:tcW w:w="0" w:type="auto"/>
            <w:shd w:val="clear" w:color="auto" w:fill="000000"/>
            <w:tcMar>
              <w:top w:w="100" w:type="dxa"/>
              <w:left w:w="120" w:type="dxa"/>
              <w:bottom w:w="100" w:type="dxa"/>
              <w:right w:w="120" w:type="dxa"/>
            </w:tcMar>
            <w:vAlign w:val="center"/>
          </w:tcPr>
          <w:p w14:paraId="4566CA57">
            <w:r>
              <w:rPr>
                <w:b/>
                <w:bCs/>
                <w:color w:val="E8B84B"/>
                <w:sz w:val="19"/>
                <w:szCs w:val="19"/>
              </w:rPr>
              <w:t>Historical Name</w:t>
            </w:r>
          </w:p>
        </w:tc>
        <w:tc>
          <w:tcPr>
            <w:tcW w:w="0" w:type="auto"/>
            <w:shd w:val="clear" w:color="auto" w:fill="000000"/>
            <w:tcMar>
              <w:top w:w="100" w:type="dxa"/>
              <w:left w:w="120" w:type="dxa"/>
              <w:bottom w:w="100" w:type="dxa"/>
              <w:right w:w="120" w:type="dxa"/>
            </w:tcMar>
            <w:vAlign w:val="center"/>
          </w:tcPr>
          <w:p w14:paraId="36E73CD3">
            <w:r>
              <w:rPr>
                <w:b/>
                <w:bCs/>
                <w:color w:val="E8B84B"/>
                <w:sz w:val="19"/>
                <w:szCs w:val="19"/>
              </w:rPr>
              <w:t>Current Name</w:t>
            </w:r>
          </w:p>
        </w:tc>
      </w:tr>
      <w:tr w14:paraId="7247FB16">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6E156555">
            <w:r>
              <w:rPr>
                <w:color w:val="F1E4E9"/>
                <w:sz w:val="19"/>
                <w:szCs w:val="19"/>
              </w:rPr>
              <w:t>Delhi Daredevils</w:t>
            </w:r>
          </w:p>
        </w:tc>
        <w:tc>
          <w:tcPr>
            <w:tcW w:w="0" w:type="auto"/>
            <w:shd w:val="clear" w:color="auto" w:fill="4A0F26"/>
            <w:tcMar>
              <w:top w:w="90" w:type="dxa"/>
              <w:left w:w="120" w:type="dxa"/>
              <w:bottom w:w="90" w:type="dxa"/>
              <w:right w:w="120" w:type="dxa"/>
            </w:tcMar>
            <w:vAlign w:val="center"/>
          </w:tcPr>
          <w:p w14:paraId="65CC60F3">
            <w:r>
              <w:rPr>
                <w:color w:val="F1E4E9"/>
                <w:sz w:val="19"/>
                <w:szCs w:val="19"/>
              </w:rPr>
              <w:t>Delhi Capitals</w:t>
            </w:r>
          </w:p>
        </w:tc>
      </w:tr>
      <w:tr w14:paraId="068048FB">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03322252">
            <w:r>
              <w:rPr>
                <w:color w:val="F1E4E9"/>
                <w:sz w:val="19"/>
                <w:szCs w:val="19"/>
              </w:rPr>
              <w:t>Royal Challengers Bangalore</w:t>
            </w:r>
          </w:p>
        </w:tc>
        <w:tc>
          <w:tcPr>
            <w:tcW w:w="0" w:type="auto"/>
            <w:shd w:val="clear" w:color="auto" w:fill="5C1230"/>
            <w:tcMar>
              <w:top w:w="90" w:type="dxa"/>
              <w:left w:w="120" w:type="dxa"/>
              <w:bottom w:w="90" w:type="dxa"/>
              <w:right w:w="120" w:type="dxa"/>
            </w:tcMar>
            <w:vAlign w:val="center"/>
          </w:tcPr>
          <w:p w14:paraId="6FE3AA16">
            <w:r>
              <w:rPr>
                <w:color w:val="F1E4E9"/>
                <w:sz w:val="19"/>
                <w:szCs w:val="19"/>
              </w:rPr>
              <w:t>Royal Challengers Bengaluru</w:t>
            </w:r>
          </w:p>
        </w:tc>
      </w:tr>
    </w:tbl>
    <w:p w14:paraId="50F4252A">
      <w:pPr>
        <w:spacing w:before="200"/>
      </w:pPr>
      <w:r>
        <w:rPr>
          <w:i/>
          <w:iCs/>
          <w:color w:val="C9AEB8"/>
          <w:sz w:val="16"/>
          <w:szCs w:val="16"/>
        </w:rPr>
        <w:t>Note: win totals reported elsewhere in this document (e.g., Delhi Daredevils and Delhi Capitals shown as separate rows) reflect the team name exactly as recorded in the match_won_by field, and have not been merged across a franchise's historical and current names.</w:t>
      </w:r>
    </w:p>
    <w:p w14:paraId="0784C92C">
      <w:r>
        <w:br w:type="page"/>
      </w:r>
    </w:p>
    <w:p w14:paraId="572D4503">
      <w:pPr>
        <w:pStyle w:val="3"/>
        <w:spacing w:before="260" w:after="140"/>
      </w:pPr>
      <w:r>
        <w:rPr>
          <w:b/>
          <w:bCs/>
          <w:color w:val="E8B84B"/>
          <w:sz w:val="24"/>
          <w:szCs w:val="24"/>
        </w:rPr>
        <w:t>Glossary of Key Dataset Fields</w:t>
      </w:r>
    </w:p>
    <w:tbl>
      <w:tblPr>
        <w:tblStyle w:val="9"/>
        <w:tblW w:w="9350" w:type="dxa"/>
        <w:tblInd w:w="0" w:type="dxa"/>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Layout w:type="autofit"/>
        <w:tblCellMar>
          <w:top w:w="0" w:type="dxa"/>
          <w:left w:w="10" w:type="dxa"/>
          <w:bottom w:w="0" w:type="dxa"/>
          <w:right w:w="10" w:type="dxa"/>
        </w:tblCellMar>
      </w:tblPr>
      <w:tblGrid>
        <w:gridCol w:w="2286"/>
        <w:gridCol w:w="7064"/>
      </w:tblGrid>
      <w:tr w14:paraId="42FD238C">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rPr>
          <w:tblHeader/>
        </w:trPr>
        <w:tc>
          <w:tcPr>
            <w:tcW w:w="0" w:type="auto"/>
            <w:shd w:val="clear" w:color="auto" w:fill="000000"/>
            <w:tcMar>
              <w:top w:w="100" w:type="dxa"/>
              <w:left w:w="120" w:type="dxa"/>
              <w:bottom w:w="100" w:type="dxa"/>
              <w:right w:w="120" w:type="dxa"/>
            </w:tcMar>
            <w:vAlign w:val="center"/>
          </w:tcPr>
          <w:p w14:paraId="642A6C4B">
            <w:r>
              <w:rPr>
                <w:b/>
                <w:bCs/>
                <w:color w:val="E8B84B"/>
                <w:sz w:val="19"/>
                <w:szCs w:val="19"/>
              </w:rPr>
              <w:t>Field</w:t>
            </w:r>
          </w:p>
        </w:tc>
        <w:tc>
          <w:tcPr>
            <w:tcW w:w="0" w:type="auto"/>
            <w:shd w:val="clear" w:color="auto" w:fill="000000"/>
            <w:tcMar>
              <w:top w:w="100" w:type="dxa"/>
              <w:left w:w="120" w:type="dxa"/>
              <w:bottom w:w="100" w:type="dxa"/>
              <w:right w:w="120" w:type="dxa"/>
            </w:tcMar>
            <w:vAlign w:val="center"/>
          </w:tcPr>
          <w:p w14:paraId="051A93AA">
            <w:r>
              <w:rPr>
                <w:b/>
                <w:bCs/>
                <w:color w:val="E8B84B"/>
                <w:sz w:val="19"/>
                <w:szCs w:val="19"/>
              </w:rPr>
              <w:t>Description</w:t>
            </w:r>
          </w:p>
        </w:tc>
      </w:tr>
      <w:tr w14:paraId="24FF53C4">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1DDEB5A6">
            <w:r>
              <w:rPr>
                <w:color w:val="F1E4E9"/>
                <w:sz w:val="19"/>
                <w:szCs w:val="19"/>
              </w:rPr>
              <w:t>batter / bowler</w:t>
            </w:r>
          </w:p>
        </w:tc>
        <w:tc>
          <w:tcPr>
            <w:tcW w:w="0" w:type="auto"/>
            <w:shd w:val="clear" w:color="auto" w:fill="4A0F26"/>
            <w:tcMar>
              <w:top w:w="90" w:type="dxa"/>
              <w:left w:w="120" w:type="dxa"/>
              <w:bottom w:w="90" w:type="dxa"/>
              <w:right w:w="120" w:type="dxa"/>
            </w:tcMar>
            <w:vAlign w:val="center"/>
          </w:tcPr>
          <w:p w14:paraId="428FF464">
            <w:r>
              <w:rPr>
                <w:color w:val="F1E4E9"/>
                <w:sz w:val="19"/>
                <w:szCs w:val="19"/>
              </w:rPr>
              <w:t>The player facing or bowling the delivery in question.</w:t>
            </w:r>
          </w:p>
        </w:tc>
      </w:tr>
      <w:tr w14:paraId="540DD69A">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2F6FD4F4">
            <w:r>
              <w:rPr>
                <w:color w:val="F1E4E9"/>
                <w:sz w:val="19"/>
                <w:szCs w:val="19"/>
              </w:rPr>
              <w:t>wicket_kind</w:t>
            </w:r>
          </w:p>
        </w:tc>
        <w:tc>
          <w:tcPr>
            <w:tcW w:w="0" w:type="auto"/>
            <w:shd w:val="clear" w:color="auto" w:fill="5C1230"/>
            <w:tcMar>
              <w:top w:w="90" w:type="dxa"/>
              <w:left w:w="120" w:type="dxa"/>
              <w:bottom w:w="90" w:type="dxa"/>
              <w:right w:w="120" w:type="dxa"/>
            </w:tcMar>
            <w:vAlign w:val="center"/>
          </w:tcPr>
          <w:p w14:paraId="11DD060E">
            <w:r>
              <w:rPr>
                <w:color w:val="F1E4E9"/>
                <w:sz w:val="19"/>
                <w:szCs w:val="19"/>
              </w:rPr>
              <w:t>The dismissal method (e.g., caught, bowled, lbw); populated only when a wicket falls.</w:t>
            </w:r>
          </w:p>
        </w:tc>
      </w:tr>
      <w:tr w14:paraId="5E36BAF3">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73649831">
            <w:r>
              <w:rPr>
                <w:color w:val="F1E4E9"/>
                <w:sz w:val="19"/>
                <w:szCs w:val="19"/>
              </w:rPr>
              <w:t>player_out</w:t>
            </w:r>
          </w:p>
        </w:tc>
        <w:tc>
          <w:tcPr>
            <w:tcW w:w="0" w:type="auto"/>
            <w:shd w:val="clear" w:color="auto" w:fill="4A0F26"/>
            <w:tcMar>
              <w:top w:w="90" w:type="dxa"/>
              <w:left w:w="120" w:type="dxa"/>
              <w:bottom w:w="90" w:type="dxa"/>
              <w:right w:w="120" w:type="dxa"/>
            </w:tcMar>
            <w:vAlign w:val="center"/>
          </w:tcPr>
          <w:p w14:paraId="41A91580">
            <w:r>
              <w:rPr>
                <w:color w:val="F1E4E9"/>
                <w:sz w:val="19"/>
                <w:szCs w:val="19"/>
              </w:rPr>
              <w:t>The batter dismissed on a wicket-taking delivery.</w:t>
            </w:r>
          </w:p>
        </w:tc>
      </w:tr>
      <w:tr w14:paraId="315F6C76">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75E82D8A">
            <w:r>
              <w:rPr>
                <w:color w:val="F1E4E9"/>
                <w:sz w:val="19"/>
                <w:szCs w:val="19"/>
              </w:rPr>
              <w:t>fielders</w:t>
            </w:r>
          </w:p>
        </w:tc>
        <w:tc>
          <w:tcPr>
            <w:tcW w:w="0" w:type="auto"/>
            <w:shd w:val="clear" w:color="auto" w:fill="5C1230"/>
            <w:tcMar>
              <w:top w:w="90" w:type="dxa"/>
              <w:left w:w="120" w:type="dxa"/>
              <w:bottom w:w="90" w:type="dxa"/>
              <w:right w:w="120" w:type="dxa"/>
            </w:tcMar>
            <w:vAlign w:val="center"/>
          </w:tcPr>
          <w:p w14:paraId="5DD5DACA">
            <w:r>
              <w:rPr>
                <w:color w:val="F1E4E9"/>
                <w:sz w:val="19"/>
                <w:szCs w:val="19"/>
              </w:rPr>
              <w:t>Player(s) credited with a catch, run-out, or stumping.</w:t>
            </w:r>
          </w:p>
        </w:tc>
      </w:tr>
      <w:tr w14:paraId="64D24A1E">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4BD2A09E">
            <w:r>
              <w:rPr>
                <w:color w:val="F1E4E9"/>
                <w:sz w:val="19"/>
                <w:szCs w:val="19"/>
              </w:rPr>
              <w:t>extras</w:t>
            </w:r>
          </w:p>
        </w:tc>
        <w:tc>
          <w:tcPr>
            <w:tcW w:w="0" w:type="auto"/>
            <w:shd w:val="clear" w:color="auto" w:fill="4A0F26"/>
            <w:tcMar>
              <w:top w:w="90" w:type="dxa"/>
              <w:left w:w="120" w:type="dxa"/>
              <w:bottom w:w="90" w:type="dxa"/>
              <w:right w:w="120" w:type="dxa"/>
            </w:tcMar>
            <w:vAlign w:val="center"/>
          </w:tcPr>
          <w:p w14:paraId="0B396F39">
            <w:r>
              <w:rPr>
                <w:color w:val="F1E4E9"/>
                <w:sz w:val="19"/>
                <w:szCs w:val="19"/>
              </w:rPr>
              <w:t>Additional runs not credited to the batter (wides, no balls, byes, leg byes).</w:t>
            </w:r>
          </w:p>
        </w:tc>
      </w:tr>
      <w:tr w14:paraId="4A3F7C50">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74B4F563">
            <w:r>
              <w:rPr>
                <w:color w:val="F1E4E9"/>
                <w:sz w:val="19"/>
                <w:szCs w:val="19"/>
              </w:rPr>
              <w:t>match_won_by</w:t>
            </w:r>
          </w:p>
        </w:tc>
        <w:tc>
          <w:tcPr>
            <w:tcW w:w="0" w:type="auto"/>
            <w:shd w:val="clear" w:color="auto" w:fill="5C1230"/>
            <w:tcMar>
              <w:top w:w="90" w:type="dxa"/>
              <w:left w:w="120" w:type="dxa"/>
              <w:bottom w:w="90" w:type="dxa"/>
              <w:right w:w="120" w:type="dxa"/>
            </w:tcMar>
            <w:vAlign w:val="center"/>
          </w:tcPr>
          <w:p w14:paraId="33317E9B">
            <w:r>
              <w:rPr>
                <w:color w:val="F1E4E9"/>
                <w:sz w:val="19"/>
                <w:szCs w:val="19"/>
              </w:rPr>
              <w:t>The team recorded as winning the match; "Unknown" for 23 matches in the dataset.</w:t>
            </w:r>
          </w:p>
        </w:tc>
      </w:tr>
      <w:tr w14:paraId="491A55EF">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4A0F26"/>
            <w:tcMar>
              <w:top w:w="90" w:type="dxa"/>
              <w:left w:w="120" w:type="dxa"/>
              <w:bottom w:w="90" w:type="dxa"/>
              <w:right w:w="120" w:type="dxa"/>
            </w:tcMar>
            <w:vAlign w:val="center"/>
          </w:tcPr>
          <w:p w14:paraId="63EF0332">
            <w:r>
              <w:rPr>
                <w:color w:val="F1E4E9"/>
                <w:sz w:val="19"/>
                <w:szCs w:val="19"/>
              </w:rPr>
              <w:t>review_decision / umpire</w:t>
            </w:r>
          </w:p>
        </w:tc>
        <w:tc>
          <w:tcPr>
            <w:tcW w:w="0" w:type="auto"/>
            <w:shd w:val="clear" w:color="auto" w:fill="4A0F26"/>
            <w:tcMar>
              <w:top w:w="90" w:type="dxa"/>
              <w:left w:w="120" w:type="dxa"/>
              <w:bottom w:w="90" w:type="dxa"/>
              <w:right w:w="120" w:type="dxa"/>
            </w:tcMar>
            <w:vAlign w:val="center"/>
          </w:tcPr>
          <w:p w14:paraId="03E10167">
            <w:r>
              <w:rPr>
                <w:color w:val="F1E4E9"/>
                <w:sz w:val="19"/>
                <w:szCs w:val="19"/>
              </w:rPr>
              <w:t>DRS-related fields, populated in fewer than 0.5% of all rows.</w:t>
            </w:r>
          </w:p>
        </w:tc>
      </w:tr>
      <w:tr w14:paraId="41285435">
        <w:tblPrEx>
          <w:tblBorders>
            <w:top w:val="single" w:color="8A5468" w:sz="4" w:space="0"/>
            <w:left w:val="single" w:color="8A5468" w:sz="4" w:space="0"/>
            <w:bottom w:val="single" w:color="8A5468" w:sz="4" w:space="0"/>
            <w:right w:val="single" w:color="8A5468" w:sz="4" w:space="0"/>
            <w:insideH w:val="single" w:color="8A5468" w:sz="4" w:space="0"/>
            <w:insideV w:val="single" w:color="8A5468" w:sz="4" w:space="0"/>
          </w:tblBorders>
          <w:tblCellMar>
            <w:top w:w="0" w:type="dxa"/>
            <w:left w:w="10" w:type="dxa"/>
            <w:bottom w:w="0" w:type="dxa"/>
            <w:right w:w="10" w:type="dxa"/>
          </w:tblCellMar>
        </w:tblPrEx>
        <w:tc>
          <w:tcPr>
            <w:tcW w:w="0" w:type="auto"/>
            <w:shd w:val="clear" w:color="auto" w:fill="5C1230"/>
            <w:tcMar>
              <w:top w:w="90" w:type="dxa"/>
              <w:left w:w="120" w:type="dxa"/>
              <w:bottom w:w="90" w:type="dxa"/>
              <w:right w:w="120" w:type="dxa"/>
            </w:tcMar>
            <w:vAlign w:val="center"/>
          </w:tcPr>
          <w:p w14:paraId="4C6D4FD4">
            <w:r>
              <w:rPr>
                <w:color w:val="F1E4E9"/>
                <w:sz w:val="19"/>
                <w:szCs w:val="19"/>
              </w:rPr>
              <w:t>gender / team_type</w:t>
            </w:r>
          </w:p>
        </w:tc>
        <w:tc>
          <w:tcPr>
            <w:tcW w:w="0" w:type="auto"/>
            <w:shd w:val="clear" w:color="auto" w:fill="5C1230"/>
            <w:tcMar>
              <w:top w:w="90" w:type="dxa"/>
              <w:left w:w="120" w:type="dxa"/>
              <w:bottom w:w="90" w:type="dxa"/>
              <w:right w:w="120" w:type="dxa"/>
            </w:tcMar>
            <w:vAlign w:val="center"/>
          </w:tcPr>
          <w:p w14:paraId="2D6BC0B0">
            <w:r>
              <w:rPr>
                <w:color w:val="F1E4E9"/>
                <w:sz w:val="19"/>
                <w:szCs w:val="19"/>
              </w:rPr>
              <w:t>Constant across the dataset: "male" and "club" for every row.</w:t>
            </w:r>
          </w:p>
        </w:tc>
      </w:tr>
    </w:tbl>
    <w:p w14:paraId="635FF714">
      <w:pPr>
        <w:spacing w:before="300"/>
        <w:jc w:val="center"/>
      </w:pPr>
      <w:r>
        <w:rPr>
          <w:i/>
          <w:iCs/>
          <w:color w:val="C9AEB8"/>
          <w:sz w:val="20"/>
          <w:szCs w:val="20"/>
        </w:rPr>
        <w:t>— End of Report —</w:t>
      </w:r>
    </w:p>
    <w:sectPr>
      <w:headerReference r:id="rId4" w:type="default"/>
      <w:footerReference r:id="rId5" w:type="default"/>
      <w:pgSz w:w="12240" w:h="15840"/>
      <w:pgMar w:top="1000" w:right="1100" w:bottom="10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Display">
    <w:altName w:val="Segoe Print"/>
    <w:panose1 w:val="00000000000000000000"/>
    <w:charset w:val="00"/>
    <w:family w:val="auto"/>
    <w:pitch w:val="default"/>
    <w:sig w:usb0="00000000" w:usb1="00000000" w:usb2="00000000" w:usb3="00000000" w:csb0="00000000" w:csb1="00000000"/>
  </w:font>
  <w:font w:name="MS PGothic">
    <w:panose1 w:val="020B0600070205080204"/>
    <w:charset w:val="80"/>
    <w:family w:val="auto"/>
    <w:pitch w:val="default"/>
    <w:sig w:usb0="E00002FF" w:usb1="6AC7FDFB" w:usb2="08000012" w:usb3="00000000" w:csb0="4002009F" w:csb1="DFD7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Cambria">
    <w:panose1 w:val="02040503050406030204"/>
    <w:charset w:val="00"/>
    <w:family w:val="auto"/>
    <w:pitch w:val="default"/>
    <w:sig w:usb0="E00006FF" w:usb1="420024FF" w:usb2="02000000" w:usb3="00000000" w:csb0="2000019F" w:csb1="00000000"/>
  </w:font>
  <w:font w:name="Arial Black">
    <w:panose1 w:val="020B0A04020102020204"/>
    <w:charset w:val="00"/>
    <w:family w:val="auto"/>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A149F4">
    <w:pPr>
      <w:pBdr>
        <w:top w:val="single" w:color="8A5468" w:sz="4" w:space="4"/>
      </w:pBdr>
      <w:tabs>
        <w:tab w:val="right" w:pos="9026"/>
      </w:tabs>
    </w:pPr>
    <w:r>
      <w:rPr>
        <w:color w:val="C9AEB8"/>
        <w:sz w:val="15"/>
        <w:szCs w:val="15"/>
      </w:rPr>
      <w:t>IPL Ball-by-Ball Dataset — Comprehensive Analysis Report</w:t>
    </w:r>
    <w:r>
      <w:tab/>
    </w:r>
    <w:r>
      <w:rPr>
        <w:color w:val="E8B84B"/>
        <w:sz w:val="15"/>
        <w:szCs w:val="15"/>
      </w:rPr>
      <w:t xml:space="preserve">Page </w:t>
    </w:r>
    <w:r>
      <w:rPr>
        <w:color w:val="E8B84B"/>
        <w:sz w:val="15"/>
        <w:szCs w:val="15"/>
      </w:rPr>
      <w:fldChar w:fldCharType="begin"/>
    </w:r>
    <w:r>
      <w:rPr>
        <w:color w:val="E8B84B"/>
        <w:sz w:val="15"/>
        <w:szCs w:val="15"/>
      </w:rPr>
      <w:instrText xml:space="preserve">PAGE</w:instrText>
    </w:r>
    <w:r>
      <w:rPr>
        <w:color w:val="E8B84B"/>
        <w:sz w:val="15"/>
        <w:szCs w:val="15"/>
      </w:rPr>
      <w:fldChar w:fldCharType="separate"/>
    </w:r>
    <w:r>
      <w:rPr>
        <w:color w:val="E8B84B"/>
        <w:sz w:val="15"/>
        <w:szCs w:val="15"/>
      </w:rPr>
      <w:fldChar w:fldCharType="end"/>
    </w:r>
    <w:r>
      <w:rPr>
        <w:color w:val="E8B84B"/>
        <w:sz w:val="15"/>
        <w:szCs w:val="15"/>
      </w:rPr>
      <w:t xml:space="preserve"> of </w:t>
    </w:r>
    <w:r>
      <w:rPr>
        <w:color w:val="E8B84B"/>
        <w:sz w:val="15"/>
        <w:szCs w:val="15"/>
      </w:rPr>
      <w:fldChar w:fldCharType="begin"/>
    </w:r>
    <w:r>
      <w:rPr>
        <w:color w:val="E8B84B"/>
        <w:sz w:val="15"/>
        <w:szCs w:val="15"/>
      </w:rPr>
      <w:instrText xml:space="preserve">NUMPAGES</w:instrText>
    </w:r>
    <w:r>
      <w:rPr>
        <w:color w:val="E8B84B"/>
        <w:sz w:val="15"/>
        <w:szCs w:val="15"/>
      </w:rPr>
      <w:fldChar w:fldCharType="separate"/>
    </w:r>
    <w:r>
      <w:rPr>
        <w:color w:val="E8B84B"/>
        <w:sz w:val="15"/>
        <w:szCs w:val="15"/>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0AE096">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772400" cy="100584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
                  <a:srcRect/>
                  <a:stretch>
                    <a:fillRect/>
                  </a:stretch>
                </pic:blipFill>
                <pic:spPr>
                  <a:xfrm>
                    <a:off x="0" y="0"/>
                    <a:ext cx="7772400" cy="100584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EEC6CD">
    <w:r>
      <w:drawing>
        <wp:anchor distT="0" distB="0" distL="0" distR="0" simplePos="0" relativeHeight="251659264" behindDoc="1" locked="0" layoutInCell="1" allowOverlap="1">
          <wp:simplePos x="0" y="0"/>
          <wp:positionH relativeFrom="page">
            <wp:posOffset>0</wp:posOffset>
          </wp:positionH>
          <wp:positionV relativeFrom="page">
            <wp:posOffset>0</wp:posOffset>
          </wp:positionV>
          <wp:extent cx="7772400" cy="100584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
                  <a:srcRect/>
                  <a:stretch>
                    <a:fillRect/>
                  </a:stretch>
                </pic:blipFill>
                <pic:spPr>
                  <a:xfrm>
                    <a:off x="0" y="0"/>
                    <a:ext cx="7772400" cy="1005840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9ADCABA"/>
    <w:multiLevelType w:val="singleLevel"/>
    <w:tmpl w:val="59ADCABA"/>
    <w:lvl w:ilvl="0" w:tentative="0">
      <w:start w:val="1"/>
      <w:numFmt w:val="bullet"/>
      <w:lvlText w:val="•"/>
      <w:lvlJc w:val="left"/>
      <w:pPr>
        <w:ind w:left="504" w:hanging="288"/>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compat>
    <w:compatSetting w:name="compatibilityMode" w:uri="http://schemas.microsoft.com/office/word" w:val="15"/>
  </w:compat>
  <w:rsids>
    <w:rsidRoot w:val="00000000"/>
    <w:rsid w:val="47080884"/>
    <w:rsid w:val="4D8345F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uiPriority w:val="99"/>
    <w:pPr>
      <w:spacing w:after="0" w:line="240" w:lineRule="auto"/>
    </w:pPr>
    <w:rPr>
      <w:rFonts w:asciiTheme="minorHAnsi" w:hAnsiTheme="minorHAnsi" w:eastAsiaTheme="minorEastAsia" w:cstheme="minorBidi"/>
      <w:sz w:val="20"/>
      <w:szCs w:val="20"/>
    </w:rPr>
  </w:style>
  <w:style w:type="character" w:styleId="14">
    <w:name w:val="Hyperlink"/>
    <w:unhideWhenUsed/>
    <w:qFormat/>
    <w:uiPriority w:val="99"/>
    <w:rPr>
      <w:color w:val="0563C1"/>
      <w:u w:val="single"/>
    </w:rPr>
  </w:style>
  <w:style w:type="paragraph" w:styleId="15">
    <w:name w:val="Title"/>
    <w:qFormat/>
    <w:uiPriority w:val="0"/>
    <w:rPr>
      <w:rFonts w:asciiTheme="minorHAnsi" w:hAnsiTheme="minorHAnsi" w:eastAsiaTheme="minorEastAsia" w:cstheme="minorBidi"/>
      <w:sz w:val="56"/>
      <w:szCs w:val="56"/>
    </w:rPr>
  </w:style>
  <w:style w:type="paragraph" w:styleId="16">
    <w:name w:val="List Paragraph"/>
    <w:qFormat/>
    <w:uiPriority w:val="0"/>
    <w:rPr>
      <w:rFonts w:asciiTheme="minorHAnsi" w:hAnsiTheme="minorHAnsi" w:eastAsiaTheme="minorEastAsia" w:cstheme="minorBidi"/>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TotalTime>1</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2026-08-30T17:02:00Z</dcterms:created>
  <dc:creator>Un-named</dc:creator>
  <cp:lastModifiedBy>Nisith Rabi</cp:lastModifiedBy>
  <dcterms:modified xsi:type="dcterms:W3CDTF">2026-08-30T17:50:44Z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C11B94AB555749248A267D206F1C3363_13</vt:lpwstr>
  </property>
</Properties>
</file>