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Rossmann Store Sales: Exploratory Data Analysis Report</w:t>
      </w:r>
    </w:p>
    <w:p>
      <w:r>
        <w:t>Prepared on 2026-06-04. This report presents dataset characteristics, preprocessing steps, exploratory findings, anomaly diagnostics, and proposed modeling methods.</w:t>
      </w:r>
    </w:p>
    <w:p>
      <w:pPr>
        <w:pStyle w:val="Heading1"/>
      </w:pPr>
      <w:r>
        <w:t>1. Data Description</w:t>
      </w:r>
    </w:p>
    <w:p>
      <w:r>
        <w:t>The analysis uses the merged Rossmann store-level daily sales data. The dataset contains calendar features, operational flags, promotional indicators, store metadata, and competition context variables.</w:t>
      </w:r>
    </w:p>
    <w:p>
      <w:r>
        <w:t>Table 1. Data Column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dtype</w:t>
            </w:r>
          </w:p>
        </w:tc>
      </w:tr>
      <w:tr>
        <w:tc>
          <w:tcPr>
            <w:tcW w:type="dxa" w:w="2880"/>
          </w:tcPr>
          <w:p>
            <w:r>
              <w:t>StoreID</w:t>
            </w:r>
          </w:p>
        </w:tc>
        <w:tc>
          <w:tcPr>
            <w:tcW w:type="dxa" w:w="2880"/>
          </w:tcPr>
          <w:p>
            <w:r>
              <w:t>Unique store identifier.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Calendar date of observation.</w:t>
            </w:r>
          </w:p>
        </w:tc>
        <w:tc>
          <w:tcPr>
            <w:tcW w:type="dxa" w:w="2880"/>
          </w:tcPr>
          <w:p>
            <w:r>
              <w:t>datetime64[us]</w:t>
            </w:r>
          </w:p>
        </w:tc>
      </w:tr>
      <w:tr>
        <w:tc>
          <w:tcPr>
            <w:tcW w:type="dxa" w:w="2880"/>
          </w:tcPr>
          <w:p>
            <w:r>
              <w:t>DayOfWeek</w:t>
            </w:r>
          </w:p>
        </w:tc>
        <w:tc>
          <w:tcPr>
            <w:tcW w:type="dxa" w:w="2880"/>
          </w:tcPr>
          <w:p>
            <w:r>
              <w:t>Numeric day of week.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DayName</w:t>
            </w:r>
          </w:p>
        </w:tc>
        <w:tc>
          <w:tcPr>
            <w:tcW w:type="dxa" w:w="2880"/>
          </w:tcPr>
          <w:p>
            <w:r>
              <w:t>Day name label.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IsOpen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Open_Flag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StoreClosed_Flag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Total daily sales for the store.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CustomerCount</w:t>
            </w:r>
          </w:p>
        </w:tc>
        <w:tc>
          <w:tcPr>
            <w:tcW w:type="dxa" w:w="2880"/>
          </w:tcPr>
          <w:p>
            <w:r>
              <w:t>Total daily customers for the store.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DailyPromo</w:t>
            </w:r>
          </w:p>
        </w:tc>
        <w:tc>
          <w:tcPr>
            <w:tcW w:type="dxa" w:w="2880"/>
          </w:tcPr>
          <w:p>
            <w:r>
              <w:t>Indicator for whether daily promo is active.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StateHoliday</w:t>
            </w:r>
          </w:p>
        </w:tc>
        <w:tc>
          <w:tcPr>
            <w:tcW w:type="dxa" w:w="2880"/>
          </w:tcPr>
          <w:p>
            <w:r>
              <w:t>State holiday type/category.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SchoolHoliday_Flag</w:t>
            </w:r>
          </w:p>
        </w:tc>
        <w:tc>
          <w:tcPr>
            <w:tcW w:type="dxa" w:w="2880"/>
          </w:tcPr>
          <w:p>
            <w:r>
              <w:t>Indicator for school holiday.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StoreType</w:t>
            </w:r>
          </w:p>
        </w:tc>
        <w:tc>
          <w:tcPr>
            <w:tcW w:type="dxa" w:w="2880"/>
          </w:tcPr>
          <w:p>
            <w:r>
              <w:t>Store format/classification.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StoreType_Code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Assortment</w:t>
            </w:r>
          </w:p>
        </w:tc>
        <w:tc>
          <w:tcPr>
            <w:tcW w:type="dxa" w:w="2880"/>
          </w:tcPr>
          <w:p>
            <w:r>
              <w:t>Product assortment class.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Assortment_Code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CompetitorDistance_m</w:t>
            </w:r>
          </w:p>
        </w:tc>
        <w:tc>
          <w:tcPr>
            <w:tcW w:type="dxa" w:w="2880"/>
          </w:tcPr>
          <w:p>
            <w:r>
              <w:t>Distance to nearest competitor (meters).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CompetitorDistance_Imputed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CompetitorOpenMonth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</w:tr>
      <w:tr>
        <w:tc>
          <w:tcPr>
            <w:tcW w:type="dxa" w:w="2880"/>
          </w:tcPr>
          <w:p>
            <w:r>
              <w:t>CompetitorOpenYear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</w:tr>
      <w:tr>
        <w:tc>
          <w:tcPr>
            <w:tcW w:type="dxa" w:w="2880"/>
          </w:tcPr>
          <w:p>
            <w:r>
              <w:t>RecurringPromo</w:t>
            </w:r>
          </w:p>
        </w:tc>
        <w:tc>
          <w:tcPr>
            <w:tcW w:type="dxa" w:w="2880"/>
          </w:tcPr>
          <w:p>
            <w:r>
              <w:t>Indicator for recurring promo participation.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RecurringPromoStartWeek</w:t>
            </w:r>
          </w:p>
        </w:tc>
        <w:tc>
          <w:tcPr>
            <w:tcW w:type="dxa" w:w="2880"/>
          </w:tcPr>
          <w:p>
            <w:r>
              <w:t>Promo2 start week.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</w:tr>
      <w:tr>
        <w:tc>
          <w:tcPr>
            <w:tcW w:type="dxa" w:w="2880"/>
          </w:tcPr>
          <w:p>
            <w:r>
              <w:t>RecurringPromoStartYear</w:t>
            </w:r>
          </w:p>
        </w:tc>
        <w:tc>
          <w:tcPr>
            <w:tcW w:type="dxa" w:w="2880"/>
          </w:tcPr>
          <w:p>
            <w:r>
              <w:t>Promo2 start year.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</w:tr>
      <w:tr>
        <w:tc>
          <w:tcPr>
            <w:tcW w:type="dxa" w:w="2880"/>
          </w:tcPr>
          <w:p>
            <w:r>
              <w:t>RecurringPromoMonths</w:t>
            </w:r>
          </w:p>
        </w:tc>
        <w:tc>
          <w:tcPr>
            <w:tcW w:type="dxa" w:w="2880"/>
          </w:tcPr>
          <w:p>
            <w:r>
              <w:t>Months with recurring promotion.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int32</w:t>
            </w:r>
          </w:p>
        </w:tc>
      </w:tr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int32</w:t>
            </w:r>
          </w:p>
        </w:tc>
      </w:tr>
      <w:tr>
        <w:tc>
          <w:tcPr>
            <w:tcW w:type="dxa" w:w="2880"/>
          </w:tcPr>
          <w:p>
            <w:r>
              <w:t>MonthName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str</w:t>
            </w:r>
          </w:p>
        </w:tc>
      </w:tr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int32</w:t>
            </w:r>
          </w:p>
        </w:tc>
      </w:tr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</w:tr>
      <w:tr>
        <w:tc>
          <w:tcPr>
            <w:tcW w:type="dxa" w:w="2880"/>
          </w:tcPr>
          <w:p>
            <w:r>
              <w:t>SalesPerCustomer</w:t>
            </w:r>
          </w:p>
        </w:tc>
        <w:tc>
          <w:tcPr>
            <w:tcW w:type="dxa" w:w="2880"/>
          </w:tcPr>
          <w:p>
            <w:r>
              <w:t>Derived or source column used in analysis.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</w:tr>
    </w:tbl>
    <w:p>
      <w:r>
        <w:t>As shown in Table 1, the dataset includes core demand variables (Sales, CustomerCount), time indicators, and potential explanatory factors such as promotions, holidays, and store type.</w:t>
      </w:r>
    </w:p>
    <w:p>
      <w:r>
        <w:t>Table 2. Data Types, Ranges, and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dtype</w:t>
            </w:r>
          </w:p>
        </w:tc>
        <w:tc>
          <w:tcPr>
            <w:tcW w:type="dxa" w:w="2160"/>
          </w:tcPr>
          <w:p>
            <w:r>
              <w:t>range_or_cardinality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StoreID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1.00 to 1,115.00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datetime64[us]</w:t>
            </w:r>
          </w:p>
        </w:tc>
        <w:tc>
          <w:tcPr>
            <w:tcW w:type="dxa" w:w="2160"/>
          </w:tcPr>
          <w:p>
            <w:r>
              <w:t>2013-01-01 00:00:00 to 2015-07-31 00:00:00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DayOfWeek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1.00 to 7.00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DayName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7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IsOpen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Open_Flag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StoreClosed_Flag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41,551.00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CustomerCount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7,388.00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DailyPromo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StateHoliday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3 unique values</w:t>
            </w:r>
          </w:p>
        </w:tc>
        <w:tc>
          <w:tcPr>
            <w:tcW w:type="dxa" w:w="2160"/>
          </w:tcPr>
          <w:p>
            <w:r>
              <w:t>Has missing values</w:t>
            </w:r>
          </w:p>
        </w:tc>
      </w:tr>
      <w:tr>
        <w:tc>
          <w:tcPr>
            <w:tcW w:type="dxa" w:w="2160"/>
          </w:tcPr>
          <w:p>
            <w:r>
              <w:t>SchoolHoliday_Flag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StoreType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4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StoreType_Code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4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Assortment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3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Assortment_Code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3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CompetitorDistance_m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20.00 to 75,860.00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CompetitorDistance_Imputed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CompetitorOpenMonth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1.00 to 12.00</w:t>
            </w:r>
          </w:p>
        </w:tc>
        <w:tc>
          <w:tcPr>
            <w:tcW w:type="dxa" w:w="2160"/>
          </w:tcPr>
          <w:p>
            <w:r>
              <w:t>Has missing values</w:t>
            </w:r>
          </w:p>
        </w:tc>
      </w:tr>
      <w:tr>
        <w:tc>
          <w:tcPr>
            <w:tcW w:type="dxa" w:w="2160"/>
          </w:tcPr>
          <w:p>
            <w:r>
              <w:t>CompetitorOpenYear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1,990.00 to 2,015.00</w:t>
            </w:r>
          </w:p>
        </w:tc>
        <w:tc>
          <w:tcPr>
            <w:tcW w:type="dxa" w:w="2160"/>
          </w:tcPr>
          <w:p>
            <w:r>
              <w:t>Has missing values</w:t>
            </w:r>
          </w:p>
        </w:tc>
      </w:tr>
      <w:tr>
        <w:tc>
          <w:tcPr>
            <w:tcW w:type="dxa" w:w="2160"/>
          </w:tcPr>
          <w:p>
            <w:r>
              <w:t>RecurringPromo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0.00 to 1.00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RecurringPromoStartWeek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1.00 to 50.00</w:t>
            </w:r>
          </w:p>
        </w:tc>
        <w:tc>
          <w:tcPr>
            <w:tcW w:type="dxa" w:w="2160"/>
          </w:tcPr>
          <w:p>
            <w:r>
              <w:t>Has missing values</w:t>
            </w:r>
          </w:p>
        </w:tc>
      </w:tr>
      <w:tr>
        <w:tc>
          <w:tcPr>
            <w:tcW w:type="dxa" w:w="2160"/>
          </w:tcPr>
          <w:p>
            <w:r>
              <w:t>RecurringPromoStartYear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2,009.00 to 2,015.00</w:t>
            </w:r>
          </w:p>
        </w:tc>
        <w:tc>
          <w:tcPr>
            <w:tcW w:type="dxa" w:w="2160"/>
          </w:tcPr>
          <w:p>
            <w:r>
              <w:t>Has missing values</w:t>
            </w:r>
          </w:p>
        </w:tc>
      </w:tr>
      <w:tr>
        <w:tc>
          <w:tcPr>
            <w:tcW w:type="dxa" w:w="2160"/>
          </w:tcPr>
          <w:p>
            <w:r>
              <w:t>RecurringPromoMonths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4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int32</w:t>
            </w:r>
          </w:p>
        </w:tc>
        <w:tc>
          <w:tcPr>
            <w:tcW w:type="dxa" w:w="2160"/>
          </w:tcPr>
          <w:p>
            <w:r>
              <w:t>2,013.00 to 2,015.00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int32</w:t>
            </w:r>
          </w:p>
        </w:tc>
        <w:tc>
          <w:tcPr>
            <w:tcW w:type="dxa" w:w="2160"/>
          </w:tcPr>
          <w:p>
            <w:r>
              <w:t>1.00 to 12.00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MonthName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12 unique values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int32</w:t>
            </w:r>
          </w:p>
        </w:tc>
        <w:tc>
          <w:tcPr>
            <w:tcW w:type="dxa" w:w="2160"/>
          </w:tcPr>
          <w:p>
            <w:r>
              <w:t>1.00 to 4.00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1.00 to 52.00</w:t>
            </w:r>
          </w:p>
        </w:tc>
        <w:tc>
          <w:tcPr>
            <w:tcW w:type="dxa" w:w="2160"/>
          </w:tcPr>
          <w:p>
            <w:r>
              <w:t>No missing values</w:t>
            </w:r>
          </w:p>
        </w:tc>
      </w:tr>
      <w:tr>
        <w:tc>
          <w:tcPr>
            <w:tcW w:type="dxa" w:w="2160"/>
          </w:tcPr>
          <w:p>
            <w:r>
              <w:t>SalesPerCustomer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2.75 to 64.96</w:t>
            </w:r>
          </w:p>
        </w:tc>
        <w:tc>
          <w:tcPr>
            <w:tcW w:type="dxa" w:w="2160"/>
          </w:tcPr>
          <w:p>
            <w:r>
              <w:t>Has missing values</w:t>
            </w:r>
          </w:p>
        </w:tc>
      </w:tr>
    </w:tbl>
    <w:p>
      <w:r>
        <w:t>As shown in Table 2, several operational fields contain structured missingness, which is important for feature engineering decisions.</w:t>
      </w:r>
    </w:p>
    <w:p>
      <w:r>
        <w:t>Table 3. Descriptive Statistics of Numeric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median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558.43</w:t>
            </w:r>
          </w:p>
        </w:tc>
        <w:tc>
          <w:tcPr>
            <w:tcW w:type="dxa" w:w="960"/>
          </w:tcPr>
          <w:p>
            <w:r>
              <w:t>558.00</w:t>
            </w:r>
          </w:p>
        </w:tc>
        <w:tc>
          <w:tcPr>
            <w:tcW w:type="dxa" w:w="960"/>
          </w:tcPr>
          <w:p>
            <w:r>
              <w:t>321.91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280.00</w:t>
            </w:r>
          </w:p>
        </w:tc>
        <w:tc>
          <w:tcPr>
            <w:tcW w:type="dxa" w:w="960"/>
          </w:tcPr>
          <w:p>
            <w:r>
              <w:t>558.00</w:t>
            </w:r>
          </w:p>
        </w:tc>
        <w:tc>
          <w:tcPr>
            <w:tcW w:type="dxa" w:w="960"/>
          </w:tcPr>
          <w:p>
            <w:r>
              <w:t>838.00</w:t>
            </w:r>
          </w:p>
        </w:tc>
        <w:tc>
          <w:tcPr>
            <w:tcW w:type="dxa" w:w="960"/>
          </w:tcPr>
          <w:p>
            <w:r>
              <w:t>1,115.00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3.9983</w:t>
            </w:r>
          </w:p>
        </w:tc>
        <w:tc>
          <w:tcPr>
            <w:tcW w:type="dxa" w:w="960"/>
          </w:tcPr>
          <w:p>
            <w:r>
              <w:t>4.0000</w:t>
            </w:r>
          </w:p>
        </w:tc>
        <w:tc>
          <w:tcPr>
            <w:tcW w:type="dxa" w:w="960"/>
          </w:tcPr>
          <w:p>
            <w:r>
              <w:t>1.9974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2.0000</w:t>
            </w:r>
          </w:p>
        </w:tc>
        <w:tc>
          <w:tcPr>
            <w:tcW w:type="dxa" w:w="960"/>
          </w:tcPr>
          <w:p>
            <w:r>
              <w:t>4.0000</w:t>
            </w:r>
          </w:p>
        </w:tc>
        <w:tc>
          <w:tcPr>
            <w:tcW w:type="dxa" w:w="960"/>
          </w:tcPr>
          <w:p>
            <w:r>
              <w:t>6.0000</w:t>
            </w:r>
          </w:p>
        </w:tc>
        <w:tc>
          <w:tcPr>
            <w:tcW w:type="dxa" w:w="960"/>
          </w:tcPr>
          <w:p>
            <w:r>
              <w:t>7.0000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0.8301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0.3755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0.8301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0.3755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0.1699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0.3755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5,773.82</w:t>
            </w:r>
          </w:p>
        </w:tc>
        <w:tc>
          <w:tcPr>
            <w:tcW w:type="dxa" w:w="960"/>
          </w:tcPr>
          <w:p>
            <w:r>
              <w:t>5,744.00</w:t>
            </w:r>
          </w:p>
        </w:tc>
        <w:tc>
          <w:tcPr>
            <w:tcW w:type="dxa" w:w="960"/>
          </w:tcPr>
          <w:p>
            <w:r>
              <w:t>3,849.93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3,727.00</w:t>
            </w:r>
          </w:p>
        </w:tc>
        <w:tc>
          <w:tcPr>
            <w:tcW w:type="dxa" w:w="960"/>
          </w:tcPr>
          <w:p>
            <w:r>
              <w:t>5,744.00</w:t>
            </w:r>
          </w:p>
        </w:tc>
        <w:tc>
          <w:tcPr>
            <w:tcW w:type="dxa" w:w="960"/>
          </w:tcPr>
          <w:p>
            <w:r>
              <w:t>7,856.00</w:t>
            </w:r>
          </w:p>
        </w:tc>
        <w:tc>
          <w:tcPr>
            <w:tcW w:type="dxa" w:w="960"/>
          </w:tcPr>
          <w:p>
            <w:r>
              <w:t>41,551.00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633.15</w:t>
            </w:r>
          </w:p>
        </w:tc>
        <w:tc>
          <w:tcPr>
            <w:tcW w:type="dxa" w:w="960"/>
          </w:tcPr>
          <w:p>
            <w:r>
              <w:t>609.00</w:t>
            </w:r>
          </w:p>
        </w:tc>
        <w:tc>
          <w:tcPr>
            <w:tcW w:type="dxa" w:w="960"/>
          </w:tcPr>
          <w:p>
            <w:r>
              <w:t>464.41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405.00</w:t>
            </w:r>
          </w:p>
        </w:tc>
        <w:tc>
          <w:tcPr>
            <w:tcW w:type="dxa" w:w="960"/>
          </w:tcPr>
          <w:p>
            <w:r>
              <w:t>609.00</w:t>
            </w:r>
          </w:p>
        </w:tc>
        <w:tc>
          <w:tcPr>
            <w:tcW w:type="dxa" w:w="960"/>
          </w:tcPr>
          <w:p>
            <w:r>
              <w:t>837.00</w:t>
            </w:r>
          </w:p>
        </w:tc>
        <w:tc>
          <w:tcPr>
            <w:tcW w:type="dxa" w:w="960"/>
          </w:tcPr>
          <w:p>
            <w:r>
              <w:t>7,388.00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0.3815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0.4858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0.1786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0.3831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5,422.02</w:t>
            </w:r>
          </w:p>
        </w:tc>
        <w:tc>
          <w:tcPr>
            <w:tcW w:type="dxa" w:w="960"/>
          </w:tcPr>
          <w:p>
            <w:r>
              <w:t>2,325.00</w:t>
            </w:r>
          </w:p>
        </w:tc>
        <w:tc>
          <w:tcPr>
            <w:tcW w:type="dxa" w:w="960"/>
          </w:tcPr>
          <w:p>
            <w:r>
              <w:t>7,706.92</w:t>
            </w:r>
          </w:p>
        </w:tc>
        <w:tc>
          <w:tcPr>
            <w:tcW w:type="dxa" w:w="960"/>
          </w:tcPr>
          <w:p>
            <w:r>
              <w:t>20.0000</w:t>
            </w:r>
          </w:p>
        </w:tc>
        <w:tc>
          <w:tcPr>
            <w:tcW w:type="dxa" w:w="960"/>
          </w:tcPr>
          <w:p>
            <w:r>
              <w:t>710.00</w:t>
            </w:r>
          </w:p>
        </w:tc>
        <w:tc>
          <w:tcPr>
            <w:tcW w:type="dxa" w:w="960"/>
          </w:tcPr>
          <w:p>
            <w:r>
              <w:t>2,325.00</w:t>
            </w:r>
          </w:p>
        </w:tc>
        <w:tc>
          <w:tcPr>
            <w:tcW w:type="dxa" w:w="960"/>
          </w:tcPr>
          <w:p>
            <w:r>
              <w:t>6,880.00</w:t>
            </w:r>
          </w:p>
        </w:tc>
        <w:tc>
          <w:tcPr>
            <w:tcW w:type="dxa" w:w="960"/>
          </w:tcPr>
          <w:p>
            <w:r>
              <w:t>75,860.00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0.0026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0.0509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692,161.00</w:t>
            </w:r>
          </w:p>
        </w:tc>
        <w:tc>
          <w:tcPr>
            <w:tcW w:type="dxa" w:w="960"/>
          </w:tcPr>
          <w:p>
            <w:r>
              <w:t>7.2259</w:t>
            </w:r>
          </w:p>
        </w:tc>
        <w:tc>
          <w:tcPr>
            <w:tcW w:type="dxa" w:w="960"/>
          </w:tcPr>
          <w:p>
            <w:r>
              <w:t>8.0000</w:t>
            </w:r>
          </w:p>
        </w:tc>
        <w:tc>
          <w:tcPr>
            <w:tcW w:type="dxa" w:w="960"/>
          </w:tcPr>
          <w:p>
            <w:r>
              <w:t>3.2075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4.0000</w:t>
            </w:r>
          </w:p>
        </w:tc>
        <w:tc>
          <w:tcPr>
            <w:tcW w:type="dxa" w:w="960"/>
          </w:tcPr>
          <w:p>
            <w:r>
              <w:t>8.0000</w:t>
            </w:r>
          </w:p>
        </w:tc>
        <w:tc>
          <w:tcPr>
            <w:tcW w:type="dxa" w:w="960"/>
          </w:tcPr>
          <w:p>
            <w:r>
              <w:t>10.0000</w:t>
            </w:r>
          </w:p>
        </w:tc>
        <w:tc>
          <w:tcPr>
            <w:tcW w:type="dxa" w:w="960"/>
          </w:tcPr>
          <w:p>
            <w:r>
              <w:t>12.0000</w:t>
            </w:r>
          </w:p>
        </w:tc>
      </w:tr>
      <w:tr>
        <w:tc>
          <w:tcPr>
            <w:tcW w:type="dxa" w:w="960"/>
          </w:tcPr>
          <w:p>
            <w:r>
              <w:t>692,161.00</w:t>
            </w:r>
          </w:p>
        </w:tc>
        <w:tc>
          <w:tcPr>
            <w:tcW w:type="dxa" w:w="960"/>
          </w:tcPr>
          <w:p>
            <w:r>
              <w:t>2,008.87</w:t>
            </w:r>
          </w:p>
        </w:tc>
        <w:tc>
          <w:tcPr>
            <w:tcW w:type="dxa" w:w="960"/>
          </w:tcPr>
          <w:p>
            <w:r>
              <w:t>2,010.00</w:t>
            </w:r>
          </w:p>
        </w:tc>
        <w:tc>
          <w:tcPr>
            <w:tcW w:type="dxa" w:w="960"/>
          </w:tcPr>
          <w:p>
            <w:r>
              <w:t>4.4647</w:t>
            </w:r>
          </w:p>
        </w:tc>
        <w:tc>
          <w:tcPr>
            <w:tcW w:type="dxa" w:w="960"/>
          </w:tcPr>
          <w:p>
            <w:r>
              <w:t>1,990.00</w:t>
            </w:r>
          </w:p>
        </w:tc>
        <w:tc>
          <w:tcPr>
            <w:tcW w:type="dxa" w:w="960"/>
          </w:tcPr>
          <w:p>
            <w:r>
              <w:t>2,006.00</w:t>
            </w:r>
          </w:p>
        </w:tc>
        <w:tc>
          <w:tcPr>
            <w:tcW w:type="dxa" w:w="960"/>
          </w:tcPr>
          <w:p>
            <w:r>
              <w:t>2,010.00</w:t>
            </w:r>
          </w:p>
        </w:tc>
        <w:tc>
          <w:tcPr>
            <w:tcW w:type="dxa" w:w="960"/>
          </w:tcPr>
          <w:p>
            <w:r>
              <w:t>2,013.00</w:t>
            </w:r>
          </w:p>
        </w:tc>
        <w:tc>
          <w:tcPr>
            <w:tcW w:type="dxa" w:w="960"/>
          </w:tcPr>
          <w:p>
            <w:r>
              <w:t>2,015.00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0.5006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509,178.00</w:t>
            </w:r>
          </w:p>
        </w:tc>
        <w:tc>
          <w:tcPr>
            <w:tcW w:type="dxa" w:w="960"/>
          </w:tcPr>
          <w:p>
            <w:r>
              <w:t>23.2691</w:t>
            </w:r>
          </w:p>
        </w:tc>
        <w:tc>
          <w:tcPr>
            <w:tcW w:type="dxa" w:w="960"/>
          </w:tcPr>
          <w:p>
            <w:r>
              <w:t>22.0000</w:t>
            </w:r>
          </w:p>
        </w:tc>
        <w:tc>
          <w:tcPr>
            <w:tcW w:type="dxa" w:w="960"/>
          </w:tcPr>
          <w:p>
            <w:r>
              <w:t>14.0960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13.0000</w:t>
            </w:r>
          </w:p>
        </w:tc>
        <w:tc>
          <w:tcPr>
            <w:tcW w:type="dxa" w:w="960"/>
          </w:tcPr>
          <w:p>
            <w:r>
              <w:t>22.0000</w:t>
            </w:r>
          </w:p>
        </w:tc>
        <w:tc>
          <w:tcPr>
            <w:tcW w:type="dxa" w:w="960"/>
          </w:tcPr>
          <w:p>
            <w:r>
              <w:t>37.0000</w:t>
            </w:r>
          </w:p>
        </w:tc>
        <w:tc>
          <w:tcPr>
            <w:tcW w:type="dxa" w:w="960"/>
          </w:tcPr>
          <w:p>
            <w:r>
              <w:t>50.0000</w:t>
            </w:r>
          </w:p>
        </w:tc>
      </w:tr>
      <w:tr>
        <w:tc>
          <w:tcPr>
            <w:tcW w:type="dxa" w:w="960"/>
          </w:tcPr>
          <w:p>
            <w:r>
              <w:t>509,178.00</w:t>
            </w:r>
          </w:p>
        </w:tc>
        <w:tc>
          <w:tcPr>
            <w:tcW w:type="dxa" w:w="960"/>
          </w:tcPr>
          <w:p>
            <w:r>
              <w:t>2,011.75</w:t>
            </w:r>
          </w:p>
        </w:tc>
        <w:tc>
          <w:tcPr>
            <w:tcW w:type="dxa" w:w="960"/>
          </w:tcPr>
          <w:p>
            <w:r>
              <w:t>2,012.00</w:t>
            </w:r>
          </w:p>
        </w:tc>
        <w:tc>
          <w:tcPr>
            <w:tcW w:type="dxa" w:w="960"/>
          </w:tcPr>
          <w:p>
            <w:r>
              <w:t>1.6629</w:t>
            </w:r>
          </w:p>
        </w:tc>
        <w:tc>
          <w:tcPr>
            <w:tcW w:type="dxa" w:w="960"/>
          </w:tcPr>
          <w:p>
            <w:r>
              <w:t>2,009.00</w:t>
            </w:r>
          </w:p>
        </w:tc>
        <w:tc>
          <w:tcPr>
            <w:tcW w:type="dxa" w:w="960"/>
          </w:tcPr>
          <w:p>
            <w:r>
              <w:t>2,011.00</w:t>
            </w:r>
          </w:p>
        </w:tc>
        <w:tc>
          <w:tcPr>
            <w:tcW w:type="dxa" w:w="960"/>
          </w:tcPr>
          <w:p>
            <w:r>
              <w:t>2,012.00</w:t>
            </w:r>
          </w:p>
        </w:tc>
        <w:tc>
          <w:tcPr>
            <w:tcW w:type="dxa" w:w="960"/>
          </w:tcPr>
          <w:p>
            <w:r>
              <w:t>2,013.00</w:t>
            </w:r>
          </w:p>
        </w:tc>
        <w:tc>
          <w:tcPr>
            <w:tcW w:type="dxa" w:w="960"/>
          </w:tcPr>
          <w:p>
            <w:r>
              <w:t>2,015.00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2,013.83</w:t>
            </w:r>
          </w:p>
        </w:tc>
        <w:tc>
          <w:tcPr>
            <w:tcW w:type="dxa" w:w="960"/>
          </w:tcPr>
          <w:p>
            <w:r>
              <w:t>2,014.00</w:t>
            </w:r>
          </w:p>
        </w:tc>
        <w:tc>
          <w:tcPr>
            <w:tcW w:type="dxa" w:w="960"/>
          </w:tcPr>
          <w:p>
            <w:r>
              <w:t>0.7774</w:t>
            </w:r>
          </w:p>
        </w:tc>
        <w:tc>
          <w:tcPr>
            <w:tcW w:type="dxa" w:w="960"/>
          </w:tcPr>
          <w:p>
            <w:r>
              <w:t>2,013.00</w:t>
            </w:r>
          </w:p>
        </w:tc>
        <w:tc>
          <w:tcPr>
            <w:tcW w:type="dxa" w:w="960"/>
          </w:tcPr>
          <w:p>
            <w:r>
              <w:t>2,013.00</w:t>
            </w:r>
          </w:p>
        </w:tc>
        <w:tc>
          <w:tcPr>
            <w:tcW w:type="dxa" w:w="960"/>
          </w:tcPr>
          <w:p>
            <w:r>
              <w:t>2,014.00</w:t>
            </w:r>
          </w:p>
        </w:tc>
        <w:tc>
          <w:tcPr>
            <w:tcW w:type="dxa" w:w="960"/>
          </w:tcPr>
          <w:p>
            <w:r>
              <w:t>2,014.00</w:t>
            </w:r>
          </w:p>
        </w:tc>
        <w:tc>
          <w:tcPr>
            <w:tcW w:type="dxa" w:w="960"/>
          </w:tcPr>
          <w:p>
            <w:r>
              <w:t>2,015.00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5.8468</w:t>
            </w:r>
          </w:p>
        </w:tc>
        <w:tc>
          <w:tcPr>
            <w:tcW w:type="dxa" w:w="960"/>
          </w:tcPr>
          <w:p>
            <w:r>
              <w:t>6.0000</w:t>
            </w:r>
          </w:p>
        </w:tc>
        <w:tc>
          <w:tcPr>
            <w:tcW w:type="dxa" w:w="960"/>
          </w:tcPr>
          <w:p>
            <w:r>
              <w:t>3.3261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3.0000</w:t>
            </w:r>
          </w:p>
        </w:tc>
        <w:tc>
          <w:tcPr>
            <w:tcW w:type="dxa" w:w="960"/>
          </w:tcPr>
          <w:p>
            <w:r>
              <w:t>6.0000</w:t>
            </w:r>
          </w:p>
        </w:tc>
        <w:tc>
          <w:tcPr>
            <w:tcW w:type="dxa" w:w="960"/>
          </w:tcPr>
          <w:p>
            <w:r>
              <w:t>8.0000</w:t>
            </w:r>
          </w:p>
        </w:tc>
        <w:tc>
          <w:tcPr>
            <w:tcW w:type="dxa" w:w="960"/>
          </w:tcPr>
          <w:p>
            <w:r>
              <w:t>12.0000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2.2943</w:t>
            </w:r>
          </w:p>
        </w:tc>
        <w:tc>
          <w:tcPr>
            <w:tcW w:type="dxa" w:w="960"/>
          </w:tcPr>
          <w:p>
            <w:r>
              <w:t>2.0000</w:t>
            </w:r>
          </w:p>
        </w:tc>
        <w:tc>
          <w:tcPr>
            <w:tcW w:type="dxa" w:w="960"/>
          </w:tcPr>
          <w:p>
            <w:r>
              <w:t>1.0818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2.0000</w:t>
            </w:r>
          </w:p>
        </w:tc>
        <w:tc>
          <w:tcPr>
            <w:tcW w:type="dxa" w:w="960"/>
          </w:tcPr>
          <w:p>
            <w:r>
              <w:t>3.0000</w:t>
            </w:r>
          </w:p>
        </w:tc>
        <w:tc>
          <w:tcPr>
            <w:tcW w:type="dxa" w:w="960"/>
          </w:tcPr>
          <w:p>
            <w:r>
              <w:t>4.0000</w:t>
            </w:r>
          </w:p>
        </w:tc>
      </w:tr>
      <w:tr>
        <w:tc>
          <w:tcPr>
            <w:tcW w:type="dxa" w:w="960"/>
          </w:tcPr>
          <w:p>
            <w:r>
              <w:t>1,017,209.00</w:t>
            </w:r>
          </w:p>
        </w:tc>
        <w:tc>
          <w:tcPr>
            <w:tcW w:type="dxa" w:w="960"/>
          </w:tcPr>
          <w:p>
            <w:r>
              <w:t>23.6155</w:t>
            </w:r>
          </w:p>
        </w:tc>
        <w:tc>
          <w:tcPr>
            <w:tcW w:type="dxa" w:w="960"/>
          </w:tcPr>
          <w:p>
            <w:r>
              <w:t>22.0000</w:t>
            </w:r>
          </w:p>
        </w:tc>
        <w:tc>
          <w:tcPr>
            <w:tcW w:type="dxa" w:w="960"/>
          </w:tcPr>
          <w:p>
            <w:r>
              <w:t>14.4334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11.0000</w:t>
            </w:r>
          </w:p>
        </w:tc>
        <w:tc>
          <w:tcPr>
            <w:tcW w:type="dxa" w:w="960"/>
          </w:tcPr>
          <w:p>
            <w:r>
              <w:t>22.0000</w:t>
            </w:r>
          </w:p>
        </w:tc>
        <w:tc>
          <w:tcPr>
            <w:tcW w:type="dxa" w:w="960"/>
          </w:tcPr>
          <w:p>
            <w:r>
              <w:t>35.0000</w:t>
            </w:r>
          </w:p>
        </w:tc>
        <w:tc>
          <w:tcPr>
            <w:tcW w:type="dxa" w:w="960"/>
          </w:tcPr>
          <w:p>
            <w:r>
              <w:t>52.0000</w:t>
            </w:r>
          </w:p>
        </w:tc>
      </w:tr>
      <w:tr>
        <w:tc>
          <w:tcPr>
            <w:tcW w:type="dxa" w:w="960"/>
          </w:tcPr>
          <w:p>
            <w:r>
              <w:t>844,338.00</w:t>
            </w:r>
          </w:p>
        </w:tc>
        <w:tc>
          <w:tcPr>
            <w:tcW w:type="dxa" w:w="960"/>
          </w:tcPr>
          <w:p>
            <w:r>
              <w:t>9.4936</w:t>
            </w:r>
          </w:p>
        </w:tc>
        <w:tc>
          <w:tcPr>
            <w:tcW w:type="dxa" w:w="960"/>
          </w:tcPr>
          <w:p>
            <w:r>
              <w:t>9.2500</w:t>
            </w:r>
          </w:p>
        </w:tc>
        <w:tc>
          <w:tcPr>
            <w:tcW w:type="dxa" w:w="960"/>
          </w:tcPr>
          <w:p>
            <w:r>
              <w:t>2.1974</w:t>
            </w:r>
          </w:p>
        </w:tc>
        <w:tc>
          <w:tcPr>
            <w:tcW w:type="dxa" w:w="960"/>
          </w:tcPr>
          <w:p>
            <w:r>
              <w:t>2.7491</w:t>
            </w:r>
          </w:p>
        </w:tc>
        <w:tc>
          <w:tcPr>
            <w:tcW w:type="dxa" w:w="960"/>
          </w:tcPr>
          <w:p>
            <w:r>
              <w:t>7.8956</w:t>
            </w:r>
          </w:p>
        </w:tc>
        <w:tc>
          <w:tcPr>
            <w:tcW w:type="dxa" w:w="960"/>
          </w:tcPr>
          <w:p>
            <w:r>
              <w:t>9.2500</w:t>
            </w:r>
          </w:p>
        </w:tc>
        <w:tc>
          <w:tcPr>
            <w:tcW w:type="dxa" w:w="960"/>
          </w:tcPr>
          <w:p>
            <w:r>
              <w:t>10.8997</w:t>
            </w:r>
          </w:p>
        </w:tc>
        <w:tc>
          <w:tcPr>
            <w:tcW w:type="dxa" w:w="960"/>
          </w:tcPr>
          <w:p>
            <w:r>
              <w:t>64.9579</w:t>
            </w:r>
          </w:p>
        </w:tc>
      </w:tr>
    </w:tbl>
    <w:p>
      <w:r>
        <w:t>Table 3 summarizes mean, median, dispersion, and quantiles, supporting baseline understanding of skewness and outlier potential.</w:t>
      </w:r>
    </w:p>
    <w:p>
      <w:pPr>
        <w:pStyle w:val="Heading1"/>
      </w:pPr>
      <w:r>
        <w:t>2. Key Findings from Exploratory Data Analysis</w:t>
      </w:r>
    </w:p>
    <w:p>
      <w:pPr>
        <w:pStyle w:val="Heading3"/>
      </w:pPr>
      <w:r>
        <w:t>Figure 1. Missingness by Column</w:t>
      </w:r>
    </w:p>
    <w:p>
      <w:r>
        <w:t>Figure 1 shows concentrated missingness in a subset of fields, indicating non-random, structural missingness. This supports indicator-aware imputation for selected variables.</w:t>
      </w:r>
    </w:p>
    <w:p>
      <w:r>
        <w:drawing>
          <wp:inline xmlns:a="http://schemas.openxmlformats.org/drawingml/2006/main" xmlns:pic="http://schemas.openxmlformats.org/drawingml/2006/picture">
            <wp:extent cx="6217920" cy="259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issing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2. Sales Distribution</w:t>
      </w:r>
    </w:p>
    <w:p>
      <w:r>
        <w:t>Figure 2 shows right-skewed sales distributions. The log transformation reduces skewness and improves stability for downstream models.</w:t>
      </w:r>
    </w:p>
    <w:p>
      <w:r>
        <w:drawing>
          <wp:inline xmlns:a="http://schemas.openxmlformats.org/drawingml/2006/main" xmlns:pic="http://schemas.openxmlformats.org/drawingml/2006/picture">
            <wp:extent cx="6217920" cy="2220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sale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2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3. Sales vs CustomerCount</w:t>
      </w:r>
    </w:p>
    <w:p>
      <w:r>
        <w:t>Figure 3 indicates a strong positive relationship between customer traffic and sales, suggesting traffic is a dominant short-term sales driver.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ales_vs_custom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4. Daily and Monthly Time Trends</w:t>
      </w:r>
    </w:p>
    <w:p>
      <w:r>
        <w:t>Figure 4 highlights nonstationary demand patterns and seasonality. Aggregate monthly trends are smoother and show systematic cyclical behavior.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time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5. Promo Effect by StoreType</w:t>
      </w:r>
    </w:p>
    <w:p>
      <w:r>
        <w:t>Figure 5 shows promotions raise average sales across store types, but effect size differs by segment, motivating interaction terms.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promo_store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6. Correlation Matrix</w:t>
      </w:r>
    </w:p>
    <w:p>
      <w:r>
        <w:t>Figure 6 summarizes linear relationships. Sales and CustomerCount exhibit strong positive correlation, while promotion and temporal features provide additional explanatory signal.</w:t>
      </w:r>
    </w:p>
    <w:p>
      <w:r>
        <w:drawing>
          <wp:inline xmlns:a="http://schemas.openxmlformats.org/drawingml/2006/main" xmlns:pic="http://schemas.openxmlformats.org/drawingml/2006/picture">
            <wp:extent cx="6217920" cy="4522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2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7. Anomaly Sensitivity</w:t>
      </w:r>
    </w:p>
    <w:p>
      <w:r>
        <w:t>Figure 7 demonstrates anomaly detection sensitivity to threshold choice. Lower thresholds capture more events and are appropriate for monitoring workflows.</w:t>
      </w:r>
    </w:p>
    <w:p>
      <w:r>
        <w:drawing>
          <wp:inline xmlns:a="http://schemas.openxmlformats.org/drawingml/2006/main" xmlns:pic="http://schemas.openxmlformats.org/drawingml/2006/picture">
            <wp:extent cx="6217920" cy="2391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anomaly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EDA Summary: As shown across Figures 2-6, sales are driven primarily by customer traffic, with significant contribution from promotional activity and store segmentation factors. Estimated promo uplift is 38.77% on open days, and Sales-Customer correlation is 0.824. Seasonality is meaningful: month 12 has the highest average sales while month 9 has the lowest.</w:t>
      </w:r>
    </w:p>
    <w:p>
      <w:pPr>
        <w:pStyle w:val="Heading1"/>
      </w:pPr>
      <w:r>
        <w:t>3. Proposed Methods or Models for Next Analysis</w:t>
      </w:r>
    </w:p>
    <w:p>
      <w:r>
        <w:t>Based on the exploratory findings, the next stage should combine interpretable baselines and nonlinear methods:</w:t>
      </w:r>
    </w:p>
    <w:p>
      <w:r>
        <w:t>1) Regularized Linear Regression (on log-sales): provides transparent coefficient-level interpretation and strong baseline stability.</w:t>
      </w:r>
    </w:p>
    <w:p>
      <w:r>
        <w:t>2) Gradient-Boosted Trees / Random Forests: captures nonlinear effects and interactions such as promo by store type, and customer traffic saturation effects.</w:t>
      </w:r>
    </w:p>
    <w:p>
      <w:r>
        <w:t>3) Time-aware validation and rolling-window backtesting: ensures realistic forecast evaluation and avoids temporal leakage.</w:t>
      </w:r>
    </w:p>
    <w:p>
      <w:r>
        <w:t>4) Feature strategy: include lagged sales, calendar indicators, promo flags, store metadata, and missingness indicators for structurally absent fields.</w:t>
      </w:r>
    </w:p>
    <w:p>
      <w:r>
        <w:t>As shown in Figure 5 and Figure 6, segment-specific and interaction-aware models are justified. As shown in Figure 7, anomaly-aware preprocessing should be incorporated into model training pipelines.</w:t>
      </w:r>
    </w:p>
    <w:p>
      <w:pPr>
        <w:pStyle w:val="Heading2"/>
      </w:pPr>
      <w:r>
        <w:t>References</w:t>
      </w:r>
    </w:p>
    <w:p>
      <w:r>
        <w:t>Hyndman, R. J., &amp; Athanasopoulos, G. (2021). Forecasting: Principles and Practice (3rd ed.). OTexts.</w:t>
      </w:r>
    </w:p>
    <w:p>
      <w:r>
        <w:t>James, G., Witten, D., Hastie, T., &amp; Tibshirani, R. (2021). An Introduction to Statistical Learning (2nd ed.). Springer.</w:t>
      </w:r>
    </w:p>
    <w:p>
      <w:r>
        <w:t>Lundberg, S. M., &amp; Lee, S.-I. (2017). A Unified Approach to Interpreting Model Predictions. NeurIPS.</w:t>
      </w:r>
    </w:p>
    <w:p>
      <w:r>
        <w:t>Biecek, P., &amp; Burzykowski, T. (2021). Explanatory Model Analysis. Chapman and Hall/CRC.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