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B2545"/>
          <w:sz w:val="46"/>
        </w:rPr>
        <w:t>Bulk Village Work Order</w:t>
      </w:r>
    </w:p>
    <w:p>
      <w:pPr>
        <w:spacing w:after="280"/>
      </w:pPr>
      <w:r>
        <w:rPr>
          <w:rFonts w:ascii="Calibri" w:hAnsi="Calibri"/>
          <w:b w:val="0"/>
          <w:color w:val="1F4D78"/>
          <w:sz w:val="24"/>
        </w:rPr>
        <w:t>Implementation specification for backend, admin dashboard, mobile application, data migration, verification, and release</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E8EEF5"/>
          </w:tcPr>
          <w:p>
            <w:pPr>
              <w:spacing w:after="0"/>
            </w:pPr>
            <w:r>
              <w:rPr>
                <w:rFonts w:ascii="Calibri" w:hAnsi="Calibri"/>
                <w:b/>
                <w:color w:val="0B2545"/>
                <w:sz w:val="19"/>
              </w:rPr>
              <w:t>Document control</w:t>
            </w:r>
          </w:p>
        </w:tc>
        <w:tc>
          <w:tcPr>
            <w:tcW w:type="dxa" w:w="6860"/>
            <w:tcMar>
              <w:top w:w="80" w:type="dxa"/>
              <w:start w:w="120" w:type="dxa"/>
              <w:bottom w:w="80" w:type="dxa"/>
              <w:end w:w="120" w:type="dxa"/>
            </w:tcMar>
            <w:vAlign w:val="center"/>
            <w:shd w:fill="E8EEF5"/>
          </w:tcPr>
          <w:p>
            <w:pPr>
              <w:spacing w:after="0"/>
            </w:pPr>
            <w:r>
              <w:rPr>
                <w:rFonts w:ascii="Calibri" w:hAnsi="Calibri"/>
                <w:b/>
                <w:color w:val="0B2545"/>
                <w:sz w:val="19"/>
              </w:rPr>
              <w:t>Value</w:t>
            </w:r>
          </w:p>
        </w:tc>
      </w:tr>
      <w:tr>
        <w:tc>
          <w:tcPr>
            <w:tcW w:type="dxa" w:w="2500"/>
          </w:tcPr>
          <w:p>
            <w:pPr>
              <w:spacing w:after="0"/>
            </w:pPr>
            <w:r>
              <w:rPr>
                <w:rFonts w:ascii="Calibri" w:hAnsi="Calibri"/>
                <w:sz w:val="18"/>
              </w:rPr>
              <w:t>Purpose</w:t>
            </w:r>
          </w:p>
        </w:tc>
        <w:tc>
          <w:tcPr>
            <w:tcW w:type="dxa" w:w="6860"/>
          </w:tcPr>
          <w:p>
            <w:pPr>
              <w:spacing w:after="0"/>
            </w:pPr>
            <w:r>
              <w:rPr>
                <w:rFonts w:ascii="Calibri" w:hAnsi="Calibri"/>
                <w:sz w:val="18"/>
              </w:rPr>
              <w:t>Provide an unambiguous, implementation-ready plan for adding the Bulk Village workflow while preserving the existing SVS workflow.</w:t>
            </w:r>
          </w:p>
        </w:tc>
      </w:tr>
      <w:tr>
        <w:tc>
          <w:tcPr>
            <w:tcW w:type="dxa" w:w="2500"/>
          </w:tcPr>
          <w:p>
            <w:pPr>
              <w:spacing w:after="0"/>
            </w:pPr>
            <w:r>
              <w:rPr>
                <w:rFonts w:ascii="Calibri" w:hAnsi="Calibri"/>
                <w:sz w:val="18"/>
              </w:rPr>
              <w:t>Systems</w:t>
            </w:r>
          </w:p>
        </w:tc>
        <w:tc>
          <w:tcPr>
            <w:tcW w:type="dxa" w:w="6860"/>
          </w:tcPr>
          <w:p>
            <w:pPr>
              <w:spacing w:after="0"/>
            </w:pPr>
            <w:r>
              <w:rPr>
                <w:rFonts w:ascii="Calibri" w:hAnsi="Calibri"/>
                <w:sz w:val="18"/>
              </w:rPr>
              <w:t>NestJS backend; Next.js admin dashboard; React Native mobile application; MySQL/TypeORM.</w:t>
            </w:r>
          </w:p>
        </w:tc>
      </w:tr>
      <w:tr>
        <w:tc>
          <w:tcPr>
            <w:tcW w:type="dxa" w:w="2500"/>
          </w:tcPr>
          <w:p>
            <w:pPr>
              <w:spacing w:after="0"/>
            </w:pPr>
            <w:r>
              <w:rPr>
                <w:rFonts w:ascii="Calibri" w:hAnsi="Calibri"/>
                <w:sz w:val="18"/>
              </w:rPr>
              <w:t>Audience</w:t>
            </w:r>
          </w:p>
        </w:tc>
        <w:tc>
          <w:tcPr>
            <w:tcW w:type="dxa" w:w="6860"/>
          </w:tcPr>
          <w:p>
            <w:pPr>
              <w:spacing w:after="0"/>
            </w:pPr>
            <w:r>
              <w:rPr>
                <w:rFonts w:ascii="Calibri" w:hAnsi="Calibri"/>
                <w:sz w:val="18"/>
              </w:rPr>
              <w:t>AI coding agents, maintainers, reviewers, QA, and release owners.</w:t>
            </w:r>
          </w:p>
        </w:tc>
      </w:tr>
      <w:tr>
        <w:tc>
          <w:tcPr>
            <w:tcW w:type="dxa" w:w="2500"/>
          </w:tcPr>
          <w:p>
            <w:pPr>
              <w:spacing w:after="0"/>
            </w:pPr>
            <w:r>
              <w:rPr>
                <w:rFonts w:ascii="Calibri" w:hAnsi="Calibri"/>
                <w:sz w:val="18"/>
              </w:rPr>
              <w:t>Status</w:t>
            </w:r>
          </w:p>
        </w:tc>
        <w:tc>
          <w:tcPr>
            <w:tcW w:type="dxa" w:w="6860"/>
          </w:tcPr>
          <w:p>
            <w:pPr>
              <w:spacing w:after="0"/>
            </w:pPr>
            <w:r>
              <w:rPr>
                <w:rFonts w:ascii="Calibri" w:hAnsi="Calibri"/>
                <w:sz w:val="18"/>
              </w:rPr>
              <w:t>Implementation specification; one policy decision remains open: whether new DO creation must enforce one active DO per district.</w:t>
            </w:r>
          </w:p>
        </w:tc>
      </w:tr>
      <w:tr>
        <w:tc>
          <w:tcPr>
            <w:tcW w:type="dxa" w:w="2500"/>
          </w:tcPr>
          <w:p>
            <w:pPr>
              <w:spacing w:after="0"/>
            </w:pPr>
            <w:r>
              <w:rPr>
                <w:rFonts w:ascii="Calibri" w:hAnsi="Calibri"/>
                <w:sz w:val="18"/>
              </w:rPr>
              <w:t>Terminology</w:t>
            </w:r>
          </w:p>
        </w:tc>
        <w:tc>
          <w:tcPr>
            <w:tcW w:type="dxa" w:w="6860"/>
          </w:tcPr>
          <w:p>
            <w:pPr>
              <w:spacing w:after="0"/>
            </w:pPr>
            <w:r>
              <w:rPr>
                <w:rFonts w:ascii="Calibri" w:hAnsi="Calibri"/>
                <w:sz w:val="18"/>
              </w:rPr>
              <w:t>SVS = existing Single Village Service workflow. BULK_VILLAGE = new work-order type.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pPr>
            <w:r>
              <w:rPr>
                <w:rFonts w:ascii="Calibri" w:hAnsi="Calibri"/>
                <w:b/>
                <w:color w:val="7A5A00"/>
                <w:sz w:val="21"/>
              </w:rPr>
              <w:t xml:space="preserve">IMPLEMENTATION RULE: </w:t>
            </w:r>
            <w:r>
              <w:rPr>
                <w:rFonts w:ascii="Calibri" w:hAnsi="Calibri"/>
                <w:sz w:val="21"/>
              </w:rPr>
              <w:t>Treat the backend authorization and validation rules in this document as the source of truth. Dashboard and mobile hiding is helpful UX but never sufficient access control.</w:t>
            </w:r>
          </w:p>
        </w:tc>
      </w:tr>
    </w:tbl>
    <w:p>
      <w:pPr>
        <w:spacing w:after="40"/>
      </w:pPr>
    </w:p>
    <w:p>
      <w:pPr>
        <w:pStyle w:val="Heading1"/>
      </w:pPr>
      <w:r>
        <w:rPr>
          <w:rFonts w:ascii="Calibri" w:hAnsi="Calibri"/>
          <w:b/>
          <w:color w:val="2E74B5"/>
          <w:sz w:val="32"/>
        </w:rPr>
        <w:t>1. Final business requirements</w:t>
      </w:r>
    </w:p>
    <w:p>
      <w:pPr/>
      <w:r>
        <w:rPr>
          <w:rFonts w:ascii="Calibri" w:hAnsi="Calibri"/>
          <w:sz w:val="22"/>
        </w:rPr>
        <w:t>The system supports two work-order types. SVS is the existing workflow using its existing twelve components. BULK_VILLAGE is a new workflow using eight configurable component templates. The contractor/employee evidence process remains unchanged in both types. Bulk Village adds a separate Technical/Third-Party Inspection (TPI) reference-evidence process.</w:t>
      </w:r>
    </w:p>
    <w:tbl>
      <w:tblPr>
        <w:tblW w:type="dxa" w:w="9360"/>
        <w:jc w:val="left"/>
        <w:tblLayout w:type="fixed"/>
        <w:tblLook w:firstColumn="1" w:firstRow="1" w:lastColumn="0" w:lastRow="0" w:noHBand="0" w:noVBand="1" w:val="04A0"/>
        <w:tblInd w:w="120" w:type="dxa"/>
      </w:tblPr>
      <w:tblGrid>
        <w:gridCol w:w="1650"/>
        <w:gridCol w:w="3855"/>
        <w:gridCol w:w="3855"/>
      </w:tblGrid>
      <w:tr>
        <w:tc>
          <w:tcPr>
            <w:tcW w:type="dxa" w:w="1650"/>
            <w:tcMar>
              <w:top w:w="80" w:type="dxa"/>
              <w:start w:w="120" w:type="dxa"/>
              <w:bottom w:w="80" w:type="dxa"/>
              <w:end w:w="120" w:type="dxa"/>
            </w:tcMar>
            <w:vAlign w:val="center"/>
            <w:shd w:fill="E8EEF5"/>
          </w:tcPr>
          <w:p>
            <w:pPr>
              <w:spacing w:after="0"/>
            </w:pPr>
            <w:r>
              <w:rPr>
                <w:rFonts w:ascii="Calibri" w:hAnsi="Calibri"/>
                <w:b/>
                <w:color w:val="0B2545"/>
                <w:sz w:val="19"/>
              </w:rPr>
              <w:t>Area</w:t>
            </w:r>
          </w:p>
        </w:tc>
        <w:tc>
          <w:tcPr>
            <w:tcW w:type="dxa" w:w="3855"/>
            <w:tcMar>
              <w:top w:w="80" w:type="dxa"/>
              <w:start w:w="120" w:type="dxa"/>
              <w:bottom w:w="80" w:type="dxa"/>
              <w:end w:w="120" w:type="dxa"/>
            </w:tcMar>
            <w:vAlign w:val="center"/>
            <w:shd w:fill="E8EEF5"/>
          </w:tcPr>
          <w:p>
            <w:pPr>
              <w:spacing w:after="0"/>
            </w:pPr>
            <w:r>
              <w:rPr>
                <w:rFonts w:ascii="Calibri" w:hAnsi="Calibri"/>
                <w:b/>
                <w:color w:val="0B2545"/>
                <w:sz w:val="19"/>
              </w:rPr>
              <w:t>SVS</w:t>
            </w:r>
          </w:p>
        </w:tc>
        <w:tc>
          <w:tcPr>
            <w:tcW w:type="dxa" w:w="3855"/>
            <w:tcMar>
              <w:top w:w="80" w:type="dxa"/>
              <w:start w:w="120" w:type="dxa"/>
              <w:bottom w:w="80" w:type="dxa"/>
              <w:end w:w="120" w:type="dxa"/>
            </w:tcMar>
            <w:vAlign w:val="center"/>
            <w:shd w:fill="E8EEF5"/>
          </w:tcPr>
          <w:p>
            <w:pPr>
              <w:spacing w:after="0"/>
            </w:pPr>
            <w:r>
              <w:rPr>
                <w:rFonts w:ascii="Calibri" w:hAnsi="Calibri"/>
                <w:b/>
                <w:color w:val="0B2545"/>
                <w:sz w:val="19"/>
              </w:rPr>
              <w:t>Bulk Village</w:t>
            </w:r>
          </w:p>
        </w:tc>
      </w:tr>
      <w:tr>
        <w:tc>
          <w:tcPr>
            <w:tcW w:type="dxa" w:w="1650"/>
          </w:tcPr>
          <w:p>
            <w:pPr>
              <w:spacing w:after="0"/>
            </w:pPr>
            <w:r>
              <w:rPr>
                <w:rFonts w:ascii="Calibri" w:hAnsi="Calibri"/>
                <w:sz w:val="18"/>
              </w:rPr>
              <w:t>Components</w:t>
            </w:r>
          </w:p>
        </w:tc>
        <w:tc>
          <w:tcPr>
            <w:tcW w:type="dxa" w:w="3855"/>
          </w:tcPr>
          <w:p>
            <w:pPr>
              <w:spacing w:after="0"/>
            </w:pPr>
            <w:r>
              <w:rPr>
                <w:rFonts w:ascii="Calibri" w:hAnsi="Calibri"/>
                <w:sz w:val="18"/>
              </w:rPr>
              <w:t>Existing twelve SVS templates.</w:t>
            </w:r>
          </w:p>
        </w:tc>
        <w:tc>
          <w:tcPr>
            <w:tcW w:type="dxa" w:w="3855"/>
          </w:tcPr>
          <w:p>
            <w:pPr>
              <w:spacing w:after="0"/>
            </w:pPr>
            <w:r>
              <w:rPr>
                <w:rFonts w:ascii="Calibri" w:hAnsi="Calibri"/>
                <w:sz w:val="18"/>
              </w:rPr>
              <w:t>Eight templates; stored as type-specific templates and snapshotted into each work order.</w:t>
            </w:r>
          </w:p>
        </w:tc>
      </w:tr>
      <w:tr>
        <w:tc>
          <w:tcPr>
            <w:tcW w:type="dxa" w:w="1650"/>
          </w:tcPr>
          <w:p>
            <w:pPr>
              <w:spacing w:after="0"/>
            </w:pPr>
            <w:r>
              <w:rPr>
                <w:rFonts w:ascii="Calibri" w:hAnsi="Calibri"/>
                <w:sz w:val="18"/>
              </w:rPr>
              <w:t>Contractor evidence</w:t>
            </w:r>
          </w:p>
        </w:tc>
        <w:tc>
          <w:tcPr>
            <w:tcW w:type="dxa" w:w="3855"/>
          </w:tcPr>
          <w:p>
            <w:pPr>
              <w:spacing w:after="0"/>
            </w:pPr>
            <w:r>
              <w:rPr>
                <w:rFonts w:ascii="Calibri" w:hAnsi="Calibri"/>
                <w:sz w:val="18"/>
              </w:rPr>
              <w:t>Employee uploads progress photos; contractor selects one; DO approves/rejects.</w:t>
            </w:r>
          </w:p>
        </w:tc>
        <w:tc>
          <w:tcPr>
            <w:tcW w:type="dxa" w:w="3855"/>
          </w:tcPr>
          <w:p>
            <w:pPr>
              <w:spacing w:after="0"/>
            </w:pPr>
            <w:r>
              <w:rPr>
                <w:rFonts w:ascii="Calibri" w:hAnsi="Calibri"/>
                <w:sz w:val="18"/>
              </w:rPr>
              <w:t>Exactly the same as SVS.</w:t>
            </w:r>
          </w:p>
        </w:tc>
      </w:tr>
      <w:tr>
        <w:tc>
          <w:tcPr>
            <w:tcW w:type="dxa" w:w="1650"/>
          </w:tcPr>
          <w:p>
            <w:pPr>
              <w:spacing w:after="0"/>
            </w:pPr>
            <w:r>
              <w:rPr>
                <w:rFonts w:ascii="Calibri" w:hAnsi="Calibri"/>
                <w:sz w:val="18"/>
              </w:rPr>
              <w:t>TPI evidence</w:t>
            </w:r>
          </w:p>
        </w:tc>
        <w:tc>
          <w:tcPr>
            <w:tcW w:type="dxa" w:w="3855"/>
          </w:tcPr>
          <w:p>
            <w:pPr>
              <w:spacing w:after="0"/>
            </w:pPr>
            <w:r>
              <w:rPr>
                <w:rFonts w:ascii="Calibri" w:hAnsi="Calibri"/>
                <w:sz w:val="18"/>
              </w:rPr>
              <w:t>Not applicable.</w:t>
            </w:r>
          </w:p>
        </w:tc>
        <w:tc>
          <w:tcPr>
            <w:tcW w:type="dxa" w:w="3855"/>
          </w:tcPr>
          <w:p>
            <w:pPr>
              <w:spacing w:after="0"/>
            </w:pPr>
            <w:r>
              <w:rPr>
                <w:rFonts w:ascii="Calibri" w:hAnsi="Calibri"/>
                <w:sz w:val="18"/>
              </w:rPr>
              <w:t>TPI staff upload no-progress reference photos; TPI selects one per component; DO only views it as reference.</w:t>
            </w:r>
          </w:p>
        </w:tc>
      </w:tr>
      <w:tr>
        <w:tc>
          <w:tcPr>
            <w:tcW w:type="dxa" w:w="1650"/>
          </w:tcPr>
          <w:p>
            <w:pPr>
              <w:spacing w:after="0"/>
            </w:pPr>
            <w:r>
              <w:rPr>
                <w:rFonts w:ascii="Calibri" w:hAnsi="Calibri"/>
                <w:sz w:val="18"/>
              </w:rPr>
              <w:t>TPI assignment</w:t>
            </w:r>
          </w:p>
        </w:tc>
        <w:tc>
          <w:tcPr>
            <w:tcW w:type="dxa" w:w="3855"/>
          </w:tcPr>
          <w:p>
            <w:pPr>
              <w:spacing w:after="0"/>
            </w:pPr>
            <w:r>
              <w:rPr>
                <w:rFonts w:ascii="Calibri" w:hAnsi="Calibri"/>
                <w:sz w:val="18"/>
              </w:rPr>
              <w:t>Forbidden.</w:t>
            </w:r>
          </w:p>
        </w:tc>
        <w:tc>
          <w:tcPr>
            <w:tcW w:type="dxa" w:w="3855"/>
          </w:tcPr>
          <w:p>
            <w:pPr>
              <w:spacing w:after="0"/>
            </w:pPr>
            <w:r>
              <w:rPr>
                <w:rFonts w:ascii="Calibri" w:hAnsi="Calibri"/>
                <w:sz w:val="18"/>
              </w:rPr>
              <w:t>Optional; only an Executive Engineer DO may assign the district's active TPI.</w:t>
            </w:r>
          </w:p>
        </w:tc>
      </w:tr>
      <w:tr>
        <w:tc>
          <w:tcPr>
            <w:tcW w:type="dxa" w:w="1650"/>
          </w:tcPr>
          <w:p>
            <w:pPr>
              <w:spacing w:after="0"/>
            </w:pPr>
            <w:r>
              <w:rPr>
                <w:rFonts w:ascii="Calibri" w:hAnsi="Calibri"/>
                <w:sz w:val="18"/>
              </w:rPr>
              <w:t>DO access</w:t>
            </w:r>
          </w:p>
        </w:tc>
        <w:tc>
          <w:tcPr>
            <w:tcW w:type="dxa" w:w="3855"/>
          </w:tcPr>
          <w:p>
            <w:pPr>
              <w:spacing w:after="0"/>
            </w:pPr>
            <w:r>
              <w:rPr>
                <w:rFonts w:ascii="Calibri" w:hAnsi="Calibri"/>
                <w:sz w:val="18"/>
              </w:rPr>
              <w:t>All normal DOs.</w:t>
            </w:r>
          </w:p>
        </w:tc>
        <w:tc>
          <w:tcPr>
            <w:tcW w:type="dxa" w:w="3855"/>
          </w:tcPr>
          <w:p>
            <w:pPr>
              <w:spacing w:after="0"/>
            </w:pPr>
            <w:r>
              <w:rPr>
                <w:rFonts w:ascii="Calibri" w:hAnsi="Calibri"/>
                <w:sz w:val="18"/>
              </w:rPr>
              <w:t>Only DOs with Executive Engineer enabled.</w:t>
            </w:r>
          </w:p>
        </w:tc>
      </w:tr>
      <w:tr>
        <w:tc>
          <w:tcPr>
            <w:tcW w:type="dxa" w:w="1650"/>
          </w:tcPr>
          <w:p>
            <w:pPr>
              <w:spacing w:after="0"/>
            </w:pPr>
            <w:r>
              <w:rPr>
                <w:rFonts w:ascii="Calibri" w:hAnsi="Calibri"/>
                <w:sz w:val="18"/>
              </w:rPr>
              <w:t>HO photo visibility</w:t>
            </w:r>
          </w:p>
        </w:tc>
        <w:tc>
          <w:tcPr>
            <w:tcW w:type="dxa" w:w="3855"/>
          </w:tcPr>
          <w:p>
            <w:pPr>
              <w:spacing w:after="0"/>
            </w:pPr>
            <w:r>
              <w:rPr>
                <w:rFonts w:ascii="Calibri" w:hAnsi="Calibri"/>
                <w:sz w:val="18"/>
              </w:rPr>
              <w:t>Existing contractor-selected/DO-approved visibility.</w:t>
            </w:r>
          </w:p>
        </w:tc>
        <w:tc>
          <w:tcPr>
            <w:tcW w:type="dxa" w:w="3855"/>
          </w:tcPr>
          <w:p>
            <w:pPr>
              <w:spacing w:after="0"/>
            </w:pPr>
            <w:r>
              <w:rPr>
                <w:rFonts w:ascii="Calibri" w:hAnsi="Calibri"/>
                <w:sz w:val="18"/>
              </w:rPr>
              <w:t>Same visibility; no TPI/staff photos.</w:t>
            </w:r>
          </w:p>
        </w:tc>
      </w:tr>
    </w:tbl>
    <w:p>
      <w:pPr>
        <w:spacing w:after="40"/>
      </w:pPr>
    </w:p>
    <w:p>
      <w:pPr>
        <w:pStyle w:val="Heading2"/>
      </w:pPr>
      <w:r>
        <w:rPr>
          <w:rFonts w:ascii="Calibri" w:hAnsi="Calibri"/>
          <w:b/>
          <w:color w:val="2E74B5"/>
          <w:sz w:val="26"/>
        </w:rPr>
        <w:t>1.1 Canonical terms and roles</w:t>
      </w:r>
    </w:p>
    <w:tbl>
      <w:tblPr>
        <w:tblW w:type="dxa" w:w="9360"/>
        <w:jc w:val="left"/>
        <w:tblLayout w:type="fixed"/>
        <w:tblLook w:firstColumn="1" w:firstRow="1" w:lastColumn="0" w:lastRow="0" w:noHBand="0" w:noVBand="1" w:val="04A0"/>
        <w:tblInd w:w="120" w:type="dxa"/>
      </w:tblPr>
      <w:tblGrid>
        <w:gridCol w:w="700"/>
        <w:gridCol w:w="1350"/>
        <w:gridCol w:w="1600"/>
        <w:gridCol w:w="5710"/>
      </w:tblGrid>
      <w:tr>
        <w:tc>
          <w:tcPr>
            <w:tcW w:type="dxa" w:w="700"/>
            <w:tcMar>
              <w:top w:w="80" w:type="dxa"/>
              <w:start w:w="120" w:type="dxa"/>
              <w:bottom w:w="80" w:type="dxa"/>
              <w:end w:w="120" w:type="dxa"/>
            </w:tcMar>
            <w:vAlign w:val="center"/>
            <w:shd w:fill="E8EEF5"/>
          </w:tcPr>
          <w:p>
            <w:pPr>
              <w:spacing w:after="0"/>
            </w:pPr>
            <w:r>
              <w:rPr>
                <w:rFonts w:ascii="Calibri" w:hAnsi="Calibri"/>
                <w:b/>
                <w:color w:val="0B2545"/>
                <w:sz w:val="19"/>
              </w:rPr>
              <w:t>Code</w:t>
            </w:r>
          </w:p>
        </w:tc>
        <w:tc>
          <w:tcPr>
            <w:tcW w:type="dxa" w:w="1350"/>
            <w:tcMar>
              <w:top w:w="80" w:type="dxa"/>
              <w:start w:w="120" w:type="dxa"/>
              <w:bottom w:w="80" w:type="dxa"/>
              <w:end w:w="120" w:type="dxa"/>
            </w:tcMar>
            <w:vAlign w:val="center"/>
            <w:shd w:fill="E8EEF5"/>
          </w:tcPr>
          <w:p>
            <w:pPr>
              <w:spacing w:after="0"/>
            </w:pPr>
            <w:r>
              <w:rPr>
                <w:rFonts w:ascii="Calibri" w:hAnsi="Calibri"/>
                <w:b/>
                <w:color w:val="0B2545"/>
                <w:sz w:val="19"/>
              </w:rPr>
              <w:t>Role</w:t>
            </w:r>
          </w:p>
        </w:tc>
        <w:tc>
          <w:tcPr>
            <w:tcW w:type="dxa" w:w="1600"/>
            <w:tcMar>
              <w:top w:w="80" w:type="dxa"/>
              <w:start w:w="120" w:type="dxa"/>
              <w:bottom w:w="80" w:type="dxa"/>
              <w:end w:w="120" w:type="dxa"/>
            </w:tcMar>
            <w:vAlign w:val="center"/>
            <w:shd w:fill="E8EEF5"/>
          </w:tcPr>
          <w:p>
            <w:pPr>
              <w:spacing w:after="0"/>
            </w:pPr>
            <w:r>
              <w:rPr>
                <w:rFonts w:ascii="Calibri" w:hAnsi="Calibri"/>
                <w:b/>
                <w:color w:val="0B2545"/>
                <w:sz w:val="19"/>
              </w:rPr>
              <w:t>Primary surface</w:t>
            </w:r>
          </w:p>
        </w:tc>
        <w:tc>
          <w:tcPr>
            <w:tcW w:type="dxa" w:w="5710"/>
            <w:tcMar>
              <w:top w:w="80" w:type="dxa"/>
              <w:start w:w="120" w:type="dxa"/>
              <w:bottom w:w="80" w:type="dxa"/>
              <w:end w:w="120" w:type="dxa"/>
            </w:tcMar>
            <w:vAlign w:val="center"/>
            <w:shd w:fill="E8EEF5"/>
          </w:tcPr>
          <w:p>
            <w:pPr>
              <w:spacing w:after="0"/>
            </w:pPr>
            <w:r>
              <w:rPr>
                <w:rFonts w:ascii="Calibri" w:hAnsi="Calibri"/>
                <w:b/>
                <w:color w:val="0B2545"/>
                <w:sz w:val="19"/>
              </w:rPr>
              <w:t>Bulk Village responsibility</w:t>
            </w:r>
          </w:p>
        </w:tc>
      </w:tr>
      <w:tr>
        <w:tc>
          <w:tcPr>
            <w:tcW w:type="dxa" w:w="700"/>
          </w:tcPr>
          <w:p>
            <w:pPr>
              <w:spacing w:after="0"/>
            </w:pPr>
            <w:r>
              <w:rPr>
                <w:rFonts w:ascii="Calibri" w:hAnsi="Calibri"/>
                <w:sz w:val="18"/>
              </w:rPr>
              <w:t>HO</w:t>
            </w:r>
          </w:p>
        </w:tc>
        <w:tc>
          <w:tcPr>
            <w:tcW w:type="dxa" w:w="1350"/>
          </w:tcPr>
          <w:p>
            <w:pPr>
              <w:spacing w:after="0"/>
            </w:pPr>
            <w:r>
              <w:rPr>
                <w:rFonts w:ascii="Calibri" w:hAnsi="Calibri"/>
                <w:sz w:val="18"/>
              </w:rPr>
              <w:t>Head Office</w:t>
            </w:r>
          </w:p>
        </w:tc>
        <w:tc>
          <w:tcPr>
            <w:tcW w:type="dxa" w:w="1600"/>
          </w:tcPr>
          <w:p>
            <w:pPr>
              <w:spacing w:after="0"/>
            </w:pPr>
            <w:r>
              <w:rPr>
                <w:rFonts w:ascii="Calibri" w:hAnsi="Calibri"/>
                <w:sz w:val="18"/>
              </w:rPr>
              <w:t>Dashboard</w:t>
            </w:r>
          </w:p>
        </w:tc>
        <w:tc>
          <w:tcPr>
            <w:tcW w:type="dxa" w:w="5710"/>
          </w:tcPr>
          <w:p>
            <w:pPr>
              <w:spacing w:after="0"/>
            </w:pPr>
            <w:r>
              <w:rPr>
                <w:rFonts w:ascii="Calibri" w:hAnsi="Calibri"/>
                <w:sz w:val="18"/>
              </w:rPr>
              <w:t>Creates/manages DOs and TPIs; operates both modes; sees contractor evidence/approval but not TPI photos.</w:t>
            </w:r>
          </w:p>
        </w:tc>
      </w:tr>
      <w:tr>
        <w:tc>
          <w:tcPr>
            <w:tcW w:type="dxa" w:w="700"/>
          </w:tcPr>
          <w:p>
            <w:pPr>
              <w:spacing w:after="0"/>
            </w:pPr>
            <w:r>
              <w:rPr>
                <w:rFonts w:ascii="Calibri" w:hAnsi="Calibri"/>
                <w:sz w:val="18"/>
              </w:rPr>
              <w:t>DO</w:t>
            </w:r>
          </w:p>
        </w:tc>
        <w:tc>
          <w:tcPr>
            <w:tcW w:type="dxa" w:w="1350"/>
          </w:tcPr>
          <w:p>
            <w:pPr>
              <w:spacing w:after="0"/>
            </w:pPr>
            <w:r>
              <w:rPr>
                <w:rFonts w:ascii="Calibri" w:hAnsi="Calibri"/>
                <w:sz w:val="18"/>
              </w:rPr>
              <w:t>District Officer</w:t>
            </w:r>
          </w:p>
        </w:tc>
        <w:tc>
          <w:tcPr>
            <w:tcW w:type="dxa" w:w="1600"/>
          </w:tcPr>
          <w:p>
            <w:pPr>
              <w:spacing w:after="0"/>
            </w:pPr>
            <w:r>
              <w:rPr>
                <w:rFonts w:ascii="Calibri" w:hAnsi="Calibri"/>
                <w:sz w:val="18"/>
              </w:rPr>
              <w:t>Dashboard</w:t>
            </w:r>
          </w:p>
        </w:tc>
        <w:tc>
          <w:tcPr>
            <w:tcW w:type="dxa" w:w="5710"/>
          </w:tcPr>
          <w:p>
            <w:pPr>
              <w:spacing w:after="0"/>
            </w:pPr>
            <w:r>
              <w:rPr>
                <w:rFonts w:ascii="Calibri" w:hAnsi="Calibri"/>
                <w:sz w:val="18"/>
              </w:rPr>
              <w:t>Normal SVS responsibilities. Bulk Village access exists only while Executive Engineer flag is enabled.</w:t>
            </w:r>
          </w:p>
        </w:tc>
      </w:tr>
      <w:tr>
        <w:tc>
          <w:tcPr>
            <w:tcW w:type="dxa" w:w="700"/>
          </w:tcPr>
          <w:p>
            <w:pPr>
              <w:spacing w:after="0"/>
            </w:pPr>
            <w:r>
              <w:rPr>
                <w:rFonts w:ascii="Calibri" w:hAnsi="Calibri"/>
                <w:sz w:val="18"/>
              </w:rPr>
              <w:t>CO</w:t>
            </w:r>
          </w:p>
        </w:tc>
        <w:tc>
          <w:tcPr>
            <w:tcW w:type="dxa" w:w="1350"/>
          </w:tcPr>
          <w:p>
            <w:pPr>
              <w:spacing w:after="0"/>
            </w:pPr>
            <w:r>
              <w:rPr>
                <w:rFonts w:ascii="Calibri" w:hAnsi="Calibri"/>
                <w:sz w:val="18"/>
              </w:rPr>
              <w:t>Contractor</w:t>
            </w:r>
          </w:p>
        </w:tc>
        <w:tc>
          <w:tcPr>
            <w:tcW w:type="dxa" w:w="1600"/>
          </w:tcPr>
          <w:p>
            <w:pPr>
              <w:spacing w:after="0"/>
            </w:pPr>
            <w:r>
              <w:rPr>
                <w:rFonts w:ascii="Calibri" w:hAnsi="Calibri"/>
                <w:sz w:val="18"/>
              </w:rPr>
              <w:t>Dashboard</w:t>
            </w:r>
          </w:p>
        </w:tc>
        <w:tc>
          <w:tcPr>
            <w:tcW w:type="dxa" w:w="5710"/>
          </w:tcPr>
          <w:p>
            <w:pPr>
              <w:spacing w:after="0"/>
            </w:pPr>
            <w:r>
              <w:rPr>
                <w:rFonts w:ascii="Calibri" w:hAnsi="Calibri"/>
                <w:sz w:val="18"/>
              </w:rPr>
              <w:t>Unchanged employee, progress, and evidence process for either work-order type.</w:t>
            </w:r>
          </w:p>
        </w:tc>
      </w:tr>
      <w:tr>
        <w:tc>
          <w:tcPr>
            <w:tcW w:type="dxa" w:w="700"/>
          </w:tcPr>
          <w:p>
            <w:pPr>
              <w:spacing w:after="0"/>
            </w:pPr>
            <w:r>
              <w:rPr>
                <w:rFonts w:ascii="Calibri" w:hAnsi="Calibri"/>
                <w:sz w:val="18"/>
              </w:rPr>
              <w:t>EM</w:t>
            </w:r>
          </w:p>
        </w:tc>
        <w:tc>
          <w:tcPr>
            <w:tcW w:type="dxa" w:w="1350"/>
          </w:tcPr>
          <w:p>
            <w:pPr>
              <w:spacing w:after="0"/>
            </w:pPr>
            <w:r>
              <w:rPr>
                <w:rFonts w:ascii="Calibri" w:hAnsi="Calibri"/>
                <w:sz w:val="18"/>
              </w:rPr>
              <w:t>Employee</w:t>
            </w:r>
          </w:p>
        </w:tc>
        <w:tc>
          <w:tcPr>
            <w:tcW w:type="dxa" w:w="1600"/>
          </w:tcPr>
          <w:p>
            <w:pPr>
              <w:spacing w:after="0"/>
            </w:pPr>
            <w:r>
              <w:rPr>
                <w:rFonts w:ascii="Calibri" w:hAnsi="Calibri"/>
                <w:sz w:val="18"/>
              </w:rPr>
              <w:t>Mobile</w:t>
            </w:r>
          </w:p>
        </w:tc>
        <w:tc>
          <w:tcPr>
            <w:tcW w:type="dxa" w:w="5710"/>
          </w:tcPr>
          <w:p>
            <w:pPr>
              <w:spacing w:after="0"/>
            </w:pPr>
            <w:r>
              <w:rPr>
                <w:rFonts w:ascii="Calibri" w:hAnsi="Calibri"/>
                <w:sz w:val="18"/>
              </w:rPr>
              <w:t>Unchanged progress-photo evidence for assigned SVS or Bulk Village work orders.</w:t>
            </w:r>
          </w:p>
        </w:tc>
      </w:tr>
      <w:tr>
        <w:tc>
          <w:tcPr>
            <w:tcW w:type="dxa" w:w="700"/>
          </w:tcPr>
          <w:p>
            <w:pPr>
              <w:spacing w:after="0"/>
            </w:pPr>
            <w:r>
              <w:rPr>
                <w:rFonts w:ascii="Calibri" w:hAnsi="Calibri"/>
                <w:sz w:val="18"/>
              </w:rPr>
              <w:t>TPI</w:t>
            </w:r>
          </w:p>
        </w:tc>
        <w:tc>
          <w:tcPr>
            <w:tcW w:type="dxa" w:w="1350"/>
          </w:tcPr>
          <w:p>
            <w:pPr>
              <w:spacing w:after="0"/>
            </w:pPr>
            <w:r>
              <w:rPr>
                <w:rFonts w:ascii="Calibri" w:hAnsi="Calibri"/>
                <w:sz w:val="18"/>
              </w:rPr>
              <w:t>Third-Party Inspector</w:t>
            </w:r>
          </w:p>
        </w:tc>
        <w:tc>
          <w:tcPr>
            <w:tcW w:type="dxa" w:w="1600"/>
          </w:tcPr>
          <w:p>
            <w:pPr>
              <w:spacing w:after="0"/>
            </w:pPr>
            <w:r>
              <w:rPr>
                <w:rFonts w:ascii="Calibri" w:hAnsi="Calibri"/>
                <w:sz w:val="18"/>
              </w:rPr>
              <w:t>Dashboard</w:t>
            </w:r>
          </w:p>
        </w:tc>
        <w:tc>
          <w:tcPr>
            <w:tcW w:type="dxa" w:w="5710"/>
          </w:tcPr>
          <w:p>
            <w:pPr>
              <w:spacing w:after="0"/>
            </w:pPr>
            <w:r>
              <w:rPr>
                <w:rFonts w:ascii="Calibri" w:hAnsi="Calibri"/>
                <w:sz w:val="18"/>
              </w:rPr>
              <w:t>Created by HO; belongs to one district; manages TPI staff; selects reference photos for assigned Bulk Village work orders.</w:t>
            </w:r>
          </w:p>
        </w:tc>
      </w:tr>
      <w:tr>
        <w:tc>
          <w:tcPr>
            <w:tcW w:type="dxa" w:w="700"/>
          </w:tcPr>
          <w:p>
            <w:pPr>
              <w:spacing w:after="0"/>
            </w:pPr>
            <w:r>
              <w:rPr>
                <w:rFonts w:ascii="Calibri" w:hAnsi="Calibri"/>
                <w:sz w:val="18"/>
              </w:rPr>
              <w:t>TPI_STAFF</w:t>
            </w:r>
          </w:p>
        </w:tc>
        <w:tc>
          <w:tcPr>
            <w:tcW w:type="dxa" w:w="1350"/>
          </w:tcPr>
          <w:p>
            <w:pPr>
              <w:spacing w:after="0"/>
            </w:pPr>
            <w:r>
              <w:rPr>
                <w:rFonts w:ascii="Calibri" w:hAnsi="Calibri"/>
                <w:sz w:val="18"/>
              </w:rPr>
              <w:t>TPI staff member</w:t>
            </w:r>
          </w:p>
        </w:tc>
        <w:tc>
          <w:tcPr>
            <w:tcW w:type="dxa" w:w="1600"/>
          </w:tcPr>
          <w:p>
            <w:pPr>
              <w:spacing w:after="0"/>
            </w:pPr>
            <w:r>
              <w:rPr>
                <w:rFonts w:ascii="Calibri" w:hAnsi="Calibri"/>
                <w:sz w:val="18"/>
              </w:rPr>
              <w:t>Mobile</w:t>
            </w:r>
          </w:p>
        </w:tc>
        <w:tc>
          <w:tcPr>
            <w:tcW w:type="dxa" w:w="5710"/>
          </w:tcPr>
          <w:p>
            <w:pPr>
              <w:spacing w:after="0"/>
            </w:pPr>
            <w:r>
              <w:rPr>
                <w:rFonts w:ascii="Calibri" w:hAnsi="Calibri"/>
                <w:sz w:val="18"/>
              </w:rPr>
              <w:t>Created by TPI; assigned to TPI work orders; uploads no-progress reference photos.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pPr>
            <w:r>
              <w:rPr>
                <w:rFonts w:ascii="Calibri" w:hAnsi="Calibri"/>
                <w:b/>
                <w:color w:val="7A5A00"/>
                <w:sz w:val="21"/>
              </w:rPr>
              <w:t xml:space="preserve">LOCKED DECISION: </w:t>
            </w:r>
            <w:r>
              <w:rPr>
                <w:rFonts w:ascii="Calibri" w:hAnsi="Calibri"/>
                <w:sz w:val="21"/>
              </w:rPr>
              <w:t>The existing work-order name is SVS, not SPS. Use SVS consistently in enum values, labels, filter parameters, test names, seed data, and documentation.</w:t>
            </w:r>
          </w:p>
        </w:tc>
      </w:tr>
    </w:tbl>
    <w:p>
      <w:pPr>
        <w:spacing w:after="40"/>
      </w:pPr>
    </w:p>
    <w:p>
      <w:pPr>
        <w:pStyle w:val="Heading1"/>
      </w:pPr>
      <w:r>
        <w:rPr>
          <w:rFonts w:ascii="Calibri" w:hAnsi="Calibri"/>
          <w:b/>
          <w:color w:val="2E74B5"/>
          <w:sz w:val="32"/>
        </w:rPr>
        <w:t>2. Mode model, agreement behavior, and invariants</w:t>
      </w:r>
    </w:p>
    <w:p>
      <w:pPr/>
      <w:r>
        <w:rPr>
          <w:rFonts w:ascii="Calibri" w:hAnsi="Calibri"/>
          <w:sz w:val="22"/>
        </w:rPr>
        <w:t>Persist work-order type only on work items. Do not add a duplicate type field to agreements. An agreement derives its effective mode from its linked work items.</w:t>
      </w:r>
    </w:p>
    <w:tbl>
      <w:tblPr>
        <w:tblW w:type="dxa" w:w="9360"/>
        <w:jc w:val="left"/>
        <w:tblLayout w:type="fixed"/>
        <w:tblLook w:firstColumn="1" w:firstRow="1" w:lastColumn="0" w:lastRow="0" w:noHBand="0" w:noVBand="1" w:val="04A0"/>
        <w:tblInd w:w="120" w:type="dxa"/>
      </w:tblPr>
      <w:tblGrid>
        <w:gridCol w:w="2600"/>
        <w:gridCol w:w="2250"/>
        <w:gridCol w:w="2250"/>
        <w:gridCol w:w="2260"/>
      </w:tblGrid>
      <w:tr>
        <w:tc>
          <w:tcPr>
            <w:tcW w:type="dxa" w:w="2600"/>
            <w:tcMar>
              <w:top w:w="80" w:type="dxa"/>
              <w:start w:w="120" w:type="dxa"/>
              <w:bottom w:w="80" w:type="dxa"/>
              <w:end w:w="120" w:type="dxa"/>
            </w:tcMar>
            <w:vAlign w:val="center"/>
            <w:shd w:fill="E8EEF5"/>
          </w:tcPr>
          <w:p>
            <w:pPr>
              <w:spacing w:after="0"/>
            </w:pPr>
            <w:r>
              <w:rPr>
                <w:rFonts w:ascii="Calibri" w:hAnsi="Calibri"/>
                <w:b/>
                <w:color w:val="0B2545"/>
                <w:sz w:val="19"/>
              </w:rPr>
              <w:t>Agreement state</w:t>
            </w:r>
          </w:p>
        </w:tc>
        <w:tc>
          <w:tcPr>
            <w:tcW w:type="dxa" w:w="2250"/>
            <w:tcMar>
              <w:top w:w="80" w:type="dxa"/>
              <w:start w:w="120" w:type="dxa"/>
              <w:bottom w:w="80" w:type="dxa"/>
              <w:end w:w="120" w:type="dxa"/>
            </w:tcMar>
            <w:vAlign w:val="center"/>
            <w:shd w:fill="E8EEF5"/>
          </w:tcPr>
          <w:p>
            <w:pPr>
              <w:spacing w:after="0"/>
            </w:pPr>
            <w:r>
              <w:rPr>
                <w:rFonts w:ascii="Calibri" w:hAnsi="Calibri"/>
                <w:b/>
                <w:color w:val="0B2545"/>
                <w:sz w:val="19"/>
              </w:rPr>
              <w:t>Visibility in SVS mode</w:t>
            </w:r>
          </w:p>
        </w:tc>
        <w:tc>
          <w:tcPr>
            <w:tcW w:type="dxa" w:w="2250"/>
            <w:tcMar>
              <w:top w:w="80" w:type="dxa"/>
              <w:start w:w="120" w:type="dxa"/>
              <w:bottom w:w="80" w:type="dxa"/>
              <w:end w:w="120" w:type="dxa"/>
            </w:tcMar>
            <w:vAlign w:val="center"/>
            <w:shd w:fill="E8EEF5"/>
          </w:tcPr>
          <w:p>
            <w:pPr>
              <w:spacing w:after="0"/>
            </w:pPr>
            <w:r>
              <w:rPr>
                <w:rFonts w:ascii="Calibri" w:hAnsi="Calibri"/>
                <w:b/>
                <w:color w:val="0B2545"/>
                <w:sz w:val="19"/>
              </w:rPr>
              <w:t>Visibility in Bulk Village mode</w:t>
            </w:r>
          </w:p>
        </w:tc>
        <w:tc>
          <w:tcPr>
            <w:tcW w:type="dxa" w:w="2260"/>
            <w:tcMar>
              <w:top w:w="80" w:type="dxa"/>
              <w:start w:w="120" w:type="dxa"/>
              <w:bottom w:w="80" w:type="dxa"/>
              <w:end w:w="120" w:type="dxa"/>
            </w:tcMar>
            <w:vAlign w:val="center"/>
            <w:shd w:fill="E8EEF5"/>
          </w:tcPr>
          <w:p>
            <w:pPr>
              <w:spacing w:after="0"/>
            </w:pPr>
            <w:r>
              <w:rPr>
                <w:rFonts w:ascii="Calibri" w:hAnsi="Calibri"/>
                <w:b/>
                <w:color w:val="0B2545"/>
                <w:sz w:val="19"/>
              </w:rPr>
              <w:t>Validation rule</w:t>
            </w:r>
          </w:p>
        </w:tc>
      </w:tr>
      <w:tr>
        <w:tc>
          <w:tcPr>
            <w:tcW w:type="dxa" w:w="2600"/>
          </w:tcPr>
          <w:p>
            <w:pPr>
              <w:spacing w:after="0"/>
            </w:pPr>
            <w:r>
              <w:rPr>
                <w:rFonts w:ascii="Calibri" w:hAnsi="Calibri"/>
                <w:sz w:val="18"/>
              </w:rPr>
              <w:t>No linked work orders</w:t>
            </w:r>
          </w:p>
        </w:tc>
        <w:tc>
          <w:tcPr>
            <w:tcW w:type="dxa" w:w="2250"/>
          </w:tcPr>
          <w:p>
            <w:pPr>
              <w:spacing w:after="0"/>
            </w:pPr>
            <w:r>
              <w:rPr>
                <w:rFonts w:ascii="Calibri" w:hAnsi="Calibri"/>
                <w:sz w:val="18"/>
              </w:rPr>
              <w:t>Visible.</w:t>
            </w:r>
          </w:p>
        </w:tc>
        <w:tc>
          <w:tcPr>
            <w:tcW w:type="dxa" w:w="2250"/>
          </w:tcPr>
          <w:p>
            <w:pPr>
              <w:spacing w:after="0"/>
            </w:pPr>
            <w:r>
              <w:rPr>
                <w:rFonts w:ascii="Calibri" w:hAnsi="Calibri"/>
                <w:sz w:val="18"/>
              </w:rPr>
              <w:t>Visible.</w:t>
            </w:r>
          </w:p>
        </w:tc>
        <w:tc>
          <w:tcPr>
            <w:tcW w:type="dxa" w:w="2260"/>
          </w:tcPr>
          <w:p>
            <w:pPr>
              <w:spacing w:after="0"/>
            </w:pPr>
            <w:r>
              <w:rPr>
                <w:rFonts w:ascii="Calibri" w:hAnsi="Calibri"/>
                <w:sz w:val="18"/>
              </w:rPr>
              <w:t>It is untyped and can later receive the first work order of either type.</w:t>
            </w:r>
          </w:p>
        </w:tc>
      </w:tr>
      <w:tr>
        <w:tc>
          <w:tcPr>
            <w:tcW w:type="dxa" w:w="2600"/>
          </w:tcPr>
          <w:p>
            <w:pPr>
              <w:spacing w:after="0"/>
            </w:pPr>
            <w:r>
              <w:rPr>
                <w:rFonts w:ascii="Calibri" w:hAnsi="Calibri"/>
                <w:sz w:val="18"/>
              </w:rPr>
              <w:t>One or more SVS work orders</w:t>
            </w:r>
          </w:p>
        </w:tc>
        <w:tc>
          <w:tcPr>
            <w:tcW w:type="dxa" w:w="2250"/>
          </w:tcPr>
          <w:p>
            <w:pPr>
              <w:spacing w:after="0"/>
            </w:pPr>
            <w:r>
              <w:rPr>
                <w:rFonts w:ascii="Calibri" w:hAnsi="Calibri"/>
                <w:sz w:val="18"/>
              </w:rPr>
              <w:t>Visible.</w:t>
            </w:r>
          </w:p>
        </w:tc>
        <w:tc>
          <w:tcPr>
            <w:tcW w:type="dxa" w:w="2250"/>
          </w:tcPr>
          <w:p>
            <w:pPr>
              <w:spacing w:after="0"/>
            </w:pPr>
            <w:r>
              <w:rPr>
                <w:rFonts w:ascii="Calibri" w:hAnsi="Calibri"/>
                <w:sz w:val="18"/>
              </w:rPr>
              <w:t>Hidden.</w:t>
            </w:r>
          </w:p>
        </w:tc>
        <w:tc>
          <w:tcPr>
            <w:tcW w:type="dxa" w:w="2260"/>
          </w:tcPr>
          <w:p>
            <w:pPr>
              <w:spacing w:after="0"/>
            </w:pPr>
            <w:r>
              <w:rPr>
                <w:rFonts w:ascii="Calibri" w:hAnsi="Calibri"/>
                <w:sz w:val="18"/>
              </w:rPr>
              <w:t>Only SVS work orders may be added thereafter.</w:t>
            </w:r>
          </w:p>
        </w:tc>
      </w:tr>
      <w:tr>
        <w:tc>
          <w:tcPr>
            <w:tcW w:type="dxa" w:w="2600"/>
          </w:tcPr>
          <w:p>
            <w:pPr>
              <w:spacing w:after="0"/>
            </w:pPr>
            <w:r>
              <w:rPr>
                <w:rFonts w:ascii="Calibri" w:hAnsi="Calibri"/>
                <w:sz w:val="18"/>
              </w:rPr>
              <w:t>One or more Bulk Village work orders</w:t>
            </w:r>
          </w:p>
        </w:tc>
        <w:tc>
          <w:tcPr>
            <w:tcW w:type="dxa" w:w="2250"/>
          </w:tcPr>
          <w:p>
            <w:pPr>
              <w:spacing w:after="0"/>
            </w:pPr>
            <w:r>
              <w:rPr>
                <w:rFonts w:ascii="Calibri" w:hAnsi="Calibri"/>
                <w:sz w:val="18"/>
              </w:rPr>
              <w:t>Hidden.</w:t>
            </w:r>
          </w:p>
        </w:tc>
        <w:tc>
          <w:tcPr>
            <w:tcW w:type="dxa" w:w="2250"/>
          </w:tcPr>
          <w:p>
            <w:pPr>
              <w:spacing w:after="0"/>
            </w:pPr>
            <w:r>
              <w:rPr>
                <w:rFonts w:ascii="Calibri" w:hAnsi="Calibri"/>
                <w:sz w:val="18"/>
              </w:rPr>
              <w:t>Visible.</w:t>
            </w:r>
          </w:p>
        </w:tc>
        <w:tc>
          <w:tcPr>
            <w:tcW w:type="dxa" w:w="2260"/>
          </w:tcPr>
          <w:p>
            <w:pPr>
              <w:spacing w:after="0"/>
            </w:pPr>
            <w:r>
              <w:rPr>
                <w:rFonts w:ascii="Calibri" w:hAnsi="Calibri"/>
                <w:sz w:val="18"/>
              </w:rPr>
              <w:t>Only Bulk Village work orders may be added thereafter.</w:t>
            </w:r>
          </w:p>
        </w:tc>
      </w:tr>
    </w:tbl>
    <w:p>
      <w:pPr>
        <w:spacing w:after="40"/>
      </w:pPr>
    </w:p>
    <w:p>
      <w:pPr>
        <w:pStyle w:val="ListBullet"/>
        <w:spacing w:after="80"/>
        <w:ind w:left="540" w:hanging="271"/>
      </w:pPr>
      <w:r>
        <w:rPr>
          <w:rFonts w:ascii="Calibri" w:hAnsi="Calibri"/>
          <w:sz w:val="22"/>
        </w:rPr>
        <w:t>The dashboard mode is selected locally by the user, but every list query must send or derive the requested mode and the backend must apply the filter.</w:t>
      </w:r>
    </w:p>
    <w:p>
      <w:pPr>
        <w:pStyle w:val="ListBullet"/>
        <w:spacing w:after="80"/>
        <w:ind w:left="540" w:hanging="271"/>
      </w:pPr>
      <w:r>
        <w:rPr>
          <w:rFonts w:ascii="Calibri" w:hAnsi="Calibri"/>
          <w:sz w:val="22"/>
        </w:rPr>
        <w:t>Work-order creation and Excel import receive the current dashboard mode as `workOrderType`; the workbook/form itself has no type selector.</w:t>
      </w:r>
    </w:p>
    <w:p>
      <w:pPr>
        <w:pStyle w:val="ListBullet"/>
        <w:spacing w:after="80"/>
        <w:ind w:left="540" w:hanging="271"/>
      </w:pPr>
      <w:r>
        <w:rPr>
          <w:rFonts w:ascii="Calibri" w:hAnsi="Calibri"/>
          <w:sz w:val="22"/>
        </w:rPr>
        <w:t>Agreement creation has no persisted type. If it has no linked work order, it appears in both modes by design.</w:t>
      </w:r>
    </w:p>
    <w:p>
      <w:pPr>
        <w:pStyle w:val="ListBullet"/>
        <w:spacing w:after="80"/>
        <w:ind w:left="540" w:hanging="271"/>
      </w:pPr>
      <w:r>
        <w:rPr>
          <w:rFonts w:ascii="Calibri" w:hAnsi="Calibri"/>
          <w:sz w:val="22"/>
        </w:rPr>
        <w:t>The backend must reject attaching a work order of a different type to an agreement that already has typed work orders.</w:t>
      </w:r>
    </w:p>
    <w:p>
      <w:pPr>
        <w:pStyle w:val="ListBullet"/>
        <w:spacing w:after="80"/>
        <w:ind w:left="540" w:hanging="271"/>
      </w:pPr>
      <w:r>
        <w:rPr>
          <w:rFonts w:ascii="Calibri" w:hAnsi="Calibri"/>
          <w:sz w:val="22"/>
        </w:rPr>
        <w:t>Direct URL/API access must not circumvent the selected mode or role rules.</w:t>
      </w:r>
    </w:p>
    <w:p>
      <w:pPr>
        <w:pStyle w:val="Heading1"/>
      </w:pPr>
      <w:r>
        <w:rPr>
          <w:rFonts w:ascii="Calibri" w:hAnsi="Calibri"/>
          <w:b/>
          <w:color w:val="2E74B5"/>
          <w:sz w:val="32"/>
        </w:rPr>
        <w:t>3. End-to-end workflows</w:t>
      </w:r>
    </w:p>
    <w:p>
      <w:pPr>
        <w:pStyle w:val="Heading2"/>
      </w:pPr>
      <w:r>
        <w:rPr>
          <w:rFonts w:ascii="Calibri" w:hAnsi="Calibri"/>
          <w:b/>
          <w:color w:val="2E74B5"/>
          <w:sz w:val="26"/>
        </w:rPr>
        <w:t>3.1 Shared contractor/employee evidence workflow</w:t>
      </w:r>
    </w:p>
    <w:p>
      <w:pPr>
        <w:pStyle w:val="ListNumber"/>
        <w:spacing w:after="80"/>
        <w:ind w:left="540" w:hanging="271"/>
      </w:pPr>
      <w:r>
        <w:rPr>
          <w:rFonts w:ascii="Calibri" w:hAnsi="Calibri"/>
          <w:sz w:val="22"/>
        </w:rPr>
        <w:t>HO or eligible DO creates/imports work orders in the active mode and links them to agreements/contractors using the existing flow.</w:t>
      </w:r>
    </w:p>
    <w:p>
      <w:pPr>
        <w:pStyle w:val="ListNumber"/>
        <w:spacing w:after="80"/>
        <w:ind w:left="540" w:hanging="271"/>
      </w:pPr>
      <w:r>
        <w:rPr>
          <w:rFonts w:ascii="Calibri" w:hAnsi="Calibri"/>
          <w:sz w:val="22"/>
        </w:rPr>
        <w:t>CO assigns its EM users to a work order, sets component quantities, and reviews employee photos.</w:t>
      </w:r>
    </w:p>
    <w:p>
      <w:pPr>
        <w:pStyle w:val="ListNumber"/>
        <w:spacing w:after="80"/>
        <w:ind w:left="540" w:hanging="271"/>
      </w:pPr>
      <w:r>
        <w:rPr>
          <w:rFonts w:ascii="Calibri" w:hAnsi="Calibri"/>
          <w:sz w:val="22"/>
        </w:rPr>
        <w:t>EM logs into mobile, sees only assigned agreements/work orders, opens a component, captures a geotagged/timestamped photo, enters non-decreasing progress, and uploads it.</w:t>
      </w:r>
    </w:p>
    <w:p>
      <w:pPr>
        <w:pStyle w:val="ListNumber"/>
        <w:spacing w:after="80"/>
        <w:ind w:left="540" w:hanging="271"/>
      </w:pPr>
      <w:r>
        <w:rPr>
          <w:rFonts w:ascii="Calibri" w:hAnsi="Calibri"/>
          <w:sz w:val="22"/>
        </w:rPr>
        <w:t>CO selects one employee photo for the component after component progress reaches its quantity; the selected contractor evidence is submitted to DO.</w:t>
      </w:r>
    </w:p>
    <w:p>
      <w:pPr>
        <w:pStyle w:val="ListNumber"/>
        <w:spacing w:after="80"/>
        <w:ind w:left="540" w:hanging="271"/>
      </w:pPr>
      <w:r>
        <w:rPr>
          <w:rFonts w:ascii="Calibri" w:hAnsi="Calibri"/>
          <w:sz w:val="22"/>
        </w:rPr>
        <w:t>DO reviews the contractor-selected evidence and approves/rejects it. Approval updates the component and existing work-progress calculations exactly as today.</w:t>
      </w:r>
    </w:p>
    <w:p>
      <w:pPr>
        <w:pStyle w:val="Heading2"/>
      </w:pPr>
      <w:r>
        <w:rPr>
          <w:rFonts w:ascii="Calibri" w:hAnsi="Calibri"/>
          <w:b/>
          <w:color w:val="2E74B5"/>
          <w:sz w:val="26"/>
        </w:rPr>
        <w:t>3.2 Bulk Village TPI reference workflow</w:t>
      </w:r>
    </w:p>
    <w:p>
      <w:pPr>
        <w:pStyle w:val="ListNumber"/>
        <w:spacing w:after="80"/>
        <w:ind w:left="540" w:hanging="271"/>
      </w:pPr>
      <w:r>
        <w:rPr>
          <w:rFonts w:ascii="Calibri" w:hAnsi="Calibri"/>
          <w:sz w:val="22"/>
        </w:rPr>
        <w:t>HO creates one active TPI for a district, with a manually entered unique code and contractor-equivalent profile fields.</w:t>
      </w:r>
    </w:p>
    <w:p>
      <w:pPr>
        <w:pStyle w:val="ListNumber"/>
        <w:spacing w:after="80"/>
        <w:ind w:left="540" w:hanging="271"/>
      </w:pPr>
      <w:r>
        <w:rPr>
          <w:rFonts w:ascii="Calibri" w:hAnsi="Calibri"/>
          <w:sz w:val="22"/>
        </w:rPr>
        <w:t>An Executive Engineer DO opens a Bulk Village work order in the DO's own district and explicitly chooses Assign TPI or leaves it unassigned.</w:t>
      </w:r>
    </w:p>
    <w:p>
      <w:pPr>
        <w:pStyle w:val="ListNumber"/>
        <w:spacing w:after="80"/>
        <w:ind w:left="540" w:hanging="271"/>
      </w:pPr>
      <w:r>
        <w:rPr>
          <w:rFonts w:ascii="Calibri" w:hAnsi="Calibri"/>
          <w:sz w:val="22"/>
        </w:rPr>
        <w:t>Assign TPI automatically binds the district's single active TPI; the DO never selects among multiple TPIs.</w:t>
      </w:r>
    </w:p>
    <w:p>
      <w:pPr>
        <w:pStyle w:val="ListNumber"/>
        <w:spacing w:after="80"/>
        <w:ind w:left="540" w:hanging="271"/>
      </w:pPr>
      <w:r>
        <w:rPr>
          <w:rFonts w:ascii="Calibri" w:hAnsi="Calibri"/>
          <w:sz w:val="22"/>
        </w:rPr>
        <w:t>TPI creates TPI_STAFF users and assigns staff to its own assigned Bulk Village work orders.</w:t>
      </w:r>
    </w:p>
    <w:p>
      <w:pPr>
        <w:pStyle w:val="ListNumber"/>
        <w:spacing w:after="80"/>
        <w:ind w:left="540" w:hanging="271"/>
      </w:pPr>
      <w:r>
        <w:rPr>
          <w:rFonts w:ascii="Calibri" w:hAnsi="Calibri"/>
          <w:sz w:val="22"/>
        </w:rPr>
        <w:t>TPI staff logs into the existing mobile application with email/password, views only assigned TPI work orders, and uploads unlimited geotagged/timestamped reference photos to any component with no progress input and no component-order constraint.</w:t>
      </w:r>
    </w:p>
    <w:p>
      <w:pPr>
        <w:pStyle w:val="ListNumber"/>
        <w:spacing w:after="80"/>
        <w:ind w:left="540" w:hanging="271"/>
      </w:pPr>
      <w:r>
        <w:rPr>
          <w:rFonts w:ascii="Calibri" w:hAnsi="Calibri"/>
          <w:sz w:val="22"/>
        </w:rPr>
        <w:t>TPI reviews staff photos and selects one reference photo per component. Once selected, staff cannot upload more photos for that component.</w:t>
      </w:r>
    </w:p>
    <w:p>
      <w:pPr>
        <w:pStyle w:val="ListNumber"/>
        <w:spacing w:after="80"/>
        <w:ind w:left="540" w:hanging="271"/>
      </w:pPr>
      <w:r>
        <w:rPr>
          <w:rFonts w:ascii="Calibri" w:hAnsi="Calibri"/>
          <w:sz w:val="22"/>
        </w:rPr>
        <w:t>Before contractor evidence is approved, TPI may deselect the reference photo, then staff may upload replacements and TPI may select one again.</w:t>
      </w:r>
    </w:p>
    <w:p>
      <w:pPr>
        <w:pStyle w:val="ListNumber"/>
        <w:spacing w:after="80"/>
        <w:ind w:left="540" w:hanging="271"/>
      </w:pPr>
      <w:r>
        <w:rPr>
          <w:rFonts w:ascii="Calibri" w:hAnsi="Calibri"/>
          <w:sz w:val="22"/>
        </w:rPr>
        <w:t>Executive Engineer DO sees both contractor-selected evidence and the TPI-selected reference photo. The DO can approve/reject only contractor evidence; the TPI photo has no approval action and does not affect progress.</w:t>
      </w:r>
    </w:p>
    <w:p>
      <w:pPr>
        <w:pStyle w:val="ListNumber"/>
        <w:spacing w:after="80"/>
        <w:ind w:left="540" w:hanging="271"/>
      </w:pPr>
      <w:r>
        <w:rPr>
          <w:rFonts w:ascii="Calibri" w:hAnsi="Calibri"/>
          <w:sz w:val="22"/>
        </w:rPr>
        <w:t>After contractor evidence approval, TPI reference evidence for that component is immutable.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color w:val="9B1C1C"/>
                <w:sz w:val="21"/>
              </w:rPr>
              <w:t xml:space="preserve">SEPARATION OF CONCERNS: </w:t>
            </w:r>
            <w:r>
              <w:rPr>
                <w:rFonts w:ascii="Calibri" w:hAnsi="Calibri"/>
                <w:sz w:val="21"/>
              </w:rPr>
              <w:t>TPI reference evidence is not a variant of contractor evidence. Its selection status, upload permissions, visibility, and locking must be stored and validated independently so it cannot be approved, rejected, or counted as contractor progress.</w:t>
            </w:r>
          </w:p>
        </w:tc>
      </w:tr>
    </w:tbl>
    <w:p>
      <w:pPr>
        <w:spacing w:after="40"/>
      </w:pPr>
    </w:p>
    <w:p>
      <w:pPr>
        <w:pStyle w:val="Heading1"/>
      </w:pPr>
      <w:r>
        <w:rPr>
          <w:rFonts w:ascii="Calibri" w:hAnsi="Calibri"/>
          <w:b/>
          <w:color w:val="2E74B5"/>
          <w:sz w:val="32"/>
        </w:rPr>
        <w:t>4. Database schema and migration plan</w:t>
      </w:r>
    </w:p>
    <w:p>
      <w:pPr>
        <w:pStyle w:val="Heading2"/>
      </w:pPr>
      <w:r>
        <w:rPr>
          <w:rFonts w:ascii="Calibri" w:hAnsi="Calibri"/>
          <w:b/>
          <w:color w:val="2E74B5"/>
          <w:sz w:val="26"/>
        </w:rPr>
        <w:t>4.1 Existing entities to change</w:t>
      </w:r>
    </w:p>
    <w:tbl>
      <w:tblPr>
        <w:tblW w:type="dxa" w:w="9360"/>
        <w:jc w:val="left"/>
        <w:tblLayout w:type="fixed"/>
        <w:tblLook w:firstColumn="1" w:firstRow="1" w:lastColumn="0" w:lastRow="0" w:noHBand="0" w:noVBand="1" w:val="04A0"/>
        <w:tblInd w:w="120" w:type="dxa"/>
      </w:tblPr>
      <w:tblGrid>
        <w:gridCol w:w="1950"/>
        <w:gridCol w:w="3150"/>
        <w:gridCol w:w="4260"/>
      </w:tblGrid>
      <w:tr>
        <w:tc>
          <w:tcPr>
            <w:tcW w:type="dxa" w:w="1950"/>
            <w:tcMar>
              <w:top w:w="80" w:type="dxa"/>
              <w:start w:w="120" w:type="dxa"/>
              <w:bottom w:w="80" w:type="dxa"/>
              <w:end w:w="120" w:type="dxa"/>
            </w:tcMar>
            <w:vAlign w:val="center"/>
            <w:shd w:fill="E8EEF5"/>
          </w:tcPr>
          <w:p>
            <w:pPr>
              <w:spacing w:after="0"/>
            </w:pPr>
            <w:r>
              <w:rPr>
                <w:rFonts w:ascii="Calibri" w:hAnsi="Calibri"/>
                <w:b/>
                <w:color w:val="0B2545"/>
                <w:sz w:val="19"/>
              </w:rPr>
              <w:t>Entity/table</w:t>
            </w:r>
          </w:p>
        </w:tc>
        <w:tc>
          <w:tcPr>
            <w:tcW w:type="dxa" w:w="3150"/>
            <w:tcMar>
              <w:top w:w="80" w:type="dxa"/>
              <w:start w:w="120" w:type="dxa"/>
              <w:bottom w:w="80" w:type="dxa"/>
              <w:end w:w="120" w:type="dxa"/>
            </w:tcMar>
            <w:vAlign w:val="center"/>
            <w:shd w:fill="E8EEF5"/>
          </w:tcPr>
          <w:p>
            <w:pPr>
              <w:spacing w:after="0"/>
            </w:pPr>
            <w:r>
              <w:rPr>
                <w:rFonts w:ascii="Calibri" w:hAnsi="Calibri"/>
                <w:b/>
                <w:color w:val="0B2545"/>
                <w:sz w:val="19"/>
              </w:rPr>
              <w:t>Change</w:t>
            </w:r>
          </w:p>
        </w:tc>
        <w:tc>
          <w:tcPr>
            <w:tcW w:type="dxa" w:w="4260"/>
            <w:tcMar>
              <w:top w:w="80" w:type="dxa"/>
              <w:start w:w="120" w:type="dxa"/>
              <w:bottom w:w="80" w:type="dxa"/>
              <w:end w:w="120" w:type="dxa"/>
            </w:tcMar>
            <w:vAlign w:val="center"/>
            <w:shd w:fill="E8EEF5"/>
          </w:tcPr>
          <w:p>
            <w:pPr>
              <w:spacing w:after="0"/>
            </w:pPr>
            <w:r>
              <w:rPr>
                <w:rFonts w:ascii="Calibri" w:hAnsi="Calibri"/>
                <w:b/>
                <w:color w:val="0B2545"/>
                <w:sz w:val="19"/>
              </w:rPr>
              <w:t>Purpose / constraints</w:t>
            </w:r>
          </w:p>
        </w:tc>
      </w:tr>
      <w:tr>
        <w:tc>
          <w:tcPr>
            <w:tcW w:type="dxa" w:w="1950"/>
          </w:tcPr>
          <w:p>
            <w:pPr>
              <w:spacing w:after="0"/>
            </w:pPr>
            <w:r>
              <w:rPr>
                <w:rFonts w:ascii="Calibri" w:hAnsi="Calibri"/>
                <w:sz w:val="18"/>
              </w:rPr>
              <w:t>users</w:t>
            </w:r>
          </w:p>
        </w:tc>
        <w:tc>
          <w:tcPr>
            <w:tcW w:type="dxa" w:w="3150"/>
          </w:tcPr>
          <w:p>
            <w:pPr>
              <w:spacing w:after="0"/>
            </w:pPr>
            <w:r>
              <w:rPr>
                <w:rFonts w:ascii="Calibri" w:hAnsi="Calibri"/>
                <w:sz w:val="18"/>
              </w:rPr>
              <w:t>Extend `UserRole` with `TPI` and `TPI_STAFF`; add `is_executive_engineer BOOLEAN NOT NULL DEFAULT false`.</w:t>
            </w:r>
          </w:p>
        </w:tc>
        <w:tc>
          <w:tcPr>
            <w:tcW w:type="dxa" w:w="4260"/>
          </w:tcPr>
          <w:p>
            <w:pPr>
              <w:spacing w:after="0"/>
            </w:pPr>
            <w:r>
              <w:rPr>
                <w:rFonts w:ascii="Calibri" w:hAnsi="Calibri"/>
                <w:sz w:val="18"/>
              </w:rPr>
              <w:t>TPI/TPI_STAFF are roles. Flag is meaningful only for DO; validate that non-DO users cannot receive it.</w:t>
            </w:r>
          </w:p>
        </w:tc>
      </w:tr>
      <w:tr>
        <w:tc>
          <w:tcPr>
            <w:tcW w:type="dxa" w:w="1950"/>
          </w:tcPr>
          <w:p>
            <w:pPr>
              <w:spacing w:after="0"/>
            </w:pPr>
            <w:r>
              <w:rPr>
                <w:rFonts w:ascii="Calibri" w:hAnsi="Calibri"/>
                <w:sz w:val="18"/>
              </w:rPr>
              <w:t>work_items</w:t>
            </w:r>
          </w:p>
        </w:tc>
        <w:tc>
          <w:tcPr>
            <w:tcW w:type="dxa" w:w="3150"/>
          </w:tcPr>
          <w:p>
            <w:pPr>
              <w:spacing w:after="0"/>
            </w:pPr>
            <w:r>
              <w:rPr>
                <w:rFonts w:ascii="Calibri" w:hAnsi="Calibri"/>
                <w:sz w:val="18"/>
              </w:rPr>
              <w:t>Add `work_order_type ENUM('SVS', 'BULK_VILLAGE') NOT NULL DEFAULT 'SVS\`; add nullable `tpi_id` FK/reference; add assignment metadata.</w:t>
            </w:r>
          </w:p>
        </w:tc>
        <w:tc>
          <w:tcPr>
            <w:tcW w:type="dxa" w:w="4260"/>
          </w:tcPr>
          <w:p>
            <w:pPr>
              <w:spacing w:after="0"/>
            </w:pPr>
            <w:r>
              <w:rPr>
                <w:rFonts w:ascii="Calibri" w:hAnsi="Calibri"/>
                <w:sz w:val="18"/>
              </w:rPr>
              <w:t>Types preserve existing data as SVS. `tpi_id` must be null for SVS and must reference an active/same-district TPI at assignment time.</w:t>
            </w:r>
          </w:p>
        </w:tc>
      </w:tr>
      <w:tr>
        <w:tc>
          <w:tcPr>
            <w:tcW w:type="dxa" w:w="1950"/>
          </w:tcPr>
          <w:p>
            <w:pPr>
              <w:spacing w:after="0"/>
            </w:pPr>
            <w:r>
              <w:rPr>
                <w:rFonts w:ascii="Calibri" w:hAnsi="Calibri"/>
                <w:sz w:val="18"/>
              </w:rPr>
              <w:t>components / work_item_components</w:t>
            </w:r>
          </w:p>
        </w:tc>
        <w:tc>
          <w:tcPr>
            <w:tcW w:type="dxa" w:w="3150"/>
          </w:tcPr>
          <w:p>
            <w:pPr>
              <w:spacing w:after="0"/>
            </w:pPr>
            <w:r>
              <w:rPr>
                <w:rFonts w:ascii="Calibri" w:hAnsi="Calibri"/>
                <w:sz w:val="18"/>
              </w:rPr>
              <w:t>Replace global-only template assumption with type-aware templates; retain per-work-item mapping rows as immutable snapshots.</w:t>
            </w:r>
          </w:p>
        </w:tc>
        <w:tc>
          <w:tcPr>
            <w:tcW w:type="dxa" w:w="4260"/>
          </w:tcPr>
          <w:p>
            <w:pPr>
              <w:spacing w:after="0"/>
            </w:pPr>
            <w:r>
              <w:rPr>
                <w:rFonts w:ascii="Calibri" w:hAnsi="Calibri"/>
                <w:sz w:val="18"/>
              </w:rPr>
              <w:t>Supports 12 SVS and 8 Bulk Village templates and later template changes without rewriting historic work orders.</w:t>
            </w:r>
          </w:p>
        </w:tc>
      </w:tr>
      <w:tr>
        <w:tc>
          <w:tcPr>
            <w:tcW w:type="dxa" w:w="1950"/>
          </w:tcPr>
          <w:p>
            <w:pPr>
              <w:spacing w:after="0"/>
            </w:pPr>
            <w:r>
              <w:rPr>
                <w:rFonts w:ascii="Calibri" w:hAnsi="Calibri"/>
                <w:sz w:val="18"/>
              </w:rPr>
              <w:t>employee_contracts</w:t>
            </w:r>
          </w:p>
        </w:tc>
        <w:tc>
          <w:tcPr>
            <w:tcW w:type="dxa" w:w="3150"/>
          </w:tcPr>
          <w:p>
            <w:pPr>
              <w:spacing w:after="0"/>
            </w:pPr>
            <w:r>
              <w:rPr>
                <w:rFonts w:ascii="Calibri" w:hAnsi="Calibri"/>
                <w:sz w:val="18"/>
              </w:rPr>
              <w:t>Reuse only for CO → EM ownership.</w:t>
            </w:r>
          </w:p>
        </w:tc>
        <w:tc>
          <w:tcPr>
            <w:tcW w:type="dxa" w:w="4260"/>
          </w:tcPr>
          <w:p>
            <w:pPr>
              <w:spacing w:after="0"/>
            </w:pPr>
            <w:r>
              <w:rPr>
                <w:rFonts w:ascii="Calibri" w:hAnsi="Calibri"/>
                <w:sz w:val="18"/>
              </w:rPr>
              <w:t>Do not overload it for TPI → TPI_STAFF ownership unless the team intentionally generalizes it.</w:t>
            </w:r>
          </w:p>
        </w:tc>
      </w:tr>
      <w:tr>
        <w:tc>
          <w:tcPr>
            <w:tcW w:type="dxa" w:w="1950"/>
          </w:tcPr>
          <w:p>
            <w:pPr>
              <w:spacing w:after="0"/>
            </w:pPr>
            <w:r>
              <w:rPr>
                <w:rFonts w:ascii="Calibri" w:hAnsi="Calibri"/>
                <w:sz w:val="18"/>
              </w:rPr>
              <w:t>work_item_employee_assignments</w:t>
            </w:r>
          </w:p>
        </w:tc>
        <w:tc>
          <w:tcPr>
            <w:tcW w:type="dxa" w:w="3150"/>
          </w:tcPr>
          <w:p>
            <w:pPr>
              <w:spacing w:after="0"/>
            </w:pPr>
            <w:r>
              <w:rPr>
                <w:rFonts w:ascii="Calibri" w:hAnsi="Calibri"/>
                <w:sz w:val="18"/>
              </w:rPr>
              <w:t>Keep it for CO employee assignment.</w:t>
            </w:r>
          </w:p>
        </w:tc>
        <w:tc>
          <w:tcPr>
            <w:tcW w:type="dxa" w:w="4260"/>
          </w:tcPr>
          <w:p>
            <w:pPr>
              <w:spacing w:after="0"/>
            </w:pPr>
            <w:r>
              <w:rPr>
                <w:rFonts w:ascii="Calibri" w:hAnsi="Calibri"/>
                <w:sz w:val="18"/>
              </w:rPr>
              <w:t>Create a separate TPI staff assignment table to keep business ownership/audit rules explicit.</w:t>
            </w:r>
          </w:p>
        </w:tc>
      </w:tr>
      <w:tr>
        <w:tc>
          <w:tcPr>
            <w:tcW w:type="dxa" w:w="1950"/>
          </w:tcPr>
          <w:p>
            <w:pPr>
              <w:spacing w:after="0"/>
            </w:pPr>
            <w:r>
              <w:rPr>
                <w:rFonts w:ascii="Calibri" w:hAnsi="Calibri"/>
                <w:sz w:val="18"/>
              </w:rPr>
              <w:t>photos / photo_statuses</w:t>
            </w:r>
          </w:p>
        </w:tc>
        <w:tc>
          <w:tcPr>
            <w:tcW w:type="dxa" w:w="3150"/>
          </w:tcPr>
          <w:p>
            <w:pPr>
              <w:spacing w:after="0"/>
            </w:pPr>
            <w:r>
              <w:rPr>
                <w:rFonts w:ascii="Calibri" w:hAnsi="Calibri"/>
                <w:sz w:val="18"/>
              </w:rPr>
              <w:t>Add evidence-source discriminator or separate reference-evidence relation.</w:t>
            </w:r>
          </w:p>
        </w:tc>
        <w:tc>
          <w:tcPr>
            <w:tcW w:type="dxa" w:w="4260"/>
          </w:tcPr>
          <w:p>
            <w:pPr>
              <w:spacing w:after="0"/>
            </w:pPr>
            <w:r>
              <w:rPr>
                <w:rFonts w:ascii="Calibri" w:hAnsi="Calibri"/>
                <w:sz w:val="18"/>
              </w:rPr>
              <w:t>TPI staff photos must not be eligible for contractor selection/approval APIs.</w:t>
            </w:r>
          </w:p>
        </w:tc>
      </w:tr>
    </w:tbl>
    <w:p>
      <w:pPr>
        <w:spacing w:after="40"/>
      </w:pPr>
    </w:p>
    <w:p>
      <w:pPr>
        <w:pStyle w:val="Heading2"/>
      </w:pPr>
      <w:r>
        <w:rPr>
          <w:rFonts w:ascii="Calibri" w:hAnsi="Calibri"/>
          <w:b/>
          <w:color w:val="2E74B5"/>
          <w:sz w:val="26"/>
        </w:rPr>
        <w:t>4.2 New/reworked schema</w:t>
      </w:r>
    </w:p>
    <w:tbl>
      <w:tblPr>
        <w:tblW w:type="dxa" w:w="9360"/>
        <w:jc w:val="left"/>
        <w:tblLayout w:type="fixed"/>
        <w:tblLook w:firstColumn="1" w:firstRow="1" w:lastColumn="0" w:lastRow="0" w:noHBand="0" w:noVBand="1" w:val="04A0"/>
        <w:tblInd w:w="120" w:type="dxa"/>
      </w:tblPr>
      <w:tblGrid>
        <w:gridCol w:w="2350"/>
        <w:gridCol w:w="3500"/>
        <w:gridCol w:w="3510"/>
      </w:tblGrid>
      <w:tr>
        <w:tc>
          <w:tcPr>
            <w:tcW w:type="dxa" w:w="2350"/>
            <w:tcMar>
              <w:top w:w="80" w:type="dxa"/>
              <w:start w:w="120" w:type="dxa"/>
              <w:bottom w:w="80" w:type="dxa"/>
              <w:end w:w="120" w:type="dxa"/>
            </w:tcMar>
            <w:vAlign w:val="center"/>
            <w:shd w:fill="E8EEF5"/>
          </w:tcPr>
          <w:p>
            <w:pPr>
              <w:spacing w:after="0"/>
            </w:pPr>
            <w:r>
              <w:rPr>
                <w:rFonts w:ascii="Calibri" w:hAnsi="Calibri"/>
                <w:b/>
                <w:color w:val="0B2545"/>
                <w:sz w:val="19"/>
              </w:rPr>
              <w:t>Table / enum</w:t>
            </w:r>
          </w:p>
        </w:tc>
        <w:tc>
          <w:tcPr>
            <w:tcW w:type="dxa" w:w="3500"/>
            <w:tcMar>
              <w:top w:w="80" w:type="dxa"/>
              <w:start w:w="120" w:type="dxa"/>
              <w:bottom w:w="80" w:type="dxa"/>
              <w:end w:w="120" w:type="dxa"/>
            </w:tcMar>
            <w:vAlign w:val="center"/>
            <w:shd w:fill="E8EEF5"/>
          </w:tcPr>
          <w:p>
            <w:pPr>
              <w:spacing w:after="0"/>
            </w:pPr>
            <w:r>
              <w:rPr>
                <w:rFonts w:ascii="Calibri" w:hAnsi="Calibri"/>
                <w:b/>
                <w:color w:val="0B2545"/>
                <w:sz w:val="19"/>
              </w:rPr>
              <w:t>Minimum columns</w:t>
            </w:r>
          </w:p>
        </w:tc>
        <w:tc>
          <w:tcPr>
            <w:tcW w:type="dxa" w:w="3510"/>
            <w:tcMar>
              <w:top w:w="80" w:type="dxa"/>
              <w:start w:w="120" w:type="dxa"/>
              <w:bottom w:w="80" w:type="dxa"/>
              <w:end w:w="120" w:type="dxa"/>
            </w:tcMar>
            <w:vAlign w:val="center"/>
            <w:shd w:fill="E8EEF5"/>
          </w:tcPr>
          <w:p>
            <w:pPr>
              <w:spacing w:after="0"/>
            </w:pPr>
            <w:r>
              <w:rPr>
                <w:rFonts w:ascii="Calibri" w:hAnsi="Calibri"/>
                <w:b/>
                <w:color w:val="0B2545"/>
                <w:sz w:val="19"/>
              </w:rPr>
              <w:t>Rules and indexes</w:t>
            </w:r>
          </w:p>
        </w:tc>
      </w:tr>
      <w:tr>
        <w:tc>
          <w:tcPr>
            <w:tcW w:type="dxa" w:w="2350"/>
          </w:tcPr>
          <w:p>
            <w:pPr>
              <w:spacing w:after="0"/>
            </w:pPr>
            <w:r>
              <w:rPr>
                <w:rFonts w:ascii="Calibri" w:hAnsi="Calibri"/>
                <w:sz w:val="18"/>
              </w:rPr>
              <w:t>WorkOrderType</w:t>
            </w:r>
          </w:p>
        </w:tc>
        <w:tc>
          <w:tcPr>
            <w:tcW w:type="dxa" w:w="3500"/>
          </w:tcPr>
          <w:p>
            <w:pPr>
              <w:spacing w:after="0"/>
            </w:pPr>
            <w:r>
              <w:rPr>
                <w:rFonts w:ascii="Calibri" w:hAnsi="Calibri"/>
                <w:sz w:val="18"/>
              </w:rPr>
              <w:t>`SVS`, `BULK_VILLAGE`.</w:t>
            </w:r>
          </w:p>
        </w:tc>
        <w:tc>
          <w:tcPr>
            <w:tcW w:type="dxa" w:w="3510"/>
          </w:tcPr>
          <w:p>
            <w:pPr>
              <w:spacing w:after="0"/>
            </w:pPr>
            <w:r>
              <w:rPr>
                <w:rFonts w:ascii="Calibri" w:hAnsi="Calibri"/>
                <w:sz w:val="18"/>
              </w:rPr>
              <w:t>Use enum in API DTOs, entities, filters, seed logic, and tests.</w:t>
            </w:r>
          </w:p>
        </w:tc>
      </w:tr>
      <w:tr>
        <w:tc>
          <w:tcPr>
            <w:tcW w:type="dxa" w:w="2350"/>
          </w:tcPr>
          <w:p>
            <w:pPr>
              <w:spacing w:after="0"/>
            </w:pPr>
            <w:r>
              <w:rPr>
                <w:rFonts w:ascii="Calibri" w:hAnsi="Calibri"/>
                <w:sz w:val="18"/>
              </w:rPr>
              <w:t>component_templates</w:t>
            </w:r>
          </w:p>
        </w:tc>
        <w:tc>
          <w:tcPr>
            <w:tcW w:type="dxa" w:w="3500"/>
          </w:tcPr>
          <w:p>
            <w:pPr>
              <w:spacing w:after="0"/>
            </w:pPr>
            <w:r>
              <w:rPr>
                <w:rFonts w:ascii="Calibri" w:hAnsi="Calibri"/>
                <w:sz w:val="18"/>
              </w:rPr>
              <w:t>`id`, `work_order_type`, `name`, `unit`, `order_number`, `is_active`, timestamps.</w:t>
            </w:r>
          </w:p>
        </w:tc>
        <w:tc>
          <w:tcPr>
            <w:tcW w:type="dxa" w:w="3510"/>
          </w:tcPr>
          <w:p>
            <w:pPr>
              <w:spacing w:after="0"/>
            </w:pPr>
            <w:r>
              <w:rPr>
                <w:rFonts w:ascii="Calibri" w:hAnsi="Calibri"/>
                <w:sz w:val="18"/>
              </w:rPr>
              <w:t>Unique active ordering per type. Template edits apply to future work-order creation only.</w:t>
            </w:r>
          </w:p>
        </w:tc>
      </w:tr>
      <w:tr>
        <w:tc>
          <w:tcPr>
            <w:tcW w:type="dxa" w:w="2350"/>
          </w:tcPr>
          <w:p>
            <w:pPr>
              <w:spacing w:after="0"/>
            </w:pPr>
            <w:r>
              <w:rPr>
                <w:rFonts w:ascii="Calibri" w:hAnsi="Calibri"/>
                <w:sz w:val="18"/>
              </w:rPr>
              <w:t>work_item_components</w:t>
            </w:r>
          </w:p>
        </w:tc>
        <w:tc>
          <w:tcPr>
            <w:tcW w:type="dxa" w:w="3500"/>
          </w:tcPr>
          <w:p>
            <w:pPr>
              <w:spacing w:after="0"/>
            </w:pPr>
            <w:r>
              <w:rPr>
                <w:rFonts w:ascii="Calibri" w:hAnsi="Calibri"/>
                <w:sz w:val="18"/>
              </w:rPr>
              <w:t>Existing mapping plus copied `name`, `unit`, `order_number` snapshot fields, or a versioned template snapshot reference.</w:t>
            </w:r>
          </w:p>
        </w:tc>
        <w:tc>
          <w:tcPr>
            <w:tcW w:type="dxa" w:w="3510"/>
          </w:tcPr>
          <w:p>
            <w:pPr>
              <w:spacing w:after="0"/>
            </w:pPr>
            <w:r>
              <w:rPr>
                <w:rFonts w:ascii="Calibri" w:hAnsi="Calibri"/>
                <w:sz w:val="18"/>
              </w:rPr>
              <w:t>Do not render current master template values for historical work orders; use the snapshot.</w:t>
            </w:r>
          </w:p>
        </w:tc>
      </w:tr>
      <w:tr>
        <w:tc>
          <w:tcPr>
            <w:tcW w:type="dxa" w:w="2350"/>
          </w:tcPr>
          <w:p>
            <w:pPr>
              <w:spacing w:after="0"/>
            </w:pPr>
            <w:r>
              <w:rPr>
                <w:rFonts w:ascii="Calibri" w:hAnsi="Calibri"/>
                <w:sz w:val="18"/>
              </w:rPr>
              <w:t>district_tpi_assignments</w:t>
            </w:r>
          </w:p>
        </w:tc>
        <w:tc>
          <w:tcPr>
            <w:tcW w:type="dxa" w:w="3500"/>
          </w:tcPr>
          <w:p>
            <w:pPr>
              <w:spacing w:after="0"/>
            </w:pPr>
            <w:r>
              <w:rPr>
                <w:rFonts w:ascii="Calibri" w:hAnsi="Calibri"/>
                <w:sz w:val="18"/>
              </w:rPr>
              <w:t>`id`, `district_code`, `tpi_id`, `is_active`, `assigned_at`, `ended_at`, timestamps.</w:t>
            </w:r>
          </w:p>
        </w:tc>
        <w:tc>
          <w:tcPr>
            <w:tcW w:type="dxa" w:w="3510"/>
          </w:tcPr>
          <w:p>
            <w:pPr>
              <w:spacing w:after="0"/>
            </w:pPr>
            <w:r>
              <w:rPr>
                <w:rFonts w:ascii="Calibri" w:hAnsi="Calibri"/>
                <w:sz w:val="18"/>
              </w:rPr>
              <w:t>At most one active assignment per district. Preserve history. Implement transactional service validation because MySQL lacks portable partial unique indexes.</w:t>
            </w:r>
          </w:p>
        </w:tc>
      </w:tr>
      <w:tr>
        <w:tc>
          <w:tcPr>
            <w:tcW w:type="dxa" w:w="2350"/>
          </w:tcPr>
          <w:p>
            <w:pPr>
              <w:spacing w:after="0"/>
            </w:pPr>
            <w:r>
              <w:rPr>
                <w:rFonts w:ascii="Calibri" w:hAnsi="Calibri"/>
                <w:sz w:val="18"/>
              </w:rPr>
              <w:t>tpi_staff_relationships</w:t>
            </w:r>
          </w:p>
        </w:tc>
        <w:tc>
          <w:tcPr>
            <w:tcW w:type="dxa" w:w="3500"/>
          </w:tcPr>
          <w:p>
            <w:pPr>
              <w:spacing w:after="0"/>
            </w:pPr>
            <w:r>
              <w:rPr>
                <w:rFonts w:ascii="Calibri" w:hAnsi="Calibri"/>
                <w:sz w:val="18"/>
              </w:rPr>
              <w:t>`id`, `tpi_id`, `staff_id`, timestamps.</w:t>
            </w:r>
          </w:p>
        </w:tc>
        <w:tc>
          <w:tcPr>
            <w:tcW w:type="dxa" w:w="3510"/>
          </w:tcPr>
          <w:p>
            <w:pPr>
              <w:spacing w:after="0"/>
            </w:pPr>
            <w:r>
              <w:rPr>
                <w:rFonts w:ascii="Calibri" w:hAnsi="Calibri"/>
                <w:sz w:val="18"/>
              </w:rPr>
              <w:t>Each staff member belongs to one TPI; unique `staff_id`; both users must have correct roles.</w:t>
            </w:r>
          </w:p>
        </w:tc>
      </w:tr>
      <w:tr>
        <w:tc>
          <w:tcPr>
            <w:tcW w:type="dxa" w:w="2350"/>
          </w:tcPr>
          <w:p>
            <w:pPr>
              <w:spacing w:after="0"/>
            </w:pPr>
            <w:r>
              <w:rPr>
                <w:rFonts w:ascii="Calibri" w:hAnsi="Calibri"/>
                <w:sz w:val="18"/>
              </w:rPr>
              <w:t>work_item_tpi_staff_assignments</w:t>
            </w:r>
          </w:p>
        </w:tc>
        <w:tc>
          <w:tcPr>
            <w:tcW w:type="dxa" w:w="3500"/>
          </w:tcPr>
          <w:p>
            <w:pPr>
              <w:spacing w:after="0"/>
            </w:pPr>
            <w:r>
              <w:rPr>
                <w:rFonts w:ascii="Calibri" w:hAnsi="Calibri"/>
                <w:sz w:val="18"/>
              </w:rPr>
              <w:t>`id`, `work_item_id`, `staff_id`, timestamps.</w:t>
            </w:r>
          </w:p>
        </w:tc>
        <w:tc>
          <w:tcPr>
            <w:tcW w:type="dxa" w:w="3510"/>
          </w:tcPr>
          <w:p>
            <w:pPr>
              <w:spacing w:after="0"/>
            </w:pPr>
            <w:r>
              <w:rPr>
                <w:rFonts w:ascii="Calibri" w:hAnsi="Calibri"/>
                <w:sz w:val="18"/>
              </w:rPr>
              <w:t>Unique `(work_item_id, staff_id)`. Work order must be Bulk Village and assigned to the staff member's TPI.</w:t>
            </w:r>
          </w:p>
        </w:tc>
      </w:tr>
      <w:tr>
        <w:tc>
          <w:tcPr>
            <w:tcW w:type="dxa" w:w="2350"/>
          </w:tcPr>
          <w:p>
            <w:pPr>
              <w:spacing w:after="0"/>
            </w:pPr>
            <w:r>
              <w:rPr>
                <w:rFonts w:ascii="Calibri" w:hAnsi="Calibri"/>
                <w:sz w:val="18"/>
              </w:rPr>
              <w:t>tpi_reference_photo_statuses</w:t>
            </w:r>
          </w:p>
        </w:tc>
        <w:tc>
          <w:tcPr>
            <w:tcW w:type="dxa" w:w="3500"/>
          </w:tcPr>
          <w:p>
            <w:pPr>
              <w:spacing w:after="0"/>
            </w:pPr>
            <w:r>
              <w:rPr>
                <w:rFonts w:ascii="Calibri" w:hAnsi="Calibri"/>
                <w:sz w:val="18"/>
              </w:rPr>
              <w:t>`id`, `photo_id`, `work_item_id`, `component_id`, `status`, `selected_by`, `selected_at`, timestamps.</w:t>
            </w:r>
          </w:p>
        </w:tc>
        <w:tc>
          <w:tcPr>
            <w:tcW w:type="dxa" w:w="3510"/>
          </w:tcPr>
          <w:p>
            <w:pPr>
              <w:spacing w:after="0"/>
            </w:pPr>
            <w:r>
              <w:rPr>
                <w:rFonts w:ascii="Calibri" w:hAnsi="Calibri"/>
                <w:sz w:val="18"/>
              </w:rPr>
              <w:t>Statuses: `UPLOADED`, `SELECTED`. One selected TPI photo per component at a time; unique/transactional enforcement.</w:t>
            </w:r>
          </w:p>
        </w:tc>
      </w:tr>
    </w:tbl>
    <w:p>
      <w:pPr>
        <w:spacing w:after="40"/>
      </w:pPr>
    </w:p>
    <w:p>
      <w:pPr>
        <w:pStyle w:val="Heading2"/>
      </w:pPr>
      <w:r>
        <w:rPr>
          <w:rFonts w:ascii="Calibri" w:hAnsi="Calibri"/>
          <w:b/>
          <w:color w:val="2E74B5"/>
          <w:sz w:val="26"/>
        </w:rPr>
        <w:t>4.3 Required migrations and seeds</w:t>
      </w:r>
    </w:p>
    <w:p>
      <w:pPr>
        <w:pStyle w:val="ListNumber"/>
        <w:spacing w:after="80"/>
        <w:ind w:left="540" w:hanging="271"/>
      </w:pPr>
      <w:r>
        <w:rPr>
          <w:rFonts w:ascii="Calibri" w:hAnsi="Calibri"/>
          <w:sz w:val="22"/>
        </w:rPr>
        <w:t>Create a forward-only TypeORM migration. Do not rely on `synchronize: true` for production schema change.</w:t>
      </w:r>
    </w:p>
    <w:p>
      <w:pPr>
        <w:pStyle w:val="ListNumber"/>
        <w:spacing w:after="80"/>
        <w:ind w:left="540" w:hanging="271"/>
      </w:pPr>
      <w:r>
        <w:rPr>
          <w:rFonts w:ascii="Calibri" w:hAnsi="Calibri"/>
          <w:sz w:val="22"/>
        </w:rPr>
        <w:t>Add roles/columns/tables/indexes with nullable staging where required, then backfill every existing work item to `SVS`.</w:t>
      </w:r>
    </w:p>
    <w:p>
      <w:pPr>
        <w:pStyle w:val="ListNumber"/>
        <w:spacing w:after="80"/>
        <w:ind w:left="540" w:hanging="271"/>
      </w:pPr>
      <w:r>
        <w:rPr>
          <w:rFonts w:ascii="Calibri" w:hAnsi="Calibri"/>
          <w:sz w:val="22"/>
        </w:rPr>
        <w:t>Create the 12 SVS templates from the existing seeded components and create eight Bulk Village placeholders using `Inspection: &lt;existing component name&gt;` with clear mock status/documentation.</w:t>
      </w:r>
    </w:p>
    <w:p>
      <w:pPr>
        <w:pStyle w:val="ListNumber"/>
        <w:spacing w:after="80"/>
        <w:ind w:left="540" w:hanging="271"/>
      </w:pPr>
      <w:r>
        <w:rPr>
          <w:rFonts w:ascii="Calibri" w:hAnsi="Calibri"/>
          <w:sz w:val="22"/>
        </w:rPr>
        <w:t>Update work-order creation to snapshot the templates selected by `work_order_type` into work-item component mappings.</w:t>
      </w:r>
    </w:p>
    <w:p>
      <w:pPr>
        <w:pStyle w:val="ListNumber"/>
        <w:spacing w:after="80"/>
        <w:ind w:left="540" w:hanging="271"/>
      </w:pPr>
      <w:r>
        <w:rPr>
          <w:rFonts w:ascii="Calibri" w:hAnsi="Calibri"/>
          <w:sz w:val="22"/>
        </w:rPr>
        <w:t>Backfill existing component mappings as SVS snapshots. Verify existing work item/component/photo IDs are unchanged.</w:t>
      </w:r>
    </w:p>
    <w:p>
      <w:pPr>
        <w:pStyle w:val="ListNumber"/>
        <w:spacing w:after="80"/>
        <w:ind w:left="540" w:hanging="271"/>
      </w:pPr>
      <w:r>
        <w:rPr>
          <w:rFonts w:ascii="Calibri" w:hAnsi="Calibri"/>
          <w:sz w:val="22"/>
        </w:rPr>
        <w:t>Run migration in a database copy first; inspect row counts, foreign-key behavior, enum compatibility, and rollback plan before production.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pPr>
            <w:r>
              <w:rPr>
                <w:rFonts w:ascii="Calibri" w:hAnsi="Calibri"/>
                <w:b/>
                <w:color w:val="7A5A00"/>
                <w:sz w:val="21"/>
              </w:rPr>
              <w:t xml:space="preserve">OPEN POLICY DECISION: </w:t>
            </w:r>
            <w:r>
              <w:rPr>
                <w:rFonts w:ascii="Calibri" w:hAnsi="Calibri"/>
                <w:sz w:val="21"/>
              </w:rPr>
              <w:t>The requirement says one district has one DO. Current data model does not enforce that. Decide before implementation whether to enforce one active DO per district for future records (recommended) while preserving historical duplicates. This does not block core TPI assignment because the logged-in DO supplies the district context.</w:t>
            </w:r>
          </w:p>
        </w:tc>
      </w:tr>
    </w:tbl>
    <w:p>
      <w:pPr>
        <w:spacing w:after="40"/>
      </w:pPr>
    </w:p>
    <w:p>
      <w:pPr>
        <w:pStyle w:val="Heading1"/>
      </w:pPr>
      <w:r>
        <w:rPr>
          <w:rFonts w:ascii="Calibri" w:hAnsi="Calibri"/>
          <w:b/>
          <w:color w:val="2E74B5"/>
          <w:sz w:val="32"/>
        </w:rPr>
        <w:t>5. Backend modules, authorization, and API contract</w:t>
      </w:r>
    </w:p>
    <w:p>
      <w:pPr>
        <w:pStyle w:val="Heading2"/>
      </w:pPr>
      <w:r>
        <w:rPr>
          <w:rFonts w:ascii="Calibri" w:hAnsi="Calibri"/>
          <w:b/>
          <w:color w:val="2E74B5"/>
          <w:sz w:val="26"/>
        </w:rPr>
        <w:t>5.1 Cross-cutting backend changes</w:t>
      </w:r>
    </w:p>
    <w:p>
      <w:pPr>
        <w:pStyle w:val="ListBullet"/>
        <w:spacing w:after="80"/>
        <w:ind w:left="540" w:hanging="271"/>
      </w:pPr>
      <w:r>
        <w:rPr>
          <w:rFonts w:ascii="Calibri" w:hAnsi="Calibri"/>
          <w:sz w:val="22"/>
        </w:rPr>
        <w:t>Create centralized helpers/guards for `requireBulkVillageAccess`, `requireExecutiveEngineer`, `requireTpiOwnership`, `requireTpiStaffAssignment`, and `assertAgreementTypeCompatibility`.</w:t>
      </w:r>
    </w:p>
    <w:p>
      <w:pPr>
        <w:pStyle w:val="ListBullet"/>
        <w:spacing w:after="80"/>
        <w:ind w:left="540" w:hanging="271"/>
      </w:pPr>
      <w:r>
        <w:rPr>
          <w:rFonts w:ascii="Calibri" w:hAnsi="Calibri"/>
          <w:sz w:val="22"/>
        </w:rPr>
        <w:t>Never use the dashboard mode alone for authorization. Query the work item and validate type, district, assigned contractor/TPI, creator relationship, and role on every mutation.</w:t>
      </w:r>
    </w:p>
    <w:p>
      <w:pPr>
        <w:pStyle w:val="ListBullet"/>
        <w:spacing w:after="80"/>
        <w:ind w:left="540" w:hanging="271"/>
      </w:pPr>
      <w:r>
        <w:rPr>
          <w:rFonts w:ascii="Calibri" w:hAnsi="Calibri"/>
          <w:sz w:val="22"/>
        </w:rPr>
        <w:t>Extend JWT payload/serialization only as necessary; retrieve current user state for Executive Engineer and active-status checks so revoked access takes effect immediately instead of waiting for token expiry.</w:t>
      </w:r>
    </w:p>
    <w:p>
      <w:pPr>
        <w:pStyle w:val="ListBullet"/>
        <w:spacing w:after="80"/>
        <w:ind w:left="540" w:hanging="271"/>
      </w:pPr>
      <w:r>
        <w:rPr>
          <w:rFonts w:ascii="Calibri" w:hAnsi="Calibri"/>
          <w:sz w:val="22"/>
        </w:rPr>
        <w:t>Apply active-account checks to TPI and TPI_STAFF login. Deactivating a TPI must deny its own and all associated staff access without deleting records.</w:t>
      </w:r>
    </w:p>
    <w:p>
      <w:pPr>
        <w:pStyle w:val="ListBullet"/>
        <w:spacing w:after="80"/>
        <w:ind w:left="540" w:hanging="271"/>
      </w:pPr>
      <w:r>
        <w:rPr>
          <w:rFonts w:ascii="Calibri" w:hAnsi="Calibri"/>
          <w:sz w:val="22"/>
        </w:rPr>
        <w:t>Use database transactions for TPI assignment, changing/unassigning TPI, selecting/deselecting reference photos, and any action that must enforce a single current selection.</w:t>
      </w:r>
    </w:p>
    <w:p>
      <w:pPr>
        <w:pStyle w:val="Heading2"/>
      </w:pPr>
      <w:r>
        <w:rPr>
          <w:rFonts w:ascii="Calibri" w:hAnsi="Calibri"/>
          <w:b/>
          <w:color w:val="2E74B5"/>
          <w:sz w:val="26"/>
        </w:rPr>
        <w:t>5.2 Authentication and user APIs</w:t>
      </w:r>
    </w:p>
    <w:tbl>
      <w:tblPr>
        <w:tblW w:type="dxa" w:w="9360"/>
        <w:jc w:val="left"/>
        <w:tblLayout w:type="fixed"/>
        <w:tblLook w:firstColumn="1" w:firstRow="1" w:lastColumn="0" w:lastRow="0" w:noHBand="0" w:noVBand="1" w:val="04A0"/>
        <w:tblInd w:w="120" w:type="dxa"/>
      </w:tblPr>
      <w:tblGrid>
        <w:gridCol w:w="2450"/>
        <w:gridCol w:w="1250"/>
        <w:gridCol w:w="5660"/>
      </w:tblGrid>
      <w:tr>
        <w:tc>
          <w:tcPr>
            <w:tcW w:type="dxa" w:w="2450"/>
            <w:tcMar>
              <w:top w:w="80" w:type="dxa"/>
              <w:start w:w="120" w:type="dxa"/>
              <w:bottom w:w="80" w:type="dxa"/>
              <w:end w:w="120" w:type="dxa"/>
            </w:tcMar>
            <w:vAlign w:val="center"/>
            <w:shd w:fill="E8EEF5"/>
          </w:tcPr>
          <w:p>
            <w:pPr>
              <w:spacing w:after="0"/>
            </w:pPr>
            <w:r>
              <w:rPr>
                <w:rFonts w:ascii="Calibri" w:hAnsi="Calibri"/>
                <w:b/>
                <w:color w:val="0B2545"/>
                <w:sz w:val="19"/>
              </w:rPr>
              <w:t>Endpoint</w:t>
            </w:r>
          </w:p>
        </w:tc>
        <w:tc>
          <w:tcPr>
            <w:tcW w:type="dxa" w:w="1250"/>
            <w:tcMar>
              <w:top w:w="80" w:type="dxa"/>
              <w:start w:w="120" w:type="dxa"/>
              <w:bottom w:w="80" w:type="dxa"/>
              <w:end w:w="120" w:type="dxa"/>
            </w:tcMar>
            <w:vAlign w:val="center"/>
            <w:shd w:fill="E8EEF5"/>
          </w:tcPr>
          <w:p>
            <w:pPr>
              <w:spacing w:after="0"/>
            </w:pPr>
            <w:r>
              <w:rPr>
                <w:rFonts w:ascii="Calibri" w:hAnsi="Calibri"/>
                <w:b/>
                <w:color w:val="0B2545"/>
                <w:sz w:val="19"/>
              </w:rPr>
              <w:t>Actor</w:t>
            </w:r>
          </w:p>
        </w:tc>
        <w:tc>
          <w:tcPr>
            <w:tcW w:type="dxa" w:w="5660"/>
            <w:tcMar>
              <w:top w:w="80" w:type="dxa"/>
              <w:start w:w="120" w:type="dxa"/>
              <w:bottom w:w="80" w:type="dxa"/>
              <w:end w:w="120" w:type="dxa"/>
            </w:tcMar>
            <w:vAlign w:val="center"/>
            <w:shd w:fill="E8EEF5"/>
          </w:tcPr>
          <w:p>
            <w:pPr>
              <w:spacing w:after="0"/>
            </w:pPr>
            <w:r>
              <w:rPr>
                <w:rFonts w:ascii="Calibri" w:hAnsi="Calibri"/>
                <w:b/>
                <w:color w:val="0B2545"/>
                <w:sz w:val="19"/>
              </w:rPr>
              <w:t>Contract / validation</w:t>
            </w:r>
          </w:p>
        </w:tc>
      </w:tr>
      <w:tr>
        <w:tc>
          <w:tcPr>
            <w:tcW w:type="dxa" w:w="2450"/>
          </w:tcPr>
          <w:p>
            <w:pPr>
              <w:spacing w:after="0"/>
            </w:pPr>
            <w:r>
              <w:rPr>
                <w:rFonts w:ascii="Calibri" w:hAnsi="Calibri"/>
                <w:sz w:val="18"/>
              </w:rPr>
              <w:t>POST /users/tpi</w:t>
            </w:r>
          </w:p>
        </w:tc>
        <w:tc>
          <w:tcPr>
            <w:tcW w:type="dxa" w:w="1250"/>
          </w:tcPr>
          <w:p>
            <w:pPr>
              <w:spacing w:after="0"/>
            </w:pPr>
            <w:r>
              <w:rPr>
                <w:rFonts w:ascii="Calibri" w:hAnsi="Calibri"/>
                <w:sz w:val="18"/>
              </w:rPr>
              <w:t>HO</w:t>
            </w:r>
          </w:p>
        </w:tc>
        <w:tc>
          <w:tcPr>
            <w:tcW w:type="dxa" w:w="5660"/>
          </w:tcPr>
          <w:p>
            <w:pPr>
              <w:spacing w:after="0"/>
            </w:pPr>
            <w:r>
              <w:rPr>
                <w:rFonts w:ascii="Calibri" w:hAnsi="Calibri"/>
                <w:sz w:val="18"/>
              </w:rPr>
              <w:t>Create manually entered unique TPI code and contractor-equivalent fields; requires district; creates active district-TPI relationship only if district has no active TPI.</w:t>
            </w:r>
          </w:p>
        </w:tc>
      </w:tr>
      <w:tr>
        <w:tc>
          <w:tcPr>
            <w:tcW w:type="dxa" w:w="2450"/>
          </w:tcPr>
          <w:p>
            <w:pPr>
              <w:spacing w:after="0"/>
            </w:pPr>
            <w:r>
              <w:rPr>
                <w:rFonts w:ascii="Calibri" w:hAnsi="Calibri"/>
                <w:sz w:val="18"/>
              </w:rPr>
              <w:t>GET /users/tpis</w:t>
            </w:r>
          </w:p>
        </w:tc>
        <w:tc>
          <w:tcPr>
            <w:tcW w:type="dxa" w:w="1250"/>
          </w:tcPr>
          <w:p>
            <w:pPr>
              <w:spacing w:after="0"/>
            </w:pPr>
            <w:r>
              <w:rPr>
                <w:rFonts w:ascii="Calibri" w:hAnsi="Calibri"/>
                <w:sz w:val="18"/>
              </w:rPr>
              <w:t>HO</w:t>
            </w:r>
          </w:p>
        </w:tc>
        <w:tc>
          <w:tcPr>
            <w:tcW w:type="dxa" w:w="5660"/>
          </w:tcPr>
          <w:p>
            <w:pPr>
              <w:spacing w:after="0"/>
            </w:pPr>
            <w:r>
              <w:rPr>
                <w:rFonts w:ascii="Calibri" w:hAnsi="Calibri"/>
                <w:sz w:val="18"/>
              </w:rPr>
              <w:t>Paginated/searchable TPI directory; filter by district and active state.</w:t>
            </w:r>
          </w:p>
        </w:tc>
      </w:tr>
      <w:tr>
        <w:tc>
          <w:tcPr>
            <w:tcW w:type="dxa" w:w="2450"/>
          </w:tcPr>
          <w:p>
            <w:pPr>
              <w:spacing w:after="0"/>
            </w:pPr>
            <w:r>
              <w:rPr>
                <w:rFonts w:ascii="Calibri" w:hAnsi="Calibri"/>
                <w:sz w:val="18"/>
              </w:rPr>
              <w:t>GET/PATCH /users/tpi/:id</w:t>
            </w:r>
          </w:p>
        </w:tc>
        <w:tc>
          <w:tcPr>
            <w:tcW w:type="dxa" w:w="1250"/>
          </w:tcPr>
          <w:p>
            <w:pPr>
              <w:spacing w:after="0"/>
            </w:pPr>
            <w:r>
              <w:rPr>
                <w:rFonts w:ascii="Calibri" w:hAnsi="Calibri"/>
                <w:sz w:val="18"/>
              </w:rPr>
              <w:t>HO</w:t>
            </w:r>
          </w:p>
        </w:tc>
        <w:tc>
          <w:tcPr>
            <w:tcW w:type="dxa" w:w="5660"/>
          </w:tcPr>
          <w:p>
            <w:pPr>
              <w:spacing w:after="0"/>
            </w:pPr>
            <w:r>
              <w:rPr>
                <w:rFonts w:ascii="Calibri" w:hAnsi="Calibri"/>
                <w:sz w:val="18"/>
              </w:rPr>
              <w:t>Read/edit TPI; no Excel import. Changing district must preserve district one-active-TPI constraint.</w:t>
            </w:r>
          </w:p>
        </w:tc>
      </w:tr>
      <w:tr>
        <w:tc>
          <w:tcPr>
            <w:tcW w:type="dxa" w:w="2450"/>
          </w:tcPr>
          <w:p>
            <w:pPr>
              <w:spacing w:after="0"/>
            </w:pPr>
            <w:r>
              <w:rPr>
                <w:rFonts w:ascii="Calibri" w:hAnsi="Calibri"/>
                <w:sz w:val="18"/>
              </w:rPr>
              <w:t>PATCH /users/tpi/:id/status</w:t>
            </w:r>
          </w:p>
        </w:tc>
        <w:tc>
          <w:tcPr>
            <w:tcW w:type="dxa" w:w="1250"/>
          </w:tcPr>
          <w:p>
            <w:pPr>
              <w:spacing w:after="0"/>
            </w:pPr>
            <w:r>
              <w:rPr>
                <w:rFonts w:ascii="Calibri" w:hAnsi="Calibri"/>
                <w:sz w:val="18"/>
              </w:rPr>
              <w:t>HO</w:t>
            </w:r>
          </w:p>
        </w:tc>
        <w:tc>
          <w:tcPr>
            <w:tcW w:type="dxa" w:w="5660"/>
          </w:tcPr>
          <w:p>
            <w:pPr>
              <w:spacing w:after="0"/>
            </w:pPr>
            <w:r>
              <w:rPr>
                <w:rFonts w:ascii="Calibri" w:hAnsi="Calibri"/>
                <w:sz w:val="18"/>
              </w:rPr>
              <w:t>Activate/deactivate. Deactivation blocks TPI and its staff sessions/API calls; retain old work-order assignments.</w:t>
            </w:r>
          </w:p>
        </w:tc>
      </w:tr>
      <w:tr>
        <w:tc>
          <w:tcPr>
            <w:tcW w:type="dxa" w:w="2450"/>
          </w:tcPr>
          <w:p>
            <w:pPr>
              <w:spacing w:after="0"/>
            </w:pPr>
            <w:r>
              <w:rPr>
                <w:rFonts w:ascii="Calibri" w:hAnsi="Calibri"/>
                <w:sz w:val="18"/>
              </w:rPr>
              <w:t>POST /users/tpi-staff</w:t>
            </w:r>
          </w:p>
        </w:tc>
        <w:tc>
          <w:tcPr>
            <w:tcW w:type="dxa" w:w="1250"/>
          </w:tcPr>
          <w:p>
            <w:pPr>
              <w:spacing w:after="0"/>
            </w:pPr>
            <w:r>
              <w:rPr>
                <w:rFonts w:ascii="Calibri" w:hAnsi="Calibri"/>
                <w:sz w:val="18"/>
              </w:rPr>
              <w:t>TPI</w:t>
            </w:r>
          </w:p>
        </w:tc>
        <w:tc>
          <w:tcPr>
            <w:tcW w:type="dxa" w:w="5660"/>
          </w:tcPr>
          <w:p>
            <w:pPr>
              <w:spacing w:after="0"/>
            </w:pPr>
            <w:r>
              <w:rPr>
                <w:rFonts w:ascii="Calibri" w:hAnsi="Calibri"/>
                <w:sz w:val="18"/>
              </w:rPr>
              <w:t>Create name/email/password only; no code; links staff to caller TPI.</w:t>
            </w:r>
          </w:p>
        </w:tc>
      </w:tr>
      <w:tr>
        <w:tc>
          <w:tcPr>
            <w:tcW w:type="dxa" w:w="2450"/>
          </w:tcPr>
          <w:p>
            <w:pPr>
              <w:spacing w:after="0"/>
            </w:pPr>
            <w:r>
              <w:rPr>
                <w:rFonts w:ascii="Calibri" w:hAnsi="Calibri"/>
                <w:sz w:val="18"/>
              </w:rPr>
              <w:t>GET/PATCH /users/tpi-staff/:id</w:t>
            </w:r>
          </w:p>
        </w:tc>
        <w:tc>
          <w:tcPr>
            <w:tcW w:type="dxa" w:w="1250"/>
          </w:tcPr>
          <w:p>
            <w:pPr>
              <w:spacing w:after="0"/>
            </w:pPr>
            <w:r>
              <w:rPr>
                <w:rFonts w:ascii="Calibri" w:hAnsi="Calibri"/>
                <w:sz w:val="18"/>
              </w:rPr>
              <w:t>TPI</w:t>
            </w:r>
          </w:p>
        </w:tc>
        <w:tc>
          <w:tcPr>
            <w:tcW w:type="dxa" w:w="5660"/>
          </w:tcPr>
          <w:p>
            <w:pPr>
              <w:spacing w:after="0"/>
            </w:pPr>
            <w:r>
              <w:rPr>
                <w:rFonts w:ascii="Calibri" w:hAnsi="Calibri"/>
                <w:sz w:val="18"/>
              </w:rPr>
              <w:t>TPI can only manage its own staff.</w:t>
            </w:r>
          </w:p>
        </w:tc>
      </w:tr>
      <w:tr>
        <w:tc>
          <w:tcPr>
            <w:tcW w:type="dxa" w:w="2450"/>
          </w:tcPr>
          <w:p>
            <w:pPr>
              <w:spacing w:after="0"/>
            </w:pPr>
            <w:r>
              <w:rPr>
                <w:rFonts w:ascii="Calibri" w:hAnsi="Calibri"/>
                <w:sz w:val="18"/>
              </w:rPr>
              <w:t>PATCH /users/do/:id</w:t>
            </w:r>
          </w:p>
        </w:tc>
        <w:tc>
          <w:tcPr>
            <w:tcW w:type="dxa" w:w="1250"/>
          </w:tcPr>
          <w:p>
            <w:pPr>
              <w:spacing w:after="0"/>
            </w:pPr>
            <w:r>
              <w:rPr>
                <w:rFonts w:ascii="Calibri" w:hAnsi="Calibri"/>
                <w:sz w:val="18"/>
              </w:rPr>
              <w:t>HO</w:t>
            </w:r>
          </w:p>
        </w:tc>
        <w:tc>
          <w:tcPr>
            <w:tcW w:type="dxa" w:w="5660"/>
          </w:tcPr>
          <w:p>
            <w:pPr>
              <w:spacing w:after="0"/>
            </w:pPr>
            <w:r>
              <w:rPr>
                <w:rFonts w:ascii="Calibri" w:hAnsi="Calibri"/>
                <w:sz w:val="18"/>
              </w:rPr>
              <w:t>Extend DO payload with `is_executive_engineer`; revoke immediately removes Bulk Village server access.</w:t>
            </w:r>
          </w:p>
        </w:tc>
      </w:tr>
      <w:tr>
        <w:tc>
          <w:tcPr>
            <w:tcW w:type="dxa" w:w="2450"/>
          </w:tcPr>
          <w:p>
            <w:pPr>
              <w:spacing w:after="0"/>
            </w:pPr>
            <w:r>
              <w:rPr>
                <w:rFonts w:ascii="Calibri" w:hAnsi="Calibri"/>
                <w:sz w:val="18"/>
              </w:rPr>
              <w:t>POST /auth/dashboard/login</w:t>
            </w:r>
          </w:p>
        </w:tc>
        <w:tc>
          <w:tcPr>
            <w:tcW w:type="dxa" w:w="1250"/>
          </w:tcPr>
          <w:p>
            <w:pPr>
              <w:spacing w:after="0"/>
            </w:pPr>
            <w:r>
              <w:rPr>
                <w:rFonts w:ascii="Calibri" w:hAnsi="Calibri"/>
                <w:sz w:val="18"/>
              </w:rPr>
              <w:t>TPI included</w:t>
            </w:r>
          </w:p>
        </w:tc>
        <w:tc>
          <w:tcPr>
            <w:tcW w:type="dxa" w:w="5660"/>
          </w:tcPr>
          <w:p>
            <w:pPr>
              <w:spacing w:after="0"/>
            </w:pPr>
            <w:r>
              <w:rPr>
                <w:rFonts w:ascii="Calibri" w:hAnsi="Calibri"/>
                <w:sz w:val="18"/>
              </w:rPr>
              <w:t>Permit HO, DO, CO, TPI; deny EM and TPI_STAFF.</w:t>
            </w:r>
          </w:p>
        </w:tc>
      </w:tr>
      <w:tr>
        <w:tc>
          <w:tcPr>
            <w:tcW w:type="dxa" w:w="2450"/>
          </w:tcPr>
          <w:p>
            <w:pPr>
              <w:spacing w:after="0"/>
            </w:pPr>
            <w:r>
              <w:rPr>
                <w:rFonts w:ascii="Calibri" w:hAnsi="Calibri"/>
                <w:sz w:val="18"/>
              </w:rPr>
              <w:t>POST /auth/forgot-password and reset-password</w:t>
            </w:r>
          </w:p>
        </w:tc>
        <w:tc>
          <w:tcPr>
            <w:tcW w:type="dxa" w:w="1250"/>
          </w:tcPr>
          <w:p>
            <w:pPr>
              <w:spacing w:after="0"/>
            </w:pPr>
            <w:r>
              <w:rPr>
                <w:rFonts w:ascii="Calibri" w:hAnsi="Calibri"/>
                <w:sz w:val="18"/>
              </w:rPr>
              <w:t>TPI included</w:t>
            </w:r>
          </w:p>
        </w:tc>
        <w:tc>
          <w:tcPr>
            <w:tcW w:type="dxa" w:w="5660"/>
          </w:tcPr>
          <w:p>
            <w:pPr>
              <w:spacing w:after="0"/>
            </w:pPr>
            <w:r>
              <w:rPr>
                <w:rFonts w:ascii="Calibri" w:hAnsi="Calibri"/>
                <w:sz w:val="18"/>
              </w:rPr>
              <w:t>Allow CO and TPI. Preserve existing security/OTP constraints; never expose account existence.</w:t>
            </w:r>
          </w:p>
        </w:tc>
      </w:tr>
    </w:tbl>
    <w:p>
      <w:pPr>
        <w:spacing w:after="40"/>
      </w:pPr>
    </w:p>
    <w:p>
      <w:pPr>
        <w:pStyle w:val="Heading2"/>
      </w:pPr>
      <w:r>
        <w:rPr>
          <w:rFonts w:ascii="Calibri" w:hAnsi="Calibri"/>
          <w:b/>
          <w:color w:val="2E74B5"/>
          <w:sz w:val="26"/>
        </w:rPr>
        <w:t>5.3 Work order, agreement, and component APIs</w:t>
      </w:r>
    </w:p>
    <w:tbl>
      <w:tblPr>
        <w:tblW w:type="dxa" w:w="9360"/>
        <w:jc w:val="left"/>
        <w:tblLayout w:type="fixed"/>
        <w:tblLook w:firstColumn="1" w:firstRow="1" w:lastColumn="0" w:lastRow="0" w:noHBand="0" w:noVBand="1" w:val="04A0"/>
        <w:tblInd w:w="120" w:type="dxa"/>
      </w:tblPr>
      <w:tblGrid>
        <w:gridCol w:w="2900"/>
        <w:gridCol w:w="1600"/>
        <w:gridCol w:w="4860"/>
      </w:tblGrid>
      <w:tr>
        <w:tc>
          <w:tcPr>
            <w:tcW w:type="dxa" w:w="2900"/>
            <w:tcMar>
              <w:top w:w="80" w:type="dxa"/>
              <w:start w:w="120" w:type="dxa"/>
              <w:bottom w:w="80" w:type="dxa"/>
              <w:end w:w="120" w:type="dxa"/>
            </w:tcMar>
            <w:vAlign w:val="center"/>
            <w:shd w:fill="E8EEF5"/>
          </w:tcPr>
          <w:p>
            <w:pPr>
              <w:spacing w:after="0"/>
            </w:pPr>
            <w:r>
              <w:rPr>
                <w:rFonts w:ascii="Calibri" w:hAnsi="Calibri"/>
                <w:b/>
                <w:color w:val="0B2545"/>
                <w:sz w:val="19"/>
              </w:rPr>
              <w:t>Endpoint/change</w:t>
            </w:r>
          </w:p>
        </w:tc>
        <w:tc>
          <w:tcPr>
            <w:tcW w:type="dxa" w:w="1600"/>
            <w:tcMar>
              <w:top w:w="80" w:type="dxa"/>
              <w:start w:w="120" w:type="dxa"/>
              <w:bottom w:w="80" w:type="dxa"/>
              <w:end w:w="120" w:type="dxa"/>
            </w:tcMar>
            <w:vAlign w:val="center"/>
            <w:shd w:fill="E8EEF5"/>
          </w:tcPr>
          <w:p>
            <w:pPr>
              <w:spacing w:after="0"/>
            </w:pPr>
            <w:r>
              <w:rPr>
                <w:rFonts w:ascii="Calibri" w:hAnsi="Calibri"/>
                <w:b/>
                <w:color w:val="0B2545"/>
                <w:sz w:val="19"/>
              </w:rPr>
              <w:t>Actor</w:t>
            </w:r>
          </w:p>
        </w:tc>
        <w:tc>
          <w:tcPr>
            <w:tcW w:type="dxa" w:w="4860"/>
            <w:tcMar>
              <w:top w:w="80" w:type="dxa"/>
              <w:start w:w="120" w:type="dxa"/>
              <w:bottom w:w="80" w:type="dxa"/>
              <w:end w:w="120" w:type="dxa"/>
            </w:tcMar>
            <w:vAlign w:val="center"/>
            <w:shd w:fill="E8EEF5"/>
          </w:tcPr>
          <w:p>
            <w:pPr>
              <w:spacing w:after="0"/>
            </w:pPr>
            <w:r>
              <w:rPr>
                <w:rFonts w:ascii="Calibri" w:hAnsi="Calibri"/>
                <w:b/>
                <w:color w:val="0B2545"/>
                <w:sz w:val="19"/>
              </w:rPr>
              <w:t>Required behavior</w:t>
            </w:r>
          </w:p>
        </w:tc>
      </w:tr>
      <w:tr>
        <w:tc>
          <w:tcPr>
            <w:tcW w:type="dxa" w:w="2900"/>
          </w:tcPr>
          <w:p>
            <w:pPr>
              <w:spacing w:after="0"/>
            </w:pPr>
            <w:r>
              <w:rPr>
                <w:rFonts w:ascii="Calibri" w:hAnsi="Calibri"/>
                <w:sz w:val="18"/>
              </w:rPr>
              <w:t>POST /work-items</w:t>
            </w:r>
          </w:p>
        </w:tc>
        <w:tc>
          <w:tcPr>
            <w:tcW w:type="dxa" w:w="1600"/>
          </w:tcPr>
          <w:p>
            <w:pPr>
              <w:spacing w:after="0"/>
            </w:pPr>
            <w:r>
              <w:rPr>
                <w:rFonts w:ascii="Calibri" w:hAnsi="Calibri"/>
                <w:sz w:val="18"/>
              </w:rPr>
              <w:t>HO/DO</w:t>
            </w:r>
          </w:p>
        </w:tc>
        <w:tc>
          <w:tcPr>
            <w:tcW w:type="dxa" w:w="4860"/>
          </w:tcPr>
          <w:p>
            <w:pPr>
              <w:spacing w:after="0"/>
            </w:pPr>
            <w:r>
              <w:rPr>
                <w:rFonts w:ascii="Calibri" w:hAnsi="Calibri"/>
                <w:sz w:val="18"/>
              </w:rPr>
              <w:t>Require `work_order_type`. DO may create Bulk Village only if Executive Engineer. Create correct template snapshots.</w:t>
            </w:r>
          </w:p>
        </w:tc>
      </w:tr>
      <w:tr>
        <w:tc>
          <w:tcPr>
            <w:tcW w:type="dxa" w:w="2900"/>
          </w:tcPr>
          <w:p>
            <w:pPr>
              <w:spacing w:after="0"/>
            </w:pPr>
            <w:r>
              <w:rPr>
                <w:rFonts w:ascii="Calibri" w:hAnsi="Calibri"/>
                <w:sz w:val="18"/>
              </w:rPr>
              <w:t>POST /import/work-items/bulk</w:t>
            </w:r>
          </w:p>
        </w:tc>
        <w:tc>
          <w:tcPr>
            <w:tcW w:type="dxa" w:w="1600"/>
          </w:tcPr>
          <w:p>
            <w:pPr>
              <w:spacing w:after="0"/>
            </w:pPr>
            <w:r>
              <w:rPr>
                <w:rFonts w:ascii="Calibri" w:hAnsi="Calibri"/>
                <w:sz w:val="18"/>
              </w:rPr>
              <w:t>HO</w:t>
            </w:r>
          </w:p>
        </w:tc>
        <w:tc>
          <w:tcPr>
            <w:tcW w:type="dxa" w:w="4860"/>
          </w:tcPr>
          <w:p>
            <w:pPr>
              <w:spacing w:after="0"/>
            </w:pPr>
            <w:r>
              <w:rPr>
                <w:rFonts w:ascii="Calibri" w:hAnsi="Calibri"/>
                <w:sz w:val="18"/>
              </w:rPr>
              <w:t>Require `workOrderType` from current UI mode; validate every parsed row under that type.</w:t>
            </w:r>
          </w:p>
        </w:tc>
      </w:tr>
      <w:tr>
        <w:tc>
          <w:tcPr>
            <w:tcW w:type="dxa" w:w="2900"/>
          </w:tcPr>
          <w:p>
            <w:pPr>
              <w:spacing w:after="0"/>
            </w:pPr>
            <w:r>
              <w:rPr>
                <w:rFonts w:ascii="Calibri" w:hAnsi="Calibri"/>
                <w:sz w:val="18"/>
              </w:rPr>
              <w:t>GET /work-items and agreement work-item lists</w:t>
            </w:r>
          </w:p>
        </w:tc>
        <w:tc>
          <w:tcPr>
            <w:tcW w:type="dxa" w:w="1600"/>
          </w:tcPr>
          <w:p>
            <w:pPr>
              <w:spacing w:after="0"/>
            </w:pPr>
            <w:r>
              <w:rPr>
                <w:rFonts w:ascii="Calibri" w:hAnsi="Calibri"/>
                <w:sz w:val="18"/>
              </w:rPr>
              <w:t>Role-dependent</w:t>
            </w:r>
          </w:p>
        </w:tc>
        <w:tc>
          <w:tcPr>
            <w:tcW w:type="dxa" w:w="4860"/>
          </w:tcPr>
          <w:p>
            <w:pPr>
              <w:spacing w:after="0"/>
            </w:pPr>
            <w:r>
              <w:rPr>
                <w:rFonts w:ascii="Calibri" w:hAnsi="Calibri"/>
                <w:sz w:val="18"/>
              </w:rPr>
              <w:t>Filter by `workOrderType`; TPI/STaff only see their linked Bulk Village work orders.</w:t>
            </w:r>
          </w:p>
        </w:tc>
      </w:tr>
      <w:tr>
        <w:tc>
          <w:tcPr>
            <w:tcW w:type="dxa" w:w="2900"/>
          </w:tcPr>
          <w:p>
            <w:pPr>
              <w:spacing w:after="0"/>
            </w:pPr>
            <w:r>
              <w:rPr>
                <w:rFonts w:ascii="Calibri" w:hAnsi="Calibri"/>
                <w:sz w:val="18"/>
              </w:rPr>
              <w:t>GET /agreements</w:t>
            </w:r>
          </w:p>
        </w:tc>
        <w:tc>
          <w:tcPr>
            <w:tcW w:type="dxa" w:w="1600"/>
          </w:tcPr>
          <w:p>
            <w:pPr>
              <w:spacing w:after="0"/>
            </w:pPr>
            <w:r>
              <w:rPr>
                <w:rFonts w:ascii="Calibri" w:hAnsi="Calibri"/>
                <w:sz w:val="18"/>
              </w:rPr>
              <w:t>Role-dependent</w:t>
            </w:r>
          </w:p>
        </w:tc>
        <w:tc>
          <w:tcPr>
            <w:tcW w:type="dxa" w:w="4860"/>
          </w:tcPr>
          <w:p>
            <w:pPr>
              <w:spacing w:after="0"/>
            </w:pPr>
            <w:r>
              <w:rPr>
                <w:rFonts w:ascii="Calibri" w:hAnsi="Calibri"/>
                <w:sz w:val="18"/>
              </w:rPr>
              <w:t>Mode filter: agreement visible when it has linked work items of requested type OR it has no linked work items. Never return a mixed agreement.</w:t>
            </w:r>
          </w:p>
        </w:tc>
      </w:tr>
      <w:tr>
        <w:tc>
          <w:tcPr>
            <w:tcW w:type="dxa" w:w="2900"/>
          </w:tcPr>
          <w:p>
            <w:pPr>
              <w:spacing w:after="0"/>
            </w:pPr>
            <w:r>
              <w:rPr>
                <w:rFonts w:ascii="Calibri" w:hAnsi="Calibri"/>
                <w:sz w:val="18"/>
              </w:rPr>
              <w:t>POST/PATCH agreement linkage</w:t>
            </w:r>
          </w:p>
        </w:tc>
        <w:tc>
          <w:tcPr>
            <w:tcW w:type="dxa" w:w="1600"/>
          </w:tcPr>
          <w:p>
            <w:pPr>
              <w:spacing w:after="0"/>
            </w:pPr>
            <w:r>
              <w:rPr>
                <w:rFonts w:ascii="Calibri" w:hAnsi="Calibri"/>
                <w:sz w:val="18"/>
              </w:rPr>
              <w:t>Existing permitted roles</w:t>
            </w:r>
          </w:p>
        </w:tc>
        <w:tc>
          <w:tcPr>
            <w:tcW w:type="dxa" w:w="4860"/>
          </w:tcPr>
          <w:p>
            <w:pPr>
              <w:spacing w:after="0"/>
            </w:pPr>
            <w:r>
              <w:rPr>
                <w:rFonts w:ascii="Calibri" w:hAnsi="Calibri"/>
                <w:sz w:val="18"/>
              </w:rPr>
              <w:t>Reject linking work items whose type conflicts with a typed agreement.</w:t>
            </w:r>
          </w:p>
        </w:tc>
      </w:tr>
      <w:tr>
        <w:tc>
          <w:tcPr>
            <w:tcW w:type="dxa" w:w="2900"/>
          </w:tcPr>
          <w:p>
            <w:pPr>
              <w:spacing w:after="0"/>
            </w:pPr>
            <w:r>
              <w:rPr>
                <w:rFonts w:ascii="Calibri" w:hAnsi="Calibri"/>
                <w:sz w:val="18"/>
              </w:rPr>
              <w:t>POST /work-items/:id/assign-tpi</w:t>
            </w:r>
          </w:p>
        </w:tc>
        <w:tc>
          <w:tcPr>
            <w:tcW w:type="dxa" w:w="1600"/>
          </w:tcPr>
          <w:p>
            <w:pPr>
              <w:spacing w:after="0"/>
            </w:pPr>
            <w:r>
              <w:rPr>
                <w:rFonts w:ascii="Calibri" w:hAnsi="Calibri"/>
                <w:sz w:val="18"/>
              </w:rPr>
              <w:t>Executive Engineer DO</w:t>
            </w:r>
          </w:p>
        </w:tc>
        <w:tc>
          <w:tcPr>
            <w:tcW w:type="dxa" w:w="4860"/>
          </w:tcPr>
          <w:p>
            <w:pPr>
              <w:spacing w:after="0"/>
            </w:pPr>
            <w:r>
              <w:rPr>
                <w:rFonts w:ascii="Calibri" w:hAnsi="Calibri"/>
                <w:sz w:val="18"/>
              </w:rPr>
              <w:t>Bulk Village only; work item district must equal DO district; resolve active TPI automatically from district; persist actor/time.</w:t>
            </w:r>
          </w:p>
        </w:tc>
      </w:tr>
      <w:tr>
        <w:tc>
          <w:tcPr>
            <w:tcW w:type="dxa" w:w="2900"/>
          </w:tcPr>
          <w:p>
            <w:pPr>
              <w:spacing w:after="0"/>
            </w:pPr>
            <w:r>
              <w:rPr>
                <w:rFonts w:ascii="Calibri" w:hAnsi="Calibri"/>
                <w:sz w:val="18"/>
              </w:rPr>
              <w:t>DELETE /work-items/:id/tpi</w:t>
            </w:r>
          </w:p>
        </w:tc>
        <w:tc>
          <w:tcPr>
            <w:tcW w:type="dxa" w:w="1600"/>
          </w:tcPr>
          <w:p>
            <w:pPr>
              <w:spacing w:after="0"/>
            </w:pPr>
            <w:r>
              <w:rPr>
                <w:rFonts w:ascii="Calibri" w:hAnsi="Calibri"/>
                <w:sz w:val="18"/>
              </w:rPr>
              <w:t>Executive Engineer DO</w:t>
            </w:r>
          </w:p>
        </w:tc>
        <w:tc>
          <w:tcPr>
            <w:tcW w:type="dxa" w:w="4860"/>
          </w:tcPr>
          <w:p>
            <w:pPr>
              <w:spacing w:after="0"/>
            </w:pPr>
            <w:r>
              <w:rPr>
                <w:rFonts w:ascii="Calibri" w:hAnsi="Calibri"/>
                <w:sz w:val="18"/>
              </w:rPr>
              <w:t>Bulk Village + same district only; unassign without deleting historical TPI evidence.</w:t>
            </w:r>
          </w:p>
        </w:tc>
      </w:tr>
      <w:tr>
        <w:tc>
          <w:tcPr>
            <w:tcW w:type="dxa" w:w="2900"/>
          </w:tcPr>
          <w:p>
            <w:pPr>
              <w:spacing w:after="0"/>
            </w:pPr>
            <w:r>
              <w:rPr>
                <w:rFonts w:ascii="Calibri" w:hAnsi="Calibri"/>
                <w:sz w:val="18"/>
              </w:rPr>
              <w:t>GET /work-items/:id/tpi-assignment</w:t>
            </w:r>
          </w:p>
        </w:tc>
        <w:tc>
          <w:tcPr>
            <w:tcW w:type="dxa" w:w="1600"/>
          </w:tcPr>
          <w:p>
            <w:pPr>
              <w:spacing w:after="0"/>
            </w:pPr>
            <w:r>
              <w:rPr>
                <w:rFonts w:ascii="Calibri" w:hAnsi="Calibri"/>
                <w:sz w:val="18"/>
              </w:rPr>
              <w:t>HO/eligible DO/TPI</w:t>
            </w:r>
          </w:p>
        </w:tc>
        <w:tc>
          <w:tcPr>
            <w:tcW w:type="dxa" w:w="4860"/>
          </w:tcPr>
          <w:p>
            <w:pPr>
              <w:spacing w:after="0"/>
            </w:pPr>
            <w:r>
              <w:rPr>
                <w:rFonts w:ascii="Calibri" w:hAnsi="Calibri"/>
                <w:sz w:val="18"/>
              </w:rPr>
              <w:t>Return assigned TPI identity and staff assignment counts; never expose TPI reference photo URLs to HO.</w:t>
            </w:r>
          </w:p>
        </w:tc>
      </w:tr>
      <w:tr>
        <w:tc>
          <w:tcPr>
            <w:tcW w:type="dxa" w:w="2900"/>
          </w:tcPr>
          <w:p>
            <w:pPr>
              <w:spacing w:after="0"/>
            </w:pPr>
            <w:r>
              <w:rPr>
                <w:rFonts w:ascii="Calibri" w:hAnsi="Calibri"/>
                <w:sz w:val="18"/>
              </w:rPr>
              <w:t>POST /work-items/:id/assign-tpi-staff</w:t>
            </w:r>
          </w:p>
        </w:tc>
        <w:tc>
          <w:tcPr>
            <w:tcW w:type="dxa" w:w="1600"/>
          </w:tcPr>
          <w:p>
            <w:pPr>
              <w:spacing w:after="0"/>
            </w:pPr>
            <w:r>
              <w:rPr>
                <w:rFonts w:ascii="Calibri" w:hAnsi="Calibri"/>
                <w:sz w:val="18"/>
              </w:rPr>
              <w:t>TPI</w:t>
            </w:r>
          </w:p>
        </w:tc>
        <w:tc>
          <w:tcPr>
            <w:tcW w:type="dxa" w:w="4860"/>
          </w:tcPr>
          <w:p>
            <w:pPr>
              <w:spacing w:after="0"/>
            </w:pPr>
            <w:r>
              <w:rPr>
                <w:rFonts w:ascii="Calibri" w:hAnsi="Calibri"/>
                <w:sz w:val="18"/>
              </w:rPr>
              <w:t>Bulk Village, caller must own assigned TPI; staff must belong to caller; unique assignment.</w:t>
            </w:r>
          </w:p>
        </w:tc>
      </w:tr>
      <w:tr>
        <w:tc>
          <w:tcPr>
            <w:tcW w:type="dxa" w:w="2900"/>
          </w:tcPr>
          <w:p>
            <w:pPr>
              <w:spacing w:after="0"/>
            </w:pPr>
            <w:r>
              <w:rPr>
                <w:rFonts w:ascii="Calibri" w:hAnsi="Calibri"/>
                <w:sz w:val="18"/>
              </w:rPr>
              <w:t>DELETE /work-items/:id/tpi-staff/:staffId</w:t>
            </w:r>
          </w:p>
        </w:tc>
        <w:tc>
          <w:tcPr>
            <w:tcW w:type="dxa" w:w="1600"/>
          </w:tcPr>
          <w:p>
            <w:pPr>
              <w:spacing w:after="0"/>
            </w:pPr>
            <w:r>
              <w:rPr>
                <w:rFonts w:ascii="Calibri" w:hAnsi="Calibri"/>
                <w:sz w:val="18"/>
              </w:rPr>
              <w:t>TPI</w:t>
            </w:r>
          </w:p>
        </w:tc>
        <w:tc>
          <w:tcPr>
            <w:tcW w:type="dxa" w:w="4860"/>
          </w:tcPr>
          <w:p>
            <w:pPr>
              <w:spacing w:after="0"/>
            </w:pPr>
            <w:r>
              <w:rPr>
                <w:rFonts w:ascii="Calibri" w:hAnsi="Calibri"/>
                <w:sz w:val="18"/>
              </w:rPr>
              <w:t>Same ownership checks; preserve uploaded photo history.</w:t>
            </w:r>
          </w:p>
        </w:tc>
      </w:tr>
    </w:tbl>
    <w:p>
      <w:pPr>
        <w:spacing w:after="40"/>
      </w:pPr>
    </w:p>
    <w:p>
      <w:pPr>
        <w:pStyle w:val="Heading2"/>
      </w:pPr>
      <w:r>
        <w:rPr>
          <w:rFonts w:ascii="Calibri" w:hAnsi="Calibri"/>
          <w:b/>
          <w:color w:val="2E74B5"/>
          <w:sz w:val="26"/>
        </w:rPr>
        <w:t>5.4 TPI reference-photo APIs</w:t>
      </w:r>
    </w:p>
    <w:tbl>
      <w:tblPr>
        <w:tblW w:type="dxa" w:w="9360"/>
        <w:jc w:val="left"/>
        <w:tblLayout w:type="fixed"/>
        <w:tblLook w:firstColumn="1" w:firstRow="1" w:lastColumn="0" w:lastRow="0" w:noHBand="0" w:noVBand="1" w:val="04A0"/>
        <w:tblInd w:w="120" w:type="dxa"/>
      </w:tblPr>
      <w:tblGrid>
        <w:gridCol w:w="3050"/>
        <w:gridCol w:w="1700"/>
        <w:gridCol w:w="4610"/>
      </w:tblGrid>
      <w:tr>
        <w:tc>
          <w:tcPr>
            <w:tcW w:type="dxa" w:w="3050"/>
            <w:tcMar>
              <w:top w:w="80" w:type="dxa"/>
              <w:start w:w="120" w:type="dxa"/>
              <w:bottom w:w="80" w:type="dxa"/>
              <w:end w:w="120" w:type="dxa"/>
            </w:tcMar>
            <w:vAlign w:val="center"/>
            <w:shd w:fill="E8EEF5"/>
          </w:tcPr>
          <w:p>
            <w:pPr>
              <w:spacing w:after="0"/>
            </w:pPr>
            <w:r>
              <w:rPr>
                <w:rFonts w:ascii="Calibri" w:hAnsi="Calibri"/>
                <w:b/>
                <w:color w:val="0B2545"/>
                <w:sz w:val="19"/>
              </w:rPr>
              <w:t>Endpoint</w:t>
            </w:r>
          </w:p>
        </w:tc>
        <w:tc>
          <w:tcPr>
            <w:tcW w:type="dxa" w:w="1700"/>
            <w:tcMar>
              <w:top w:w="80" w:type="dxa"/>
              <w:start w:w="120" w:type="dxa"/>
              <w:bottom w:w="80" w:type="dxa"/>
              <w:end w:w="120" w:type="dxa"/>
            </w:tcMar>
            <w:vAlign w:val="center"/>
            <w:shd w:fill="E8EEF5"/>
          </w:tcPr>
          <w:p>
            <w:pPr>
              <w:spacing w:after="0"/>
            </w:pPr>
            <w:r>
              <w:rPr>
                <w:rFonts w:ascii="Calibri" w:hAnsi="Calibri"/>
                <w:b/>
                <w:color w:val="0B2545"/>
                <w:sz w:val="19"/>
              </w:rPr>
              <w:t>Actor</w:t>
            </w:r>
          </w:p>
        </w:tc>
        <w:tc>
          <w:tcPr>
            <w:tcW w:type="dxa" w:w="4610"/>
            <w:tcMar>
              <w:top w:w="80" w:type="dxa"/>
              <w:start w:w="120" w:type="dxa"/>
              <w:bottom w:w="80" w:type="dxa"/>
              <w:end w:w="120" w:type="dxa"/>
            </w:tcMar>
            <w:vAlign w:val="center"/>
            <w:shd w:fill="E8EEF5"/>
          </w:tcPr>
          <w:p>
            <w:pPr>
              <w:spacing w:after="0"/>
            </w:pPr>
            <w:r>
              <w:rPr>
                <w:rFonts w:ascii="Calibri" w:hAnsi="Calibri"/>
                <w:b/>
                <w:color w:val="0B2545"/>
                <w:sz w:val="19"/>
              </w:rPr>
              <w:t>Required behavior</w:t>
            </w:r>
          </w:p>
        </w:tc>
      </w:tr>
      <w:tr>
        <w:tc>
          <w:tcPr>
            <w:tcW w:type="dxa" w:w="3050"/>
          </w:tcPr>
          <w:p>
            <w:pPr>
              <w:spacing w:after="0"/>
            </w:pPr>
            <w:r>
              <w:rPr>
                <w:rFonts w:ascii="Calibri" w:hAnsi="Calibri"/>
                <w:sz w:val="18"/>
              </w:rPr>
              <w:t>POST /components/:id/tpi-reference-photos-url</w:t>
            </w:r>
          </w:p>
        </w:tc>
        <w:tc>
          <w:tcPr>
            <w:tcW w:type="dxa" w:w="1700"/>
          </w:tcPr>
          <w:p>
            <w:pPr>
              <w:spacing w:after="0"/>
            </w:pPr>
            <w:r>
              <w:rPr>
                <w:rFonts w:ascii="Calibri" w:hAnsi="Calibri"/>
                <w:sz w:val="18"/>
              </w:rPr>
              <w:t>TPI_STAFF</w:t>
            </w:r>
          </w:p>
        </w:tc>
        <w:tc>
          <w:tcPr>
            <w:tcW w:type="dxa" w:w="4610"/>
          </w:tcPr>
          <w:p>
            <w:pPr>
              <w:spacing w:after="0"/>
            </w:pPr>
            <w:r>
              <w:rPr>
                <w:rFonts w:ascii="Calibri" w:hAnsi="Calibri"/>
                <w:sz w:val="18"/>
              </w:rPr>
              <w:t>Bulk Village only; staff assigned to work order/TPI; accept photo URL, latitude, longitude, timestamp; no progress input; reject if a TPI photo is already selected for component.</w:t>
            </w:r>
          </w:p>
        </w:tc>
      </w:tr>
      <w:tr>
        <w:tc>
          <w:tcPr>
            <w:tcW w:type="dxa" w:w="3050"/>
          </w:tcPr>
          <w:p>
            <w:pPr>
              <w:spacing w:after="0"/>
            </w:pPr>
            <w:r>
              <w:rPr>
                <w:rFonts w:ascii="Calibri" w:hAnsi="Calibri"/>
                <w:sz w:val="18"/>
              </w:rPr>
              <w:t>GET /components/:id/tpi-reference-photos</w:t>
            </w:r>
          </w:p>
        </w:tc>
        <w:tc>
          <w:tcPr>
            <w:tcW w:type="dxa" w:w="1700"/>
          </w:tcPr>
          <w:p>
            <w:pPr>
              <w:spacing w:after="0"/>
            </w:pPr>
            <w:r>
              <w:rPr>
                <w:rFonts w:ascii="Calibri" w:hAnsi="Calibri"/>
                <w:sz w:val="18"/>
              </w:rPr>
              <w:t>TPI / assigned staff / Executive Engineer DO</w:t>
            </w:r>
          </w:p>
        </w:tc>
        <w:tc>
          <w:tcPr>
            <w:tcW w:type="dxa" w:w="4610"/>
          </w:tcPr>
          <w:p>
            <w:pPr>
              <w:spacing w:after="0"/>
            </w:pPr>
            <w:r>
              <w:rPr>
                <w:rFonts w:ascii="Calibri" w:hAnsi="Calibri"/>
                <w:sz w:val="18"/>
              </w:rPr>
              <w:t>Return only permitted reference photos. HO must receive 403 or a deliberately redacted response; do not leak URLs.</w:t>
            </w:r>
          </w:p>
        </w:tc>
      </w:tr>
      <w:tr>
        <w:tc>
          <w:tcPr>
            <w:tcW w:type="dxa" w:w="3050"/>
          </w:tcPr>
          <w:p>
            <w:pPr>
              <w:spacing w:after="0"/>
            </w:pPr>
            <w:r>
              <w:rPr>
                <w:rFonts w:ascii="Calibri" w:hAnsi="Calibri"/>
                <w:sz w:val="18"/>
              </w:rPr>
              <w:t>POST /tpi-photo-status/select/:photoId</w:t>
            </w:r>
          </w:p>
        </w:tc>
        <w:tc>
          <w:tcPr>
            <w:tcW w:type="dxa" w:w="1700"/>
          </w:tcPr>
          <w:p>
            <w:pPr>
              <w:spacing w:after="0"/>
            </w:pPr>
            <w:r>
              <w:rPr>
                <w:rFonts w:ascii="Calibri" w:hAnsi="Calibri"/>
                <w:sz w:val="18"/>
              </w:rPr>
              <w:t>TPI</w:t>
            </w:r>
          </w:p>
        </w:tc>
        <w:tc>
          <w:tcPr>
            <w:tcW w:type="dxa" w:w="4610"/>
          </w:tcPr>
          <w:p>
            <w:pPr>
              <w:spacing w:after="0"/>
            </w:pPr>
            <w:r>
              <w:rPr>
                <w:rFonts w:ascii="Calibri" w:hAnsi="Calibri"/>
                <w:sz w:val="18"/>
              </w:rPr>
              <w:t>Caller owns assigned TPI/work order; select one reference photo per component; reject if contractor evidence is already approved.</w:t>
            </w:r>
          </w:p>
        </w:tc>
      </w:tr>
      <w:tr>
        <w:tc>
          <w:tcPr>
            <w:tcW w:type="dxa" w:w="3050"/>
          </w:tcPr>
          <w:p>
            <w:pPr>
              <w:spacing w:after="0"/>
            </w:pPr>
            <w:r>
              <w:rPr>
                <w:rFonts w:ascii="Calibri" w:hAnsi="Calibri"/>
                <w:sz w:val="18"/>
              </w:rPr>
              <w:t>POST /tpi-photo-status/deselect/:photoId</w:t>
            </w:r>
          </w:p>
        </w:tc>
        <w:tc>
          <w:tcPr>
            <w:tcW w:type="dxa" w:w="1700"/>
          </w:tcPr>
          <w:p>
            <w:pPr>
              <w:spacing w:after="0"/>
            </w:pPr>
            <w:r>
              <w:rPr>
                <w:rFonts w:ascii="Calibri" w:hAnsi="Calibri"/>
                <w:sz w:val="18"/>
              </w:rPr>
              <w:t>TPI</w:t>
            </w:r>
          </w:p>
        </w:tc>
        <w:tc>
          <w:tcPr>
            <w:tcW w:type="dxa" w:w="4610"/>
          </w:tcPr>
          <w:p>
            <w:pPr>
              <w:spacing w:after="0"/>
            </w:pPr>
            <w:r>
              <w:rPr>
                <w:rFonts w:ascii="Calibri" w:hAnsi="Calibri"/>
                <w:sz w:val="18"/>
              </w:rPr>
              <w:t>Allowed only before contractor evidence approval; returns photo to uploaded state, re-enabling staff uploads.</w:t>
            </w:r>
          </w:p>
        </w:tc>
      </w:tr>
      <w:tr>
        <w:tc>
          <w:tcPr>
            <w:tcW w:type="dxa" w:w="3050"/>
          </w:tcPr>
          <w:p>
            <w:pPr>
              <w:spacing w:after="0"/>
            </w:pPr>
            <w:r>
              <w:rPr>
                <w:rFonts w:ascii="Calibri" w:hAnsi="Calibri"/>
                <w:sz w:val="18"/>
              </w:rPr>
              <w:t>GET /tpi-photo-status/component/:componentId</w:t>
            </w:r>
          </w:p>
        </w:tc>
        <w:tc>
          <w:tcPr>
            <w:tcW w:type="dxa" w:w="1700"/>
          </w:tcPr>
          <w:p>
            <w:pPr>
              <w:spacing w:after="0"/>
            </w:pPr>
            <w:r>
              <w:rPr>
                <w:rFonts w:ascii="Calibri" w:hAnsi="Calibri"/>
                <w:sz w:val="18"/>
              </w:rPr>
              <w:t>Executive Engineer DO/TPI/assigned staff</w:t>
            </w:r>
          </w:p>
        </w:tc>
        <w:tc>
          <w:tcPr>
            <w:tcW w:type="dxa" w:w="4610"/>
          </w:tcPr>
          <w:p>
            <w:pPr>
              <w:spacing w:after="0"/>
            </w:pPr>
            <w:r>
              <w:rPr>
                <w:rFonts w:ascii="Calibri" w:hAnsi="Calibri"/>
                <w:sz w:val="18"/>
              </w:rPr>
              <w:t>DO can view selected TPI reference alongside contractor selection; TPI/staff view scoped to their own work.</w:t>
            </w:r>
          </w:p>
        </w:tc>
      </w:tr>
      <w:tr>
        <w:tc>
          <w:tcPr>
            <w:tcW w:type="dxa" w:w="3050"/>
          </w:tcPr>
          <w:p>
            <w:pPr>
              <w:spacing w:after="0"/>
            </w:pPr>
            <w:r>
              <w:rPr>
                <w:rFonts w:ascii="Calibri" w:hAnsi="Calibri"/>
                <w:sz w:val="18"/>
              </w:rPr>
              <w:t>No approve/reject endpoint for TPI photos</w:t>
            </w:r>
          </w:p>
        </w:tc>
        <w:tc>
          <w:tcPr>
            <w:tcW w:type="dxa" w:w="1700"/>
          </w:tcPr>
          <w:p>
            <w:pPr>
              <w:spacing w:after="0"/>
            </w:pPr>
            <w:r>
              <w:rPr>
                <w:rFonts w:ascii="Calibri" w:hAnsi="Calibri"/>
                <w:sz w:val="18"/>
              </w:rPr>
              <w:t>None</w:t>
            </w:r>
          </w:p>
        </w:tc>
        <w:tc>
          <w:tcPr>
            <w:tcW w:type="dxa" w:w="4610"/>
          </w:tcPr>
          <w:p>
            <w:pPr>
              <w:spacing w:after="0"/>
            </w:pPr>
            <w:r>
              <w:rPr>
                <w:rFonts w:ascii="Calibri" w:hAnsi="Calibri"/>
                <w:sz w:val="18"/>
              </w:rPr>
              <w:t>DO and HO must never approve/reject or mutate TPI reference selection.</w:t>
            </w:r>
          </w:p>
        </w:tc>
      </w:tr>
    </w:tbl>
    <w:p>
      <w:pPr>
        <w:spacing w:after="40"/>
      </w:pPr>
    </w:p>
    <w:p>
      <w:pPr>
        <w:pStyle w:val="Heading2"/>
      </w:pPr>
      <w:r>
        <w:rPr>
          <w:rFonts w:ascii="Calibri" w:hAnsi="Calibri"/>
          <w:b/>
          <w:color w:val="2E74B5"/>
          <w:sz w:val="26"/>
        </w:rPr>
        <w:t>5.5 Backend access matrix</w:t>
      </w:r>
    </w:p>
    <w:tbl>
      <w:tblPr>
        <w:tblW w:type="dxa" w:w="9360"/>
        <w:jc w:val="left"/>
        <w:tblLayout w:type="fixed"/>
        <w:tblLook w:firstColumn="1" w:firstRow="1" w:lastColumn="0" w:lastRow="0" w:noHBand="0" w:noVBand="1" w:val="04A0"/>
        <w:tblInd w:w="120" w:type="dxa"/>
      </w:tblPr>
      <w:tblGrid>
        <w:gridCol w:w="1960"/>
        <w:gridCol w:w="850"/>
        <w:gridCol w:w="1150"/>
        <w:gridCol w:w="1400"/>
        <w:gridCol w:w="850"/>
        <w:gridCol w:w="1000"/>
        <w:gridCol w:w="1150"/>
      </w:tblGrid>
      <w:tr>
        <w:tc>
          <w:tcPr>
            <w:tcW w:type="dxa" w:w="1960"/>
            <w:tcMar>
              <w:top w:w="80" w:type="dxa"/>
              <w:start w:w="120" w:type="dxa"/>
              <w:bottom w:w="80" w:type="dxa"/>
              <w:end w:w="120" w:type="dxa"/>
            </w:tcMar>
            <w:vAlign w:val="center"/>
            <w:shd w:fill="E8EEF5"/>
          </w:tcPr>
          <w:p>
            <w:pPr>
              <w:spacing w:after="0"/>
            </w:pPr>
            <w:r>
              <w:rPr>
                <w:rFonts w:ascii="Calibri" w:hAnsi="Calibri"/>
                <w:b/>
                <w:color w:val="0B2545"/>
                <w:sz w:val="19"/>
              </w:rPr>
              <w:t>Action</w:t>
            </w:r>
          </w:p>
        </w:tc>
        <w:tc>
          <w:tcPr>
            <w:tcW w:type="dxa" w:w="850"/>
            <w:tcMar>
              <w:top w:w="80" w:type="dxa"/>
              <w:start w:w="120" w:type="dxa"/>
              <w:bottom w:w="80" w:type="dxa"/>
              <w:end w:w="120" w:type="dxa"/>
            </w:tcMar>
            <w:vAlign w:val="center"/>
            <w:shd w:fill="E8EEF5"/>
          </w:tcPr>
          <w:p>
            <w:pPr>
              <w:spacing w:after="0"/>
            </w:pPr>
            <w:r>
              <w:rPr>
                <w:rFonts w:ascii="Calibri" w:hAnsi="Calibri"/>
                <w:b/>
                <w:color w:val="0B2545"/>
                <w:sz w:val="19"/>
              </w:rPr>
              <w:t>HO</w:t>
            </w:r>
          </w:p>
        </w:tc>
        <w:tc>
          <w:tcPr>
            <w:tcW w:type="dxa" w:w="1150"/>
            <w:tcMar>
              <w:top w:w="80" w:type="dxa"/>
              <w:start w:w="120" w:type="dxa"/>
              <w:bottom w:w="80" w:type="dxa"/>
              <w:end w:w="120" w:type="dxa"/>
            </w:tcMar>
            <w:vAlign w:val="center"/>
            <w:shd w:fill="E8EEF5"/>
          </w:tcPr>
          <w:p>
            <w:pPr>
              <w:spacing w:after="0"/>
            </w:pPr>
            <w:r>
              <w:rPr>
                <w:rFonts w:ascii="Calibri" w:hAnsi="Calibri"/>
                <w:b/>
                <w:color w:val="0B2545"/>
                <w:sz w:val="19"/>
              </w:rPr>
              <w:t>Normal DO</w:t>
            </w:r>
          </w:p>
        </w:tc>
        <w:tc>
          <w:tcPr>
            <w:tcW w:type="dxa" w:w="1400"/>
            <w:tcMar>
              <w:top w:w="80" w:type="dxa"/>
              <w:start w:w="120" w:type="dxa"/>
              <w:bottom w:w="80" w:type="dxa"/>
              <w:end w:w="120" w:type="dxa"/>
            </w:tcMar>
            <w:vAlign w:val="center"/>
            <w:shd w:fill="E8EEF5"/>
          </w:tcPr>
          <w:p>
            <w:pPr>
              <w:spacing w:after="0"/>
            </w:pPr>
            <w:r>
              <w:rPr>
                <w:rFonts w:ascii="Calibri" w:hAnsi="Calibri"/>
                <w:b/>
                <w:color w:val="0B2545"/>
                <w:sz w:val="19"/>
              </w:rPr>
              <w:t>Executive Engineer DO</w:t>
            </w:r>
          </w:p>
        </w:tc>
        <w:tc>
          <w:tcPr>
            <w:tcW w:type="dxa" w:w="850"/>
            <w:tcMar>
              <w:top w:w="80" w:type="dxa"/>
              <w:start w:w="120" w:type="dxa"/>
              <w:bottom w:w="80" w:type="dxa"/>
              <w:end w:w="120" w:type="dxa"/>
            </w:tcMar>
            <w:vAlign w:val="center"/>
            <w:shd w:fill="E8EEF5"/>
          </w:tcPr>
          <w:p>
            <w:pPr>
              <w:spacing w:after="0"/>
            </w:pPr>
            <w:r>
              <w:rPr>
                <w:rFonts w:ascii="Calibri" w:hAnsi="Calibri"/>
                <w:b/>
                <w:color w:val="0B2545"/>
                <w:sz w:val="19"/>
              </w:rPr>
              <w:t>CO</w:t>
            </w:r>
          </w:p>
        </w:tc>
        <w:tc>
          <w:tcPr>
            <w:tcW w:type="dxa" w:w="1000"/>
            <w:tcMar>
              <w:top w:w="80" w:type="dxa"/>
              <w:start w:w="120" w:type="dxa"/>
              <w:bottom w:w="80" w:type="dxa"/>
              <w:end w:w="120" w:type="dxa"/>
            </w:tcMar>
            <w:vAlign w:val="center"/>
            <w:shd w:fill="E8EEF5"/>
          </w:tcPr>
          <w:p>
            <w:pPr>
              <w:spacing w:after="0"/>
            </w:pPr>
            <w:r>
              <w:rPr>
                <w:rFonts w:ascii="Calibri" w:hAnsi="Calibri"/>
                <w:b/>
                <w:color w:val="0B2545"/>
                <w:sz w:val="19"/>
              </w:rPr>
              <w:t>TPI</w:t>
            </w:r>
          </w:p>
        </w:tc>
        <w:tc>
          <w:tcPr>
            <w:tcW w:type="dxa" w:w="1150"/>
            <w:tcMar>
              <w:top w:w="80" w:type="dxa"/>
              <w:start w:w="120" w:type="dxa"/>
              <w:bottom w:w="80" w:type="dxa"/>
              <w:end w:w="120" w:type="dxa"/>
            </w:tcMar>
            <w:vAlign w:val="center"/>
            <w:shd w:fill="E8EEF5"/>
          </w:tcPr>
          <w:p>
            <w:pPr>
              <w:spacing w:after="0"/>
            </w:pPr>
            <w:r>
              <w:rPr>
                <w:rFonts w:ascii="Calibri" w:hAnsi="Calibri"/>
                <w:b/>
                <w:color w:val="0B2545"/>
                <w:sz w:val="19"/>
              </w:rPr>
              <w:t>TPI_STAFF</w:t>
            </w:r>
          </w:p>
        </w:tc>
      </w:tr>
      <w:tr>
        <w:tc>
          <w:tcPr>
            <w:tcW w:type="dxa" w:w="1960"/>
          </w:tcPr>
          <w:p>
            <w:pPr>
              <w:spacing w:after="0"/>
            </w:pPr>
            <w:r>
              <w:rPr>
                <w:rFonts w:ascii="Calibri" w:hAnsi="Calibri"/>
                <w:sz w:val="18"/>
              </w:rPr>
              <w:t>SVS mode/read</w:t>
            </w:r>
          </w:p>
        </w:tc>
        <w:tc>
          <w:tcPr>
            <w:tcW w:type="dxa" w:w="850"/>
          </w:tcPr>
          <w:p>
            <w:pPr>
              <w:spacing w:after="0"/>
            </w:pPr>
            <w:r>
              <w:rPr>
                <w:rFonts w:ascii="Calibri" w:hAnsi="Calibri"/>
                <w:sz w:val="18"/>
              </w:rPr>
              <w:t>Yes</w:t>
            </w:r>
          </w:p>
        </w:tc>
        <w:tc>
          <w:tcPr>
            <w:tcW w:type="dxa" w:w="1150"/>
          </w:tcPr>
          <w:p>
            <w:pPr>
              <w:spacing w:after="0"/>
            </w:pPr>
            <w:r>
              <w:rPr>
                <w:rFonts w:ascii="Calibri" w:hAnsi="Calibri"/>
                <w:sz w:val="18"/>
              </w:rPr>
              <w:t>Yes</w:t>
            </w:r>
          </w:p>
        </w:tc>
        <w:tc>
          <w:tcPr>
            <w:tcW w:type="dxa" w:w="1400"/>
          </w:tcPr>
          <w:p>
            <w:pPr>
              <w:spacing w:after="0"/>
            </w:pPr>
            <w:r>
              <w:rPr>
                <w:rFonts w:ascii="Calibri" w:hAnsi="Calibri"/>
                <w:sz w:val="18"/>
              </w:rPr>
              <w:t>Yes</w:t>
            </w:r>
          </w:p>
        </w:tc>
        <w:tc>
          <w:tcPr>
            <w:tcW w:type="dxa" w:w="850"/>
          </w:tcPr>
          <w:p>
            <w:pPr>
              <w:spacing w:after="0"/>
            </w:pPr>
            <w:r>
              <w:rPr>
                <w:rFonts w:ascii="Calibri" w:hAnsi="Calibri"/>
                <w:sz w:val="18"/>
              </w:rPr>
              <w:t>Assigned</w:t>
            </w:r>
          </w:p>
        </w:tc>
        <w:tc>
          <w:tcPr>
            <w:tcW w:type="dxa" w:w="1000"/>
          </w:tcPr>
          <w:p>
            <w:pPr>
              <w:spacing w:after="0"/>
            </w:pPr>
            <w:r>
              <w:rPr>
                <w:rFonts w:ascii="Calibri" w:hAnsi="Calibri"/>
                <w:sz w:val="18"/>
              </w:rPr>
              <w:t>No</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Bulk mode/read</w:t>
            </w:r>
          </w:p>
        </w:tc>
        <w:tc>
          <w:tcPr>
            <w:tcW w:type="dxa" w:w="850"/>
          </w:tcPr>
          <w:p>
            <w:pPr>
              <w:spacing w:after="0"/>
            </w:pPr>
            <w:r>
              <w:rPr>
                <w:rFonts w:ascii="Calibri" w:hAnsi="Calibri"/>
                <w:sz w:val="18"/>
              </w:rPr>
              <w:t>Yes</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Own district</w:t>
            </w:r>
          </w:p>
        </w:tc>
        <w:tc>
          <w:tcPr>
            <w:tcW w:type="dxa" w:w="850"/>
          </w:tcPr>
          <w:p>
            <w:pPr>
              <w:spacing w:after="0"/>
            </w:pPr>
            <w:r>
              <w:rPr>
                <w:rFonts w:ascii="Calibri" w:hAnsi="Calibri"/>
                <w:sz w:val="18"/>
              </w:rPr>
              <w:t>Assigned</w:t>
            </w:r>
          </w:p>
        </w:tc>
        <w:tc>
          <w:tcPr>
            <w:tcW w:type="dxa" w:w="1000"/>
          </w:tcPr>
          <w:p>
            <w:pPr>
              <w:spacing w:after="0"/>
            </w:pPr>
            <w:r>
              <w:rPr>
                <w:rFonts w:ascii="Calibri" w:hAnsi="Calibri"/>
                <w:sz w:val="18"/>
              </w:rPr>
              <w:t>Assigned</w:t>
            </w:r>
          </w:p>
        </w:tc>
        <w:tc>
          <w:tcPr>
            <w:tcW w:type="dxa" w:w="1150"/>
          </w:tcPr>
          <w:p>
            <w:pPr>
              <w:spacing w:after="0"/>
            </w:pPr>
            <w:r>
              <w:rPr>
                <w:rFonts w:ascii="Calibri" w:hAnsi="Calibri"/>
                <w:sz w:val="18"/>
              </w:rPr>
              <w:t>Assigned only</w:t>
            </w:r>
          </w:p>
        </w:tc>
      </w:tr>
      <w:tr>
        <w:tc>
          <w:tcPr>
            <w:tcW w:type="dxa" w:w="1960"/>
          </w:tcPr>
          <w:p>
            <w:pPr>
              <w:spacing w:after="0"/>
            </w:pPr>
            <w:r>
              <w:rPr>
                <w:rFonts w:ascii="Calibri" w:hAnsi="Calibri"/>
                <w:sz w:val="18"/>
              </w:rPr>
              <w:t>Assign/unassign TPI</w:t>
            </w:r>
          </w:p>
        </w:tc>
        <w:tc>
          <w:tcPr>
            <w:tcW w:type="dxa" w:w="850"/>
          </w:tcPr>
          <w:p>
            <w:pPr>
              <w:spacing w:after="0"/>
            </w:pPr>
            <w:r>
              <w:rPr>
                <w:rFonts w:ascii="Calibri" w:hAnsi="Calibri"/>
                <w:sz w:val="18"/>
              </w:rPr>
              <w:t>No</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Own district only</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No</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Create/manage TPI</w:t>
            </w:r>
          </w:p>
        </w:tc>
        <w:tc>
          <w:tcPr>
            <w:tcW w:type="dxa" w:w="850"/>
          </w:tcPr>
          <w:p>
            <w:pPr>
              <w:spacing w:after="0"/>
            </w:pPr>
            <w:r>
              <w:rPr>
                <w:rFonts w:ascii="Calibri" w:hAnsi="Calibri"/>
                <w:sz w:val="18"/>
              </w:rPr>
              <w:t>Yes</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No</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No</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Create/manage TPI staff</w:t>
            </w:r>
          </w:p>
        </w:tc>
        <w:tc>
          <w:tcPr>
            <w:tcW w:type="dxa" w:w="850"/>
          </w:tcPr>
          <w:p>
            <w:pPr>
              <w:spacing w:after="0"/>
            </w:pPr>
            <w:r>
              <w:rPr>
                <w:rFonts w:ascii="Calibri" w:hAnsi="Calibri"/>
                <w:sz w:val="18"/>
              </w:rPr>
              <w:t>Read identity only</w:t>
            </w:r>
          </w:p>
        </w:tc>
        <w:tc>
          <w:tcPr>
            <w:tcW w:type="dxa" w:w="1150"/>
          </w:tcPr>
          <w:p>
            <w:pPr>
              <w:spacing w:after="0"/>
            </w:pPr>
            <w:r>
              <w:rPr>
                <w:rFonts w:ascii="Calibri" w:hAnsi="Calibri"/>
                <w:sz w:val="18"/>
              </w:rPr>
              <w:t>Read identity only</w:t>
            </w:r>
          </w:p>
        </w:tc>
        <w:tc>
          <w:tcPr>
            <w:tcW w:type="dxa" w:w="1400"/>
          </w:tcPr>
          <w:p>
            <w:pPr>
              <w:spacing w:after="0"/>
            </w:pPr>
            <w:r>
              <w:rPr>
                <w:rFonts w:ascii="Calibri" w:hAnsi="Calibri"/>
                <w:sz w:val="18"/>
              </w:rPr>
              <w:t>Read identity only</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Own only</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Upload contractor progress photo</w:t>
            </w:r>
          </w:p>
        </w:tc>
        <w:tc>
          <w:tcPr>
            <w:tcW w:type="dxa" w:w="850"/>
          </w:tcPr>
          <w:p>
            <w:pPr>
              <w:spacing w:after="0"/>
            </w:pPr>
            <w:r>
              <w:rPr>
                <w:rFonts w:ascii="Calibri" w:hAnsi="Calibri"/>
                <w:sz w:val="18"/>
              </w:rPr>
              <w:t>No</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No</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No</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Upload TPI reference photo</w:t>
            </w:r>
          </w:p>
        </w:tc>
        <w:tc>
          <w:tcPr>
            <w:tcW w:type="dxa" w:w="850"/>
          </w:tcPr>
          <w:p>
            <w:pPr>
              <w:spacing w:after="0"/>
            </w:pPr>
            <w:r>
              <w:rPr>
                <w:rFonts w:ascii="Calibri" w:hAnsi="Calibri"/>
                <w:sz w:val="18"/>
              </w:rPr>
              <w:t>No</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No</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No</w:t>
            </w:r>
          </w:p>
        </w:tc>
        <w:tc>
          <w:tcPr>
            <w:tcW w:type="dxa" w:w="1150"/>
          </w:tcPr>
          <w:p>
            <w:pPr>
              <w:spacing w:after="0"/>
            </w:pPr>
            <w:r>
              <w:rPr>
                <w:rFonts w:ascii="Calibri" w:hAnsi="Calibri"/>
                <w:sz w:val="18"/>
              </w:rPr>
              <w:t>Assigned only</w:t>
            </w:r>
          </w:p>
        </w:tc>
      </w:tr>
      <w:tr>
        <w:tc>
          <w:tcPr>
            <w:tcW w:type="dxa" w:w="1960"/>
          </w:tcPr>
          <w:p>
            <w:pPr>
              <w:spacing w:after="0"/>
            </w:pPr>
            <w:r>
              <w:rPr>
                <w:rFonts w:ascii="Calibri" w:hAnsi="Calibri"/>
                <w:sz w:val="18"/>
              </w:rPr>
              <w:t>Select contractor photo</w:t>
            </w:r>
          </w:p>
        </w:tc>
        <w:tc>
          <w:tcPr>
            <w:tcW w:type="dxa" w:w="850"/>
          </w:tcPr>
          <w:p>
            <w:pPr>
              <w:spacing w:after="0"/>
            </w:pPr>
            <w:r>
              <w:rPr>
                <w:rFonts w:ascii="Calibri" w:hAnsi="Calibri"/>
                <w:sz w:val="18"/>
              </w:rPr>
              <w:t>No</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No</w:t>
            </w:r>
          </w:p>
        </w:tc>
        <w:tc>
          <w:tcPr>
            <w:tcW w:type="dxa" w:w="850"/>
          </w:tcPr>
          <w:p>
            <w:pPr>
              <w:spacing w:after="0"/>
            </w:pPr>
            <w:r>
              <w:rPr>
                <w:rFonts w:ascii="Calibri" w:hAnsi="Calibri"/>
                <w:sz w:val="18"/>
              </w:rPr>
              <w:t>Own only</w:t>
            </w:r>
          </w:p>
        </w:tc>
        <w:tc>
          <w:tcPr>
            <w:tcW w:type="dxa" w:w="1000"/>
          </w:tcPr>
          <w:p>
            <w:pPr>
              <w:spacing w:after="0"/>
            </w:pPr>
            <w:r>
              <w:rPr>
                <w:rFonts w:ascii="Calibri" w:hAnsi="Calibri"/>
                <w:sz w:val="18"/>
              </w:rPr>
              <w:t>No</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Select TPI reference photo</w:t>
            </w:r>
          </w:p>
        </w:tc>
        <w:tc>
          <w:tcPr>
            <w:tcW w:type="dxa" w:w="850"/>
          </w:tcPr>
          <w:p>
            <w:pPr>
              <w:spacing w:after="0"/>
            </w:pPr>
            <w:r>
              <w:rPr>
                <w:rFonts w:ascii="Calibri" w:hAnsi="Calibri"/>
                <w:sz w:val="18"/>
              </w:rPr>
              <w:t>No</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No</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Own only</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Approve contractor photo</w:t>
            </w:r>
          </w:p>
        </w:tc>
        <w:tc>
          <w:tcPr>
            <w:tcW w:type="dxa" w:w="850"/>
          </w:tcPr>
          <w:p>
            <w:pPr>
              <w:spacing w:after="0"/>
            </w:pPr>
            <w:r>
              <w:rPr>
                <w:rFonts w:ascii="Calibri" w:hAnsi="Calibri"/>
                <w:sz w:val="18"/>
              </w:rPr>
              <w:t>Existing display only</w:t>
            </w:r>
          </w:p>
        </w:tc>
        <w:tc>
          <w:tcPr>
            <w:tcW w:type="dxa" w:w="1150"/>
          </w:tcPr>
          <w:p>
            <w:pPr>
              <w:spacing w:after="0"/>
            </w:pPr>
            <w:r>
              <w:rPr>
                <w:rFonts w:ascii="Calibri" w:hAnsi="Calibri"/>
                <w:sz w:val="18"/>
              </w:rPr>
              <w:t>SVS only</w:t>
            </w:r>
          </w:p>
        </w:tc>
        <w:tc>
          <w:tcPr>
            <w:tcW w:type="dxa" w:w="1400"/>
          </w:tcPr>
          <w:p>
            <w:pPr>
              <w:spacing w:after="0"/>
            </w:pPr>
            <w:r>
              <w:rPr>
                <w:rFonts w:ascii="Calibri" w:hAnsi="Calibri"/>
                <w:sz w:val="18"/>
              </w:rPr>
              <w:t>SVS + Bulk own district</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No</w:t>
            </w:r>
          </w:p>
        </w:tc>
        <w:tc>
          <w:tcPr>
            <w:tcW w:type="dxa" w:w="1150"/>
          </w:tcPr>
          <w:p>
            <w:pPr>
              <w:spacing w:after="0"/>
            </w:pPr>
            <w:r>
              <w:rPr>
                <w:rFonts w:ascii="Calibri" w:hAnsi="Calibri"/>
                <w:sz w:val="18"/>
              </w:rPr>
              <w:t>No</w:t>
            </w:r>
          </w:p>
        </w:tc>
      </w:tr>
      <w:tr>
        <w:tc>
          <w:tcPr>
            <w:tcW w:type="dxa" w:w="1960"/>
          </w:tcPr>
          <w:p>
            <w:pPr>
              <w:spacing w:after="0"/>
            </w:pPr>
            <w:r>
              <w:rPr>
                <w:rFonts w:ascii="Calibri" w:hAnsi="Calibri"/>
                <w:sz w:val="18"/>
              </w:rPr>
              <w:t>View TPI photo URL</w:t>
            </w:r>
          </w:p>
        </w:tc>
        <w:tc>
          <w:tcPr>
            <w:tcW w:type="dxa" w:w="850"/>
          </w:tcPr>
          <w:p>
            <w:pPr>
              <w:spacing w:after="0"/>
            </w:pPr>
            <w:r>
              <w:rPr>
                <w:rFonts w:ascii="Calibri" w:hAnsi="Calibri"/>
                <w:sz w:val="18"/>
              </w:rPr>
              <w:t>No</w:t>
            </w:r>
          </w:p>
        </w:tc>
        <w:tc>
          <w:tcPr>
            <w:tcW w:type="dxa" w:w="1150"/>
          </w:tcPr>
          <w:p>
            <w:pPr>
              <w:spacing w:after="0"/>
            </w:pPr>
            <w:r>
              <w:rPr>
                <w:rFonts w:ascii="Calibri" w:hAnsi="Calibri"/>
                <w:sz w:val="18"/>
              </w:rPr>
              <w:t>No</w:t>
            </w:r>
          </w:p>
        </w:tc>
        <w:tc>
          <w:tcPr>
            <w:tcW w:type="dxa" w:w="1400"/>
          </w:tcPr>
          <w:p>
            <w:pPr>
              <w:spacing w:after="0"/>
            </w:pPr>
            <w:r>
              <w:rPr>
                <w:rFonts w:ascii="Calibri" w:hAnsi="Calibri"/>
                <w:sz w:val="18"/>
              </w:rPr>
              <w:t>Bulk own district</w:t>
            </w:r>
          </w:p>
        </w:tc>
        <w:tc>
          <w:tcPr>
            <w:tcW w:type="dxa" w:w="850"/>
          </w:tcPr>
          <w:p>
            <w:pPr>
              <w:spacing w:after="0"/>
            </w:pPr>
            <w:r>
              <w:rPr>
                <w:rFonts w:ascii="Calibri" w:hAnsi="Calibri"/>
                <w:sz w:val="18"/>
              </w:rPr>
              <w:t>No</w:t>
            </w:r>
          </w:p>
        </w:tc>
        <w:tc>
          <w:tcPr>
            <w:tcW w:type="dxa" w:w="1000"/>
          </w:tcPr>
          <w:p>
            <w:pPr>
              <w:spacing w:after="0"/>
            </w:pPr>
            <w:r>
              <w:rPr>
                <w:rFonts w:ascii="Calibri" w:hAnsi="Calibri"/>
                <w:sz w:val="18"/>
              </w:rPr>
              <w:t>Own only</w:t>
            </w:r>
          </w:p>
        </w:tc>
        <w:tc>
          <w:tcPr>
            <w:tcW w:type="dxa" w:w="1150"/>
          </w:tcPr>
          <w:p>
            <w:pPr>
              <w:spacing w:after="0"/>
            </w:pPr>
            <w:r>
              <w:rPr>
                <w:rFonts w:ascii="Calibri" w:hAnsi="Calibri"/>
                <w:sz w:val="18"/>
              </w:rPr>
              <w:t>Own only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sz w:val="21"/>
              </w:rPr>
              <w:t xml:space="preserve">EM MOBILE ACCESS: </w:t>
            </w:r>
            <w:r>
              <w:rPr>
                <w:rFonts w:ascii="Calibri" w:hAnsi="Calibri"/>
                <w:sz w:val="21"/>
              </w:rPr>
              <w:t>Employee (EM) has no dashboard access and is intentionally excluded from the dashboard-oriented columns above. EM may read only contractor-assigned SVS/Bulk Village work orders and upload contractor progress photos under the existing progress/order rules; EM cannot select evidence, approve/reject, manage people, see TPI data, or upload TPI reference evidence.</w:t>
            </w:r>
          </w:p>
        </w:tc>
      </w:tr>
    </w:tbl>
    <w:p>
      <w:pPr>
        <w:spacing w:after="40"/>
      </w:pPr>
    </w:p>
    <w:p>
      <w:pPr>
        <w:pStyle w:val="Heading1"/>
      </w:pPr>
      <w:r>
        <w:rPr>
          <w:rFonts w:ascii="Calibri" w:hAnsi="Calibri"/>
          <w:b/>
          <w:color w:val="2E74B5"/>
          <w:sz w:val="32"/>
        </w:rPr>
        <w:t>6. Admin dashboard implementation</w:t>
      </w:r>
    </w:p>
    <w:p>
      <w:pPr>
        <w:pStyle w:val="Heading2"/>
      </w:pPr>
      <w:r>
        <w:rPr>
          <w:rFonts w:ascii="Calibri" w:hAnsi="Calibri"/>
          <w:b/>
          <w:color w:val="2E74B5"/>
          <w:sz w:val="26"/>
        </w:rPr>
        <w:t>6.1 Navigation and mode switch</w:t>
      </w:r>
    </w:p>
    <w:p>
      <w:pPr>
        <w:pStyle w:val="ListBullet"/>
        <w:spacing w:after="80"/>
        <w:ind w:left="540" w:hanging="271"/>
      </w:pPr>
      <w:r>
        <w:rPr>
          <w:rFonts w:ascii="Calibri" w:hAnsi="Calibri"/>
          <w:sz w:val="22"/>
        </w:rPr>
        <w:t>HO always sees a persistent SVS / Bulk Village switch in the dashboard navigation. Persist selected mode in URL/search parameter or local storage, but ensure refresh/deep-link behavior is deterministic.</w:t>
      </w:r>
    </w:p>
    <w:p>
      <w:pPr>
        <w:pStyle w:val="ListBullet"/>
        <w:spacing w:after="80"/>
        <w:ind w:left="540" w:hanging="271"/>
      </w:pPr>
      <w:r>
        <w:rPr>
          <w:rFonts w:ascii="Calibri" w:hAnsi="Calibri"/>
          <w:sz w:val="22"/>
        </w:rPr>
        <w:t>DO sees the switch only if the current backend profile says `is_executive_engineer = true`. If revoked, redirect away from Bulk Village routes, clear/ignore stored Bulk mode, and hide the switch.</w:t>
      </w:r>
    </w:p>
    <w:p>
      <w:pPr>
        <w:pStyle w:val="ListBullet"/>
        <w:spacing w:after="80"/>
        <w:ind w:left="540" w:hanging="271"/>
      </w:pPr>
      <w:r>
        <w:rPr>
          <w:rFonts w:ascii="Calibri" w:hAnsi="Calibri"/>
          <w:sz w:val="22"/>
        </w:rPr>
        <w:t>CO does not receive the global mode switch. Its lists may contain assigned work of both types, clearly labeled by type; all current contractor evidence behavior remains unchanged.</w:t>
      </w:r>
    </w:p>
    <w:p>
      <w:pPr>
        <w:pStyle w:val="ListBullet"/>
        <w:spacing w:after="80"/>
        <w:ind w:left="540" w:hanging="271"/>
      </w:pPr>
      <w:r>
        <w:rPr>
          <w:rFonts w:ascii="Calibri" w:hAnsi="Calibri"/>
          <w:sz w:val="22"/>
        </w:rPr>
        <w:t>TPI does not receive the switch. Its dashboard is Bulk Village-only. EM and TPI_STAFF have no dashboard.</w:t>
      </w:r>
    </w:p>
    <w:p>
      <w:pPr>
        <w:pStyle w:val="ListBullet"/>
        <w:spacing w:after="80"/>
        <w:ind w:left="540" w:hanging="271"/>
      </w:pPr>
      <w:r>
        <w:rPr>
          <w:rFonts w:ascii="Calibri" w:hAnsi="Calibri"/>
          <w:sz w:val="22"/>
        </w:rPr>
        <w:t>All work-order/agreement list and create/import routes read an explicit mode context. Do not infer type from UI labels alone.</w:t>
      </w:r>
    </w:p>
    <w:p>
      <w:pPr>
        <w:pStyle w:val="Heading2"/>
      </w:pPr>
      <w:r>
        <w:rPr>
          <w:rFonts w:ascii="Calibri" w:hAnsi="Calibri"/>
          <w:b/>
          <w:color w:val="2E74B5"/>
          <w:sz w:val="26"/>
        </w:rPr>
        <w:t>6.2 HO dashboard requirements</w:t>
      </w:r>
    </w:p>
    <w:p>
      <w:pPr>
        <w:pStyle w:val="ListBullet"/>
        <w:spacing w:after="80"/>
        <w:ind w:left="540" w:hanging="271"/>
      </w:pPr>
      <w:r>
        <w:rPr>
          <w:rFonts w:ascii="Calibri" w:hAnsi="Calibri"/>
          <w:sz w:val="22"/>
        </w:rPr>
        <w:t>Add a TPI navigation tab beside District Officers and Contractors. It contains searchable, paginated listing; manual Create TPI form; Edit TPI form; activate/deactivate control; and no Excel upload action.</w:t>
      </w:r>
    </w:p>
    <w:p>
      <w:pPr>
        <w:pStyle w:val="ListBullet"/>
        <w:spacing w:after="80"/>
        <w:ind w:left="540" w:hanging="271"/>
      </w:pPr>
      <w:r>
        <w:rPr>
          <w:rFonts w:ascii="Calibri" w:hAnsi="Calibri"/>
          <w:sz w:val="22"/>
        </w:rPr>
        <w:t>TPI form uses contractor-equivalent profile fields plus manually entered unique code and required district. Validate code/email/PAN/active district as applicable to current contractor rules.</w:t>
      </w:r>
    </w:p>
    <w:p>
      <w:pPr>
        <w:pStyle w:val="ListBullet"/>
        <w:spacing w:after="80"/>
        <w:ind w:left="540" w:hanging="271"/>
      </w:pPr>
      <w:r>
        <w:rPr>
          <w:rFonts w:ascii="Calibri" w:hAnsi="Calibri"/>
          <w:sz w:val="22"/>
        </w:rPr>
        <w:t>District Officer create/edit/list adds an `Executive Engineer` toggle. The change must call the backend and reflect current state, not optimistic client-only state.</w:t>
      </w:r>
    </w:p>
    <w:p>
      <w:pPr>
        <w:pStyle w:val="ListBullet"/>
        <w:spacing w:after="80"/>
        <w:ind w:left="540" w:hanging="271"/>
      </w:pPr>
      <w:r>
        <w:rPr>
          <w:rFonts w:ascii="Calibri" w:hAnsi="Calibri"/>
          <w:sz w:val="22"/>
        </w:rPr>
        <w:t>Mode switch filters work orders and agreements. Untyped agreements (no work orders) appear in both mode lists. Typed agreements appear in only the derived mode.</w:t>
      </w:r>
    </w:p>
    <w:p>
      <w:pPr>
        <w:pStyle w:val="ListBullet"/>
        <w:spacing w:after="80"/>
        <w:ind w:left="540" w:hanging="271"/>
      </w:pPr>
      <w:r>
        <w:rPr>
          <w:rFonts w:ascii="Calibri" w:hAnsi="Calibri"/>
          <w:sz w:val="22"/>
        </w:rPr>
        <w:t>HO keeps existing contractor-selected/DO-approved photo visibility. In Bulk Village work-order detail, show TPI identity and staff list only; do not request/render TPI reference photo URLs or thumbnails.</w:t>
      </w:r>
    </w:p>
    <w:p>
      <w:pPr>
        <w:pStyle w:val="ListBullet"/>
        <w:spacing w:after="80"/>
        <w:ind w:left="540" w:hanging="271"/>
      </w:pPr>
      <w:r>
        <w:rPr>
          <w:rFonts w:ascii="Calibri" w:hAnsi="Calibri"/>
          <w:sz w:val="22"/>
        </w:rPr>
        <w:t>HO may create/import Bulk Village work orders while in Bulk Village mode, but must not receive TPI assignment action.</w:t>
      </w:r>
    </w:p>
    <w:p>
      <w:pPr>
        <w:pStyle w:val="Heading2"/>
      </w:pPr>
      <w:r>
        <w:rPr>
          <w:rFonts w:ascii="Calibri" w:hAnsi="Calibri"/>
          <w:b/>
          <w:color w:val="2E74B5"/>
          <w:sz w:val="26"/>
        </w:rPr>
        <w:t>6.3 DO dashboard requirements</w:t>
      </w:r>
    </w:p>
    <w:p>
      <w:pPr>
        <w:pStyle w:val="ListBullet"/>
        <w:spacing w:after="80"/>
        <w:ind w:left="540" w:hanging="271"/>
      </w:pPr>
      <w:r>
        <w:rPr>
          <w:rFonts w:ascii="Calibri" w:hAnsi="Calibri"/>
          <w:sz w:val="22"/>
        </w:rPr>
        <w:t>Normal DO: no Bulk Village mode switch, no Bulk Village routes/data, and no TPI assignment UI.</w:t>
      </w:r>
    </w:p>
    <w:p>
      <w:pPr>
        <w:pStyle w:val="ListBullet"/>
        <w:spacing w:after="80"/>
        <w:ind w:left="540" w:hanging="271"/>
      </w:pPr>
      <w:r>
        <w:rPr>
          <w:rFonts w:ascii="Calibri" w:hAnsi="Calibri"/>
          <w:sz w:val="22"/>
        </w:rPr>
        <w:t>Executive Engineer DO: sees both modes. Bulk Village lists are restricted to own district. In Bulk work-order detail, render Assign TPI / Change TPI / Unassign TPI based on existing assignment and current active district TPI.</w:t>
      </w:r>
    </w:p>
    <w:p>
      <w:pPr>
        <w:pStyle w:val="ListBullet"/>
        <w:spacing w:after="80"/>
        <w:ind w:left="540" w:hanging="271"/>
      </w:pPr>
      <w:r>
        <w:rPr>
          <w:rFonts w:ascii="Calibri" w:hAnsi="Calibri"/>
          <w:sz w:val="22"/>
        </w:rPr>
        <w:t>The action never renders a TPI chooser. It should state the automatically resolved district TPI by name/code and fail gracefully when the district has no active TPI.</w:t>
      </w:r>
    </w:p>
    <w:p>
      <w:pPr>
        <w:pStyle w:val="ListBullet"/>
        <w:spacing w:after="80"/>
        <w:ind w:left="540" w:hanging="271"/>
      </w:pPr>
      <w:r>
        <w:rPr>
          <w:rFonts w:ascii="Calibri" w:hAnsi="Calibri"/>
          <w:sz w:val="22"/>
        </w:rPr>
        <w:t>In Bulk component review, show contractor-selected photo and selected TPI reference photo distinctly. Only contractor evidence has Approve/Reject controls.</w:t>
      </w:r>
    </w:p>
    <w:p>
      <w:pPr>
        <w:pStyle w:val="ListBullet"/>
        <w:spacing w:after="80"/>
        <w:ind w:left="540" w:hanging="271"/>
      </w:pPr>
      <w:r>
        <w:rPr>
          <w:rFonts w:ascii="Calibri" w:hAnsi="Calibri"/>
          <w:sz w:val="22"/>
        </w:rPr>
        <w:t>If Executive Engineer is revoked during a session, profile refresh/API 403 handling immediately exits Bulk Village navigation and prevents mutation.</w:t>
      </w:r>
    </w:p>
    <w:p>
      <w:pPr>
        <w:pStyle w:val="Heading2"/>
      </w:pPr>
      <w:r>
        <w:rPr>
          <w:rFonts w:ascii="Calibri" w:hAnsi="Calibri"/>
          <w:b/>
          <w:color w:val="2E74B5"/>
          <w:sz w:val="26"/>
        </w:rPr>
        <w:t>6.4 Contractor and TPI dashboards</w:t>
      </w:r>
    </w:p>
    <w:tbl>
      <w:tblPr>
        <w:tblW w:type="dxa" w:w="9360"/>
        <w:jc w:val="left"/>
        <w:tblLayout w:type="fixed"/>
        <w:tblLook w:firstColumn="1" w:firstRow="1" w:lastColumn="0" w:lastRow="0" w:noHBand="0" w:noVBand="1" w:val="04A0"/>
        <w:tblInd w:w="120" w:type="dxa"/>
      </w:tblPr>
      <w:tblGrid>
        <w:gridCol w:w="1900"/>
        <w:gridCol w:w="3730"/>
        <w:gridCol w:w="3730"/>
      </w:tblGrid>
      <w:tr>
        <w:tc>
          <w:tcPr>
            <w:tcW w:type="dxa" w:w="1900"/>
            <w:tcMar>
              <w:top w:w="80" w:type="dxa"/>
              <w:start w:w="120" w:type="dxa"/>
              <w:bottom w:w="80" w:type="dxa"/>
              <w:end w:w="120" w:type="dxa"/>
            </w:tcMar>
            <w:vAlign w:val="center"/>
            <w:shd w:fill="E8EEF5"/>
          </w:tcPr>
          <w:p>
            <w:pPr>
              <w:spacing w:after="0"/>
            </w:pPr>
            <w:r>
              <w:rPr>
                <w:rFonts w:ascii="Calibri" w:hAnsi="Calibri"/>
                <w:b/>
                <w:color w:val="0B2545"/>
                <w:sz w:val="19"/>
              </w:rPr>
              <w:t>Surface</w:t>
            </w:r>
          </w:p>
        </w:tc>
        <w:tc>
          <w:tcPr>
            <w:tcW w:type="dxa" w:w="3730"/>
            <w:tcMar>
              <w:top w:w="80" w:type="dxa"/>
              <w:start w:w="120" w:type="dxa"/>
              <w:bottom w:w="80" w:type="dxa"/>
              <w:end w:w="120" w:type="dxa"/>
            </w:tcMar>
            <w:vAlign w:val="center"/>
            <w:shd w:fill="E8EEF5"/>
          </w:tcPr>
          <w:p>
            <w:pPr>
              <w:spacing w:after="0"/>
            </w:pPr>
            <w:r>
              <w:rPr>
                <w:rFonts w:ascii="Calibri" w:hAnsi="Calibri"/>
                <w:b/>
                <w:color w:val="0B2545"/>
                <w:sz w:val="19"/>
              </w:rPr>
              <w:t>Contractor (CO)</w:t>
            </w:r>
          </w:p>
        </w:tc>
        <w:tc>
          <w:tcPr>
            <w:tcW w:type="dxa" w:w="3730"/>
            <w:tcMar>
              <w:top w:w="80" w:type="dxa"/>
              <w:start w:w="120" w:type="dxa"/>
              <w:bottom w:w="80" w:type="dxa"/>
              <w:end w:w="120" w:type="dxa"/>
            </w:tcMar>
            <w:vAlign w:val="center"/>
            <w:shd w:fill="E8EEF5"/>
          </w:tcPr>
          <w:p>
            <w:pPr>
              <w:spacing w:after="0"/>
            </w:pPr>
            <w:r>
              <w:rPr>
                <w:rFonts w:ascii="Calibri" w:hAnsi="Calibri"/>
                <w:b/>
                <w:color w:val="0B2545"/>
                <w:sz w:val="19"/>
              </w:rPr>
              <w:t>TPI</w:t>
            </w:r>
          </w:p>
        </w:tc>
      </w:tr>
      <w:tr>
        <w:tc>
          <w:tcPr>
            <w:tcW w:type="dxa" w:w="1900"/>
          </w:tcPr>
          <w:p>
            <w:pPr>
              <w:spacing w:after="0"/>
            </w:pPr>
            <w:r>
              <w:rPr>
                <w:rFonts w:ascii="Calibri" w:hAnsi="Calibri"/>
                <w:sz w:val="18"/>
              </w:rPr>
              <w:t>Dashboard</w:t>
            </w:r>
          </w:p>
        </w:tc>
        <w:tc>
          <w:tcPr>
            <w:tcW w:type="dxa" w:w="3730"/>
          </w:tcPr>
          <w:p>
            <w:pPr>
              <w:spacing w:after="0"/>
            </w:pPr>
            <w:r>
              <w:rPr>
                <w:rFonts w:ascii="Calibri" w:hAnsi="Calibri"/>
                <w:sz w:val="18"/>
              </w:rPr>
              <w:t>Keep current contractor dashboard; include type labels when work contains Bulk Village orders.</w:t>
            </w:r>
          </w:p>
        </w:tc>
        <w:tc>
          <w:tcPr>
            <w:tcW w:type="dxa" w:w="3730"/>
          </w:tcPr>
          <w:p>
            <w:pPr>
              <w:spacing w:after="0"/>
            </w:pPr>
            <w:r>
              <w:rPr>
                <w:rFonts w:ascii="Calibri" w:hAnsi="Calibri"/>
                <w:sz w:val="18"/>
              </w:rPr>
              <w:t>New contractor-like dashboard: assigned Bulk Village work orders, component/reference-photo status, selected reference count, and staff count.</w:t>
            </w:r>
          </w:p>
        </w:tc>
      </w:tr>
      <w:tr>
        <w:tc>
          <w:tcPr>
            <w:tcW w:type="dxa" w:w="1900"/>
          </w:tcPr>
          <w:p>
            <w:pPr>
              <w:spacing w:after="0"/>
            </w:pPr>
            <w:r>
              <w:rPr>
                <w:rFonts w:ascii="Calibri" w:hAnsi="Calibri"/>
                <w:sz w:val="18"/>
              </w:rPr>
              <w:t>People management</w:t>
            </w:r>
          </w:p>
        </w:tc>
        <w:tc>
          <w:tcPr>
            <w:tcW w:type="dxa" w:w="3730"/>
          </w:tcPr>
          <w:p>
            <w:pPr>
              <w:spacing w:after="0"/>
            </w:pPr>
            <w:r>
              <w:rPr>
                <w:rFonts w:ascii="Calibri" w:hAnsi="Calibri"/>
                <w:sz w:val="18"/>
              </w:rPr>
              <w:t>Existing employee creation/edit and work-order assignment.</w:t>
            </w:r>
          </w:p>
        </w:tc>
        <w:tc>
          <w:tcPr>
            <w:tcW w:type="dxa" w:w="3730"/>
          </w:tcPr>
          <w:p>
            <w:pPr>
              <w:spacing w:after="0"/>
            </w:pPr>
            <w:r>
              <w:rPr>
                <w:rFonts w:ascii="Calibri" w:hAnsi="Calibri"/>
                <w:sz w:val="18"/>
              </w:rPr>
              <w:t>Create/edit own TPI staff; assign/unassign own staff to/from own assigned Bulk Village work orders.</w:t>
            </w:r>
          </w:p>
        </w:tc>
      </w:tr>
      <w:tr>
        <w:tc>
          <w:tcPr>
            <w:tcW w:type="dxa" w:w="1900"/>
          </w:tcPr>
          <w:p>
            <w:pPr>
              <w:spacing w:after="0"/>
            </w:pPr>
            <w:r>
              <w:rPr>
                <w:rFonts w:ascii="Calibri" w:hAnsi="Calibri"/>
                <w:sz w:val="18"/>
              </w:rPr>
              <w:t>Photo review</w:t>
            </w:r>
          </w:p>
        </w:tc>
        <w:tc>
          <w:tcPr>
            <w:tcW w:type="dxa" w:w="3730"/>
          </w:tcPr>
          <w:p>
            <w:pPr>
              <w:spacing w:after="0"/>
            </w:pPr>
            <w:r>
              <w:rPr>
                <w:rFonts w:ascii="Calibri" w:hAnsi="Calibri"/>
                <w:sz w:val="18"/>
              </w:rPr>
              <w:t>Review EM uploads, choose contractor evidence, submit under existing rules.</w:t>
            </w:r>
          </w:p>
        </w:tc>
        <w:tc>
          <w:tcPr>
            <w:tcW w:type="dxa" w:w="3730"/>
          </w:tcPr>
          <w:p>
            <w:pPr>
              <w:spacing w:after="0"/>
            </w:pPr>
            <w:r>
              <w:rPr>
                <w:rFonts w:ascii="Calibri" w:hAnsi="Calibri"/>
                <w:sz w:val="18"/>
              </w:rPr>
              <w:t>Review TPI staff reference uploads, choose one per component; no approval/rejection action.</w:t>
            </w:r>
          </w:p>
        </w:tc>
      </w:tr>
      <w:tr>
        <w:tc>
          <w:tcPr>
            <w:tcW w:type="dxa" w:w="1900"/>
          </w:tcPr>
          <w:p>
            <w:pPr>
              <w:spacing w:after="0"/>
            </w:pPr>
            <w:r>
              <w:rPr>
                <w:rFonts w:ascii="Calibri" w:hAnsi="Calibri"/>
                <w:sz w:val="18"/>
              </w:rPr>
              <w:t>Access boundary</w:t>
            </w:r>
          </w:p>
        </w:tc>
        <w:tc>
          <w:tcPr>
            <w:tcW w:type="dxa" w:w="3730"/>
          </w:tcPr>
          <w:p>
            <w:pPr>
              <w:spacing w:after="0"/>
            </w:pPr>
            <w:r>
              <w:rPr>
                <w:rFonts w:ascii="Calibri" w:hAnsi="Calibri"/>
                <w:sz w:val="18"/>
              </w:rPr>
              <w:t>Only own contractor work.</w:t>
            </w:r>
          </w:p>
        </w:tc>
        <w:tc>
          <w:tcPr>
            <w:tcW w:type="dxa" w:w="3730"/>
          </w:tcPr>
          <w:p>
            <w:pPr>
              <w:spacing w:after="0"/>
            </w:pPr>
            <w:r>
              <w:rPr>
                <w:rFonts w:ascii="Calibri" w:hAnsi="Calibri"/>
                <w:sz w:val="18"/>
              </w:rPr>
              <w:t>Only work orders explicitly assigned to this TPI; never SVS.</w:t>
            </w:r>
          </w:p>
        </w:tc>
      </w:tr>
    </w:tbl>
    <w:p>
      <w:pPr>
        <w:spacing w:after="40"/>
      </w:pPr>
    </w:p>
    <w:p>
      <w:pPr>
        <w:pStyle w:val="Heading2"/>
      </w:pPr>
      <w:r>
        <w:rPr>
          <w:rFonts w:ascii="Calibri" w:hAnsi="Calibri"/>
          <w:b/>
          <w:color w:val="2E74B5"/>
          <w:sz w:val="26"/>
        </w:rPr>
        <w:t>6.5 Dashboard UX and error handling</w:t>
      </w:r>
    </w:p>
    <w:p>
      <w:pPr>
        <w:pStyle w:val="ListBullet"/>
        <w:spacing w:after="60"/>
        <w:ind w:left="540" w:hanging="271"/>
      </w:pPr>
      <w:r>
        <w:rPr>
          <w:rFonts w:ascii="Calibri" w:hAnsi="Calibri"/>
          <w:sz w:val="21"/>
        </w:rPr>
        <w:t>☐ Put work-order type badge on all list/detail rows where a user can encounter mixed data.</w:t>
      </w:r>
    </w:p>
    <w:p>
      <w:pPr>
        <w:pStyle w:val="ListBullet"/>
        <w:spacing w:after="60"/>
        <w:ind w:left="540" w:hanging="271"/>
      </w:pPr>
      <w:r>
        <w:rPr>
          <w:rFonts w:ascii="Calibri" w:hAnsi="Calibri"/>
          <w:sz w:val="21"/>
        </w:rPr>
        <w:t>☐ Use loading/empty/error states for unavailable active TPI, revoked Executive Engineer access, inactive TPI, and no staff assignment.</w:t>
      </w:r>
    </w:p>
    <w:p>
      <w:pPr>
        <w:pStyle w:val="ListBullet"/>
        <w:spacing w:after="60"/>
        <w:ind w:left="540" w:hanging="271"/>
      </w:pPr>
      <w:r>
        <w:rPr>
          <w:rFonts w:ascii="Calibri" w:hAnsi="Calibri"/>
          <w:sz w:val="21"/>
        </w:rPr>
        <w:t>☐ Confirm destructive/unassignment actions; show that historical photos remain retained.</w:t>
      </w:r>
    </w:p>
    <w:p>
      <w:pPr>
        <w:pStyle w:val="ListBullet"/>
        <w:spacing w:after="60"/>
        <w:ind w:left="540" w:hanging="271"/>
      </w:pPr>
      <w:r>
        <w:rPr>
          <w:rFonts w:ascii="Calibri" w:hAnsi="Calibri"/>
          <w:sz w:val="21"/>
        </w:rPr>
        <w:t>☐ Invalidate React Query/server cache keys after role flag, TPI, staff, assignment, selection, approval, and mode changes.</w:t>
      </w:r>
    </w:p>
    <w:p>
      <w:pPr>
        <w:pStyle w:val="ListBullet"/>
        <w:spacing w:after="60"/>
        <w:ind w:left="540" w:hanging="271"/>
      </w:pPr>
      <w:r>
        <w:rPr>
          <w:rFonts w:ascii="Calibri" w:hAnsi="Calibri"/>
          <w:sz w:val="21"/>
        </w:rPr>
        <w:t>☐ Do not expose action buttons based only on role cached in localStorage; profile/API authorization remains authoritative.</w:t>
      </w:r>
    </w:p>
    <w:p>
      <w:pPr>
        <w:pStyle w:val="ListBullet"/>
        <w:spacing w:after="60"/>
        <w:ind w:left="540" w:hanging="271"/>
      </w:pPr>
      <w:r>
        <w:rPr>
          <w:rFonts w:ascii="Calibri" w:hAnsi="Calibri"/>
          <w:sz w:val="21"/>
        </w:rPr>
        <w:t>☐ Avoid visual mixing of contractor evidence and reference evidence: labels, thumbnail groups, and status text must make provenance obvious.</w:t>
      </w:r>
    </w:p>
    <w:p>
      <w:pPr>
        <w:pStyle w:val="Heading1"/>
      </w:pPr>
      <w:r>
        <w:rPr>
          <w:rFonts w:ascii="Calibri" w:hAnsi="Calibri"/>
          <w:b/>
          <w:color w:val="2E74B5"/>
          <w:sz w:val="32"/>
        </w:rPr>
        <w:t>7. Mobile application implementation</w:t>
      </w:r>
    </w:p>
    <w:p>
      <w:pPr>
        <w:pStyle w:val="Heading2"/>
      </w:pPr>
      <w:r>
        <w:rPr>
          <w:rFonts w:ascii="Calibri" w:hAnsi="Calibri"/>
          <w:b/>
          <w:color w:val="2E74B5"/>
          <w:sz w:val="26"/>
        </w:rPr>
        <w:t>7.1 Authentication and routing</w:t>
      </w:r>
    </w:p>
    <w:p>
      <w:pPr>
        <w:pStyle w:val="ListBullet"/>
        <w:spacing w:after="80"/>
        <w:ind w:left="540" w:hanging="271"/>
      </w:pPr>
      <w:r>
        <w:rPr>
          <w:rFonts w:ascii="Calibri" w:hAnsi="Calibri"/>
          <w:sz w:val="22"/>
        </w:rPr>
        <w:t>Continue email/password mobile login for EM. Add email/password mobile login for TPI_STAFF. TPI itself uses dashboard login; it does not use the mobile workflow unless separately requested later.</w:t>
      </w:r>
    </w:p>
    <w:p>
      <w:pPr>
        <w:pStyle w:val="ListBullet"/>
        <w:spacing w:after="80"/>
        <w:ind w:left="540" w:hanging="271"/>
      </w:pPr>
      <w:r>
        <w:rPr>
          <w:rFonts w:ascii="Calibri" w:hAnsi="Calibri"/>
          <w:sz w:val="22"/>
        </w:rPr>
        <w:t>Persist authenticated role/profile with the access token and refresh profile at protected entry points. Clear token/profile on 401 or inactive-account response.</w:t>
      </w:r>
    </w:p>
    <w:p>
      <w:pPr>
        <w:pStyle w:val="ListBullet"/>
        <w:spacing w:after="80"/>
        <w:ind w:left="540" w:hanging="271"/>
      </w:pPr>
      <w:r>
        <w:rPr>
          <w:rFonts w:ascii="Calibri" w:hAnsi="Calibri"/>
          <w:sz w:val="22"/>
        </w:rPr>
        <w:t>Route EM and TPI_STAFF through the same Agreement → Work Item → Component navigation, but use role-aware data and action configuration.</w:t>
      </w:r>
    </w:p>
    <w:p>
      <w:pPr>
        <w:pStyle w:val="ListBullet"/>
        <w:spacing w:after="80"/>
        <w:ind w:left="540" w:hanging="271"/>
      </w:pPr>
      <w:r>
        <w:rPr>
          <w:rFonts w:ascii="Calibri" w:hAnsi="Calibri"/>
          <w:sz w:val="22"/>
        </w:rPr>
        <w:t>TPI_STAFF must receive only agreements/work orders reachable through its own TPI staff assignment; never rely on a client-side filter of a broader response.</w:t>
      </w:r>
    </w:p>
    <w:p>
      <w:pPr>
        <w:pStyle w:val="Heading2"/>
      </w:pPr>
      <w:r>
        <w:rPr>
          <w:rFonts w:ascii="Calibri" w:hAnsi="Calibri"/>
          <w:b/>
          <w:color w:val="2E74B5"/>
          <w:sz w:val="26"/>
        </w:rPr>
        <w:t>7.2 Employee behavior (unchanged)</w:t>
      </w:r>
    </w:p>
    <w:p>
      <w:pPr>
        <w:pStyle w:val="ListBullet"/>
        <w:spacing w:after="80"/>
        <w:ind w:left="540" w:hanging="271"/>
      </w:pPr>
      <w:r>
        <w:rPr>
          <w:rFonts w:ascii="Calibri" w:hAnsi="Calibri"/>
          <w:sz w:val="22"/>
        </w:rPr>
        <w:t>Show both SVS and Bulk Village work orders only when the EM is assigned by the contractor.</w:t>
      </w:r>
    </w:p>
    <w:p>
      <w:pPr>
        <w:pStyle w:val="ListBullet"/>
        <w:spacing w:after="80"/>
        <w:ind w:left="540" w:hanging="271"/>
      </w:pPr>
      <w:r>
        <w:rPr>
          <w:rFonts w:ascii="Calibri" w:hAnsi="Calibri"/>
          <w:sz w:val="22"/>
        </w:rPr>
        <w:t>Keep existing component sequence/progress validation: quantity must be configured, progress must be positive, non-decreasing, not above quantity, and prior components must be approved before later work begins.</w:t>
      </w:r>
    </w:p>
    <w:p>
      <w:pPr>
        <w:pStyle w:val="ListBullet"/>
        <w:spacing w:after="80"/>
        <w:ind w:left="540" w:hanging="271"/>
      </w:pPr>
      <w:r>
        <w:rPr>
          <w:rFonts w:ascii="Calibri" w:hAnsi="Calibri"/>
          <w:sz w:val="22"/>
        </w:rPr>
        <w:t>Keep camera, geolocation, timestamp, compression, Cloudinary upload, retry/error, and existing component-photo upload endpoint behavior.</w:t>
      </w:r>
    </w:p>
    <w:p>
      <w:pPr>
        <w:pStyle w:val="Heading2"/>
      </w:pPr>
      <w:r>
        <w:rPr>
          <w:rFonts w:ascii="Calibri" w:hAnsi="Calibri"/>
          <w:b/>
          <w:color w:val="2E74B5"/>
          <w:sz w:val="26"/>
        </w:rPr>
        <w:t>7.3 TPI staff behavior</w:t>
      </w:r>
    </w:p>
    <w:p>
      <w:pPr>
        <w:pStyle w:val="ListBullet"/>
        <w:spacing w:after="80"/>
        <w:ind w:left="540" w:hanging="271"/>
      </w:pPr>
      <w:r>
        <w:rPr>
          <w:rFonts w:ascii="Calibri" w:hAnsi="Calibri"/>
          <w:sz w:val="22"/>
        </w:rPr>
        <w:t>Show only Bulk Village work orders assigned to the logged-in staff member through the staff member's parent TPI.</w:t>
      </w:r>
    </w:p>
    <w:p>
      <w:pPr>
        <w:pStyle w:val="ListBullet"/>
        <w:spacing w:after="80"/>
        <w:ind w:left="540" w:hanging="271"/>
      </w:pPr>
      <w:r>
        <w:rPr>
          <w:rFonts w:ascii="Calibri" w:hAnsi="Calibri"/>
          <w:sz w:val="22"/>
        </w:rPr>
        <w:t>Component list displays the eight snapshot components. TPI staff may open any component; do not enforce contractor component order.</w:t>
      </w:r>
    </w:p>
    <w:p>
      <w:pPr>
        <w:pStyle w:val="ListBullet"/>
        <w:spacing w:after="80"/>
        <w:ind w:left="540" w:hanging="271"/>
      </w:pPr>
      <w:r>
        <w:rPr>
          <w:rFonts w:ascii="Calibri" w:hAnsi="Calibri"/>
          <w:sz w:val="22"/>
        </w:rPr>
        <w:t>The capture/upload screen hides quantity and progress completely. It sends only Cloudinary URL, component/work-item identity, latitude, longitude, and timestamp to the new TPI reference endpoint.</w:t>
      </w:r>
    </w:p>
    <w:p>
      <w:pPr>
        <w:pStyle w:val="ListBullet"/>
        <w:spacing w:after="80"/>
        <w:ind w:left="540" w:hanging="271"/>
      </w:pPr>
      <w:r>
        <w:rPr>
          <w:rFonts w:ascii="Calibri" w:hAnsi="Calibri"/>
          <w:sz w:val="22"/>
        </w:rPr>
        <w:t>If the TPI has selected a reference photo for a component, show a read-only locked state and disable camera/upload. Explain that TPI must deselect before more evidence can be uploaded, unless contractor evidence has already been approved (then permanently locked).</w:t>
      </w:r>
    </w:p>
    <w:p>
      <w:pPr>
        <w:pStyle w:val="ListBullet"/>
        <w:spacing w:after="80"/>
        <w:ind w:left="540" w:hanging="271"/>
      </w:pPr>
      <w:r>
        <w:rPr>
          <w:rFonts w:ascii="Calibri" w:hAnsi="Calibri"/>
          <w:sz w:val="22"/>
        </w:rPr>
        <w:t>Show only the staff member's permitted reference-photo history if a gallery is provided; never show contractor evidence selection/approval controls.</w:t>
      </w:r>
    </w:p>
    <w:p>
      <w:pPr>
        <w:pStyle w:val="ListBullet"/>
        <w:spacing w:after="80"/>
        <w:ind w:left="540" w:hanging="271"/>
      </w:pPr>
      <w:r>
        <w:rPr>
          <w:rFonts w:ascii="Calibri" w:hAnsi="Calibri"/>
          <w:sz w:val="22"/>
        </w:rPr>
        <w:t>Maintain the existing photo privacy/error behavior. Failed Cloudinary upload must not create backend reference-photo metadata; failed metadata save should communicate recoverable retry state.</w:t>
      </w:r>
    </w:p>
    <w:p>
      <w:pPr>
        <w:pStyle w:val="Heading2"/>
      </w:pPr>
      <w:r>
        <w:rPr>
          <w:rFonts w:ascii="Calibri" w:hAnsi="Calibri"/>
          <w:b/>
          <w:color w:val="2E74B5"/>
          <w:sz w:val="26"/>
        </w:rPr>
        <w:t>7.4 Mobile acceptance checks</w:t>
      </w:r>
    </w:p>
    <w:p>
      <w:pPr>
        <w:pStyle w:val="ListBullet"/>
        <w:spacing w:after="60"/>
        <w:ind w:left="540" w:hanging="271"/>
      </w:pPr>
      <w:r>
        <w:rPr>
          <w:rFonts w:ascii="Calibri" w:hAnsi="Calibri"/>
          <w:sz w:val="21"/>
        </w:rPr>
        <w:t>☐ EM path still uploads a progress photo and cannot exceed/invert progress.</w:t>
      </w:r>
    </w:p>
    <w:p>
      <w:pPr>
        <w:pStyle w:val="ListBullet"/>
        <w:spacing w:after="60"/>
        <w:ind w:left="540" w:hanging="271"/>
      </w:pPr>
      <w:r>
        <w:rPr>
          <w:rFonts w:ascii="Calibri" w:hAnsi="Calibri"/>
          <w:sz w:val="21"/>
        </w:rPr>
        <w:t>☐ TPI_STAFF path never renders a progress field and payload contains no progress.</w:t>
      </w:r>
    </w:p>
    <w:p>
      <w:pPr>
        <w:pStyle w:val="ListBullet"/>
        <w:spacing w:after="60"/>
        <w:ind w:left="540" w:hanging="271"/>
      </w:pPr>
      <w:r>
        <w:rPr>
          <w:rFonts w:ascii="Calibri" w:hAnsi="Calibri"/>
          <w:sz w:val="21"/>
        </w:rPr>
        <w:t>☐ TPI_STAFF cannot open an SVS work order by deep link or forged ID.</w:t>
      </w:r>
    </w:p>
    <w:p>
      <w:pPr>
        <w:pStyle w:val="ListBullet"/>
        <w:spacing w:after="60"/>
        <w:ind w:left="540" w:hanging="271"/>
      </w:pPr>
      <w:r>
        <w:rPr>
          <w:rFonts w:ascii="Calibri" w:hAnsi="Calibri"/>
          <w:sz w:val="21"/>
        </w:rPr>
        <w:t>☐ TPI_STAFF can upload to a later component even if earlier components are not approved.</w:t>
      </w:r>
    </w:p>
    <w:p>
      <w:pPr>
        <w:pStyle w:val="ListBullet"/>
        <w:spacing w:after="60"/>
        <w:ind w:left="540" w:hanging="271"/>
      </w:pPr>
      <w:r>
        <w:rPr>
          <w:rFonts w:ascii="Calibri" w:hAnsi="Calibri"/>
          <w:sz w:val="21"/>
        </w:rPr>
        <w:t>☐ TPI_STAFF upload is denied after TPI selection; deselection re-enables upload only before contractor approval.</w:t>
      </w:r>
    </w:p>
    <w:p>
      <w:pPr>
        <w:pStyle w:val="ListBullet"/>
        <w:spacing w:after="60"/>
        <w:ind w:left="540" w:hanging="271"/>
      </w:pPr>
      <w:r>
        <w:rPr>
          <w:rFonts w:ascii="Calibri" w:hAnsi="Calibri"/>
          <w:sz w:val="21"/>
        </w:rPr>
        <w:t>☐ Inactive TPI or staff receives an authentication/authorization failure and is returned safely to login.</w:t>
      </w:r>
    </w:p>
    <w:p>
      <w:pPr>
        <w:pStyle w:val="Heading1"/>
      </w:pPr>
      <w:r>
        <w:rPr>
          <w:rFonts w:ascii="Calibri" w:hAnsi="Calibri"/>
          <w:b/>
          <w:color w:val="2E74B5"/>
          <w:sz w:val="32"/>
        </w:rPr>
        <w:t>8. Component-template design</w:t>
      </w:r>
    </w:p>
    <w:p>
      <w:pPr/>
      <w:r>
        <w:rPr>
          <w:rFonts w:ascii="Calibri" w:hAnsi="Calibri"/>
          <w:sz w:val="22"/>
        </w:rPr>
        <w:t>Component definitions must be data, not constants. Seed two template families. Snapshot their values onto work-item components at work-order creation so edits later do not change completed or in-progress work orders.</w:t>
      </w:r>
    </w:p>
    <w:tbl>
      <w:tblPr>
        <w:tblW w:type="dxa" w:w="9360"/>
        <w:jc w:val="left"/>
        <w:tblLayout w:type="fixed"/>
        <w:tblLook w:firstColumn="1" w:firstRow="1" w:lastColumn="0" w:lastRow="0" w:noHBand="0" w:noVBand="1" w:val="04A0"/>
        <w:tblInd w:w="120" w:type="dxa"/>
      </w:tblPr>
      <w:tblGrid>
        <w:gridCol w:w="1350"/>
        <w:gridCol w:w="1000"/>
        <w:gridCol w:w="3650"/>
        <w:gridCol w:w="3360"/>
      </w:tblGrid>
      <w:tr>
        <w:tc>
          <w:tcPr>
            <w:tcW w:type="dxa" w:w="1350"/>
            <w:tcMar>
              <w:top w:w="80" w:type="dxa"/>
              <w:start w:w="120" w:type="dxa"/>
              <w:bottom w:w="80" w:type="dxa"/>
              <w:end w:w="120" w:type="dxa"/>
            </w:tcMar>
            <w:vAlign w:val="center"/>
            <w:shd w:fill="E8EEF5"/>
          </w:tcPr>
          <w:p>
            <w:pPr>
              <w:spacing w:after="0"/>
            </w:pPr>
            <w:r>
              <w:rPr>
                <w:rFonts w:ascii="Calibri" w:hAnsi="Calibri"/>
                <w:b/>
                <w:color w:val="0B2545"/>
                <w:sz w:val="19"/>
              </w:rPr>
              <w:t>Type</w:t>
            </w:r>
          </w:p>
        </w:tc>
        <w:tc>
          <w:tcPr>
            <w:tcW w:type="dxa" w:w="1000"/>
            <w:tcMar>
              <w:top w:w="80" w:type="dxa"/>
              <w:start w:w="120" w:type="dxa"/>
              <w:bottom w:w="80" w:type="dxa"/>
              <w:end w:w="120" w:type="dxa"/>
            </w:tcMar>
            <w:vAlign w:val="center"/>
            <w:shd w:fill="E8EEF5"/>
          </w:tcPr>
          <w:p>
            <w:pPr>
              <w:spacing w:after="0"/>
            </w:pPr>
            <w:r>
              <w:rPr>
                <w:rFonts w:ascii="Calibri" w:hAnsi="Calibri"/>
                <w:b/>
                <w:color w:val="0B2545"/>
                <w:sz w:val="19"/>
              </w:rPr>
              <w:t>Seed count</w:t>
            </w:r>
          </w:p>
        </w:tc>
        <w:tc>
          <w:tcPr>
            <w:tcW w:type="dxa" w:w="3650"/>
            <w:tcMar>
              <w:top w:w="80" w:type="dxa"/>
              <w:start w:w="120" w:type="dxa"/>
              <w:bottom w:w="80" w:type="dxa"/>
              <w:end w:w="120" w:type="dxa"/>
            </w:tcMar>
            <w:vAlign w:val="center"/>
            <w:shd w:fill="E8EEF5"/>
          </w:tcPr>
          <w:p>
            <w:pPr>
              <w:spacing w:after="0"/>
            </w:pPr>
            <w:r>
              <w:rPr>
                <w:rFonts w:ascii="Calibri" w:hAnsi="Calibri"/>
                <w:b/>
                <w:color w:val="0B2545"/>
                <w:sz w:val="19"/>
              </w:rPr>
              <w:t>Seed strategy</w:t>
            </w:r>
          </w:p>
        </w:tc>
        <w:tc>
          <w:tcPr>
            <w:tcW w:type="dxa" w:w="3360"/>
            <w:tcMar>
              <w:top w:w="80" w:type="dxa"/>
              <w:start w:w="120" w:type="dxa"/>
              <w:bottom w:w="80" w:type="dxa"/>
              <w:end w:w="120" w:type="dxa"/>
            </w:tcMar>
            <w:vAlign w:val="center"/>
            <w:shd w:fill="E8EEF5"/>
          </w:tcPr>
          <w:p>
            <w:pPr>
              <w:spacing w:after="0"/>
            </w:pPr>
            <w:r>
              <w:rPr>
                <w:rFonts w:ascii="Calibri" w:hAnsi="Calibri"/>
                <w:b/>
                <w:color w:val="0B2545"/>
                <w:sz w:val="19"/>
              </w:rPr>
              <w:t>Future editing rule</w:t>
            </w:r>
          </w:p>
        </w:tc>
      </w:tr>
      <w:tr>
        <w:tc>
          <w:tcPr>
            <w:tcW w:type="dxa" w:w="1350"/>
          </w:tcPr>
          <w:p>
            <w:pPr>
              <w:spacing w:after="0"/>
            </w:pPr>
            <w:r>
              <w:rPr>
                <w:rFonts w:ascii="Calibri" w:hAnsi="Calibri"/>
                <w:sz w:val="18"/>
              </w:rPr>
              <w:t>SVS</w:t>
            </w:r>
          </w:p>
        </w:tc>
        <w:tc>
          <w:tcPr>
            <w:tcW w:type="dxa" w:w="1000"/>
          </w:tcPr>
          <w:p>
            <w:pPr>
              <w:spacing w:after="0"/>
            </w:pPr>
            <w:r>
              <w:rPr>
                <w:rFonts w:ascii="Calibri" w:hAnsi="Calibri"/>
                <w:sz w:val="18"/>
              </w:rPr>
              <w:t>12</w:t>
            </w:r>
          </w:p>
        </w:tc>
        <w:tc>
          <w:tcPr>
            <w:tcW w:type="dxa" w:w="3650"/>
          </w:tcPr>
          <w:p>
            <w:pPr>
              <w:spacing w:after="0"/>
            </w:pPr>
            <w:r>
              <w:rPr>
                <w:rFonts w:ascii="Calibri" w:hAnsi="Calibri"/>
                <w:sz w:val="18"/>
              </w:rPr>
              <w:t>Migrate existing current templates: Supply &amp; Installation of Submersible Pump; Pumping Mains; OHT; Chlorinator; Distribution Network; FHTC; Electricity Charge For Power Connection; Boundary Wall; Sump Well; Switch Room; Chlorinator Room; Survey and DPR.</w:t>
            </w:r>
          </w:p>
        </w:tc>
        <w:tc>
          <w:tcPr>
            <w:tcW w:type="dxa" w:w="3360"/>
          </w:tcPr>
          <w:p>
            <w:pPr>
              <w:spacing w:after="0"/>
            </w:pPr>
            <w:r>
              <w:rPr>
                <w:rFonts w:ascii="Calibri" w:hAnsi="Calibri"/>
                <w:sz w:val="18"/>
              </w:rPr>
              <w:t>Future changes only affect newly created SVS work orders unless explicit per-work-order migration is approved.</w:t>
            </w:r>
          </w:p>
        </w:tc>
      </w:tr>
      <w:tr>
        <w:tc>
          <w:tcPr>
            <w:tcW w:type="dxa" w:w="1350"/>
          </w:tcPr>
          <w:p>
            <w:pPr>
              <w:spacing w:after="0"/>
            </w:pPr>
            <w:r>
              <w:rPr>
                <w:rFonts w:ascii="Calibri" w:hAnsi="Calibri"/>
                <w:sz w:val="18"/>
              </w:rPr>
              <w:t>BULK_VILLAGE</w:t>
            </w:r>
          </w:p>
        </w:tc>
        <w:tc>
          <w:tcPr>
            <w:tcW w:type="dxa" w:w="1000"/>
          </w:tcPr>
          <w:p>
            <w:pPr>
              <w:spacing w:after="0"/>
            </w:pPr>
            <w:r>
              <w:rPr>
                <w:rFonts w:ascii="Calibri" w:hAnsi="Calibri"/>
                <w:sz w:val="18"/>
              </w:rPr>
              <w:t>8</w:t>
            </w:r>
          </w:p>
        </w:tc>
        <w:tc>
          <w:tcPr>
            <w:tcW w:type="dxa" w:w="3650"/>
          </w:tcPr>
          <w:p>
            <w:pPr>
              <w:spacing w:after="0"/>
            </w:pPr>
            <w:r>
              <w:rPr>
                <w:rFonts w:ascii="Calibri" w:hAnsi="Calibri"/>
                <w:sz w:val="18"/>
              </w:rPr>
              <w:t>Seed eight placeholders named `Inspection: &lt;ANY Existing component name&gt;` with unit/order. Use distinct existing names for auditability; product owner replaces them later.</w:t>
            </w:r>
          </w:p>
        </w:tc>
        <w:tc>
          <w:tcPr>
            <w:tcW w:type="dxa" w:w="3360"/>
          </w:tcPr>
          <w:p>
            <w:pPr>
              <w:spacing w:after="0"/>
            </w:pPr>
            <w:r>
              <w:rPr>
                <w:rFonts w:ascii="Calibri" w:hAnsi="Calibri"/>
                <w:sz w:val="18"/>
              </w:rPr>
              <w:t>Same snapshot rule. Changes to count/name/order/unit are template-version changes, never retroactive global edits.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color w:val="9B1C1C"/>
                <w:sz w:val="21"/>
              </w:rPr>
              <w:t xml:space="preserve">IMPLEMENTATION DETAIL: </w:t>
            </w:r>
            <w:r>
              <w:rPr>
                <w:rFonts w:ascii="Calibri" w:hAnsi="Calibri"/>
                <w:sz w:val="21"/>
              </w:rPr>
              <w:t>The current global `Component` entity has a unique `order_number`, which cannot represent order 1 in both SVS and Bulk Village. Change uniqueness to `(work_order_type, order_number)` or use a new template entity. Do not retain the global unique order constraint.</w:t>
            </w:r>
          </w:p>
        </w:tc>
      </w:tr>
    </w:tbl>
    <w:p>
      <w:pPr>
        <w:spacing w:after="40"/>
      </w:pPr>
    </w:p>
    <w:p>
      <w:pPr>
        <w:pStyle w:val="Heading1"/>
      </w:pPr>
      <w:r>
        <w:rPr>
          <w:rFonts w:ascii="Calibri" w:hAnsi="Calibri"/>
          <w:b/>
          <w:color w:val="2E74B5"/>
          <w:sz w:val="32"/>
        </w:rPr>
        <w:t>9. Validation, security, and integrity rules</w:t>
      </w:r>
    </w:p>
    <w:tbl>
      <w:tblPr>
        <w:tblW w:type="dxa" w:w="9360"/>
        <w:jc w:val="left"/>
        <w:tblLayout w:type="fixed"/>
        <w:tblLook w:firstColumn="1" w:firstRow="1" w:lastColumn="0" w:lastRow="0" w:noHBand="0" w:noVBand="1" w:val="04A0"/>
        <w:tblInd w:w="120" w:type="dxa"/>
      </w:tblPr>
      <w:tblGrid>
        <w:gridCol w:w="2600"/>
        <w:gridCol w:w="3500"/>
        <w:gridCol w:w="3260"/>
      </w:tblGrid>
      <w:tr>
        <w:tc>
          <w:tcPr>
            <w:tcW w:type="dxa" w:w="2600"/>
            <w:tcMar>
              <w:top w:w="80" w:type="dxa"/>
              <w:start w:w="120" w:type="dxa"/>
              <w:bottom w:w="80" w:type="dxa"/>
              <w:end w:w="120" w:type="dxa"/>
            </w:tcMar>
            <w:vAlign w:val="center"/>
            <w:shd w:fill="E8EEF5"/>
          </w:tcPr>
          <w:p>
            <w:pPr>
              <w:spacing w:after="0"/>
            </w:pPr>
            <w:r>
              <w:rPr>
                <w:rFonts w:ascii="Calibri" w:hAnsi="Calibri"/>
                <w:b/>
                <w:color w:val="0B2545"/>
                <w:sz w:val="19"/>
              </w:rPr>
              <w:t>Rule</w:t>
            </w:r>
          </w:p>
        </w:tc>
        <w:tc>
          <w:tcPr>
            <w:tcW w:type="dxa" w:w="3500"/>
            <w:tcMar>
              <w:top w:w="80" w:type="dxa"/>
              <w:start w:w="120" w:type="dxa"/>
              <w:bottom w:w="80" w:type="dxa"/>
              <w:end w:w="120" w:type="dxa"/>
            </w:tcMar>
            <w:vAlign w:val="center"/>
            <w:shd w:fill="E8EEF5"/>
          </w:tcPr>
          <w:p>
            <w:pPr>
              <w:spacing w:after="0"/>
            </w:pPr>
            <w:r>
              <w:rPr>
                <w:rFonts w:ascii="Calibri" w:hAnsi="Calibri"/>
                <w:b/>
                <w:color w:val="0B2545"/>
                <w:sz w:val="19"/>
              </w:rPr>
              <w:t>Enforce at</w:t>
            </w:r>
          </w:p>
        </w:tc>
        <w:tc>
          <w:tcPr>
            <w:tcW w:type="dxa" w:w="3260"/>
            <w:tcMar>
              <w:top w:w="80" w:type="dxa"/>
              <w:start w:w="120" w:type="dxa"/>
              <w:bottom w:w="80" w:type="dxa"/>
              <w:end w:w="120" w:type="dxa"/>
            </w:tcMar>
            <w:vAlign w:val="center"/>
            <w:shd w:fill="E8EEF5"/>
          </w:tcPr>
          <w:p>
            <w:pPr>
              <w:spacing w:after="0"/>
            </w:pPr>
            <w:r>
              <w:rPr>
                <w:rFonts w:ascii="Calibri" w:hAnsi="Calibri"/>
                <w:b/>
                <w:color w:val="0B2545"/>
                <w:sz w:val="19"/>
              </w:rPr>
              <w:t>Failure response</w:t>
            </w:r>
          </w:p>
        </w:tc>
      </w:tr>
      <w:tr>
        <w:tc>
          <w:tcPr>
            <w:tcW w:type="dxa" w:w="2600"/>
          </w:tcPr>
          <w:p>
            <w:pPr>
              <w:spacing w:after="0"/>
            </w:pPr>
            <w:r>
              <w:rPr>
                <w:rFonts w:ascii="Calibri" w:hAnsi="Calibri"/>
                <w:sz w:val="18"/>
              </w:rPr>
              <w:t>SVS cannot have TPI assignment.</w:t>
            </w:r>
          </w:p>
        </w:tc>
        <w:tc>
          <w:tcPr>
            <w:tcW w:type="dxa" w:w="3500"/>
          </w:tcPr>
          <w:p>
            <w:pPr>
              <w:spacing w:after="0"/>
            </w:pPr>
            <w:r>
              <w:rPr>
                <w:rFonts w:ascii="Calibri" w:hAnsi="Calibri"/>
                <w:sz w:val="18"/>
              </w:rPr>
              <w:t>Service transaction + DTO/API.</w:t>
            </w:r>
          </w:p>
        </w:tc>
        <w:tc>
          <w:tcPr>
            <w:tcW w:type="dxa" w:w="3260"/>
          </w:tcPr>
          <w:p>
            <w:pPr>
              <w:spacing w:after="0"/>
            </w:pPr>
            <w:r>
              <w:rPr>
                <w:rFonts w:ascii="Calibri" w:hAnsi="Calibri"/>
                <w:sz w:val="18"/>
              </w:rPr>
              <w:t>400 Bad Request.</w:t>
            </w:r>
          </w:p>
        </w:tc>
      </w:tr>
      <w:tr>
        <w:tc>
          <w:tcPr>
            <w:tcW w:type="dxa" w:w="2600"/>
          </w:tcPr>
          <w:p>
            <w:pPr>
              <w:spacing w:after="0"/>
            </w:pPr>
            <w:r>
              <w:rPr>
                <w:rFonts w:ascii="Calibri" w:hAnsi="Calibri"/>
                <w:sz w:val="18"/>
              </w:rPr>
              <w:t>Only active Executive Engineer DO can access/mutate Bulk Village in own district.</w:t>
            </w:r>
          </w:p>
        </w:tc>
        <w:tc>
          <w:tcPr>
            <w:tcW w:type="dxa" w:w="3500"/>
          </w:tcPr>
          <w:p>
            <w:pPr>
              <w:spacing w:after="0"/>
            </w:pPr>
            <w:r>
              <w:rPr>
                <w:rFonts w:ascii="Calibri" w:hAnsi="Calibri"/>
                <w:sz w:val="18"/>
              </w:rPr>
              <w:t>Guard/service on every Bulk read and write.</w:t>
            </w:r>
          </w:p>
        </w:tc>
        <w:tc>
          <w:tcPr>
            <w:tcW w:type="dxa" w:w="3260"/>
          </w:tcPr>
          <w:p>
            <w:pPr>
              <w:spacing w:after="0"/>
            </w:pPr>
            <w:r>
              <w:rPr>
                <w:rFonts w:ascii="Calibri" w:hAnsi="Calibri"/>
                <w:sz w:val="18"/>
              </w:rPr>
              <w:t>403 Forbidden; dashboard exits mode.</w:t>
            </w:r>
          </w:p>
        </w:tc>
      </w:tr>
      <w:tr>
        <w:tc>
          <w:tcPr>
            <w:tcW w:type="dxa" w:w="2600"/>
          </w:tcPr>
          <w:p>
            <w:pPr>
              <w:spacing w:after="0"/>
            </w:pPr>
            <w:r>
              <w:rPr>
                <w:rFonts w:ascii="Calibri" w:hAnsi="Calibri"/>
                <w:sz w:val="18"/>
              </w:rPr>
              <w:t>One active TPI per district.</w:t>
            </w:r>
          </w:p>
        </w:tc>
        <w:tc>
          <w:tcPr>
            <w:tcW w:type="dxa" w:w="3500"/>
          </w:tcPr>
          <w:p>
            <w:pPr>
              <w:spacing w:after="0"/>
            </w:pPr>
            <w:r>
              <w:rPr>
                <w:rFonts w:ascii="Calibri" w:hAnsi="Calibri"/>
                <w:sz w:val="18"/>
              </w:rPr>
              <w:t>TPI creation/activation/district transfer transaction.</w:t>
            </w:r>
          </w:p>
        </w:tc>
        <w:tc>
          <w:tcPr>
            <w:tcW w:type="dxa" w:w="3260"/>
          </w:tcPr>
          <w:p>
            <w:pPr>
              <w:spacing w:after="0"/>
            </w:pPr>
            <w:r>
              <w:rPr>
                <w:rFonts w:ascii="Calibri" w:hAnsi="Calibri"/>
                <w:sz w:val="18"/>
              </w:rPr>
              <w:t>409 Conflict with clear district message.</w:t>
            </w:r>
          </w:p>
        </w:tc>
      </w:tr>
      <w:tr>
        <w:tc>
          <w:tcPr>
            <w:tcW w:type="dxa" w:w="2600"/>
          </w:tcPr>
          <w:p>
            <w:pPr>
              <w:spacing w:after="0"/>
            </w:pPr>
            <w:r>
              <w:rPr>
                <w:rFonts w:ascii="Calibri" w:hAnsi="Calibri"/>
                <w:sz w:val="18"/>
              </w:rPr>
              <w:t>TPI assignment must use active TPI in work order district.</w:t>
            </w:r>
          </w:p>
        </w:tc>
        <w:tc>
          <w:tcPr>
            <w:tcW w:type="dxa" w:w="3500"/>
          </w:tcPr>
          <w:p>
            <w:pPr>
              <w:spacing w:after="0"/>
            </w:pPr>
            <w:r>
              <w:rPr>
                <w:rFonts w:ascii="Calibri" w:hAnsi="Calibri"/>
                <w:sz w:val="18"/>
              </w:rPr>
              <w:t>Assign/change TPI service.</w:t>
            </w:r>
          </w:p>
        </w:tc>
        <w:tc>
          <w:tcPr>
            <w:tcW w:type="dxa" w:w="3260"/>
          </w:tcPr>
          <w:p>
            <w:pPr>
              <w:spacing w:after="0"/>
            </w:pPr>
            <w:r>
              <w:rPr>
                <w:rFonts w:ascii="Calibri" w:hAnsi="Calibri"/>
                <w:sz w:val="18"/>
              </w:rPr>
              <w:t>400/409; no picker fallback.</w:t>
            </w:r>
          </w:p>
        </w:tc>
      </w:tr>
      <w:tr>
        <w:tc>
          <w:tcPr>
            <w:tcW w:type="dxa" w:w="2600"/>
          </w:tcPr>
          <w:p>
            <w:pPr>
              <w:spacing w:after="0"/>
            </w:pPr>
            <w:r>
              <w:rPr>
                <w:rFonts w:ascii="Calibri" w:hAnsi="Calibri"/>
                <w:sz w:val="18"/>
              </w:rPr>
              <w:t>TPI staff belongs to exactly one TPI.</w:t>
            </w:r>
          </w:p>
        </w:tc>
        <w:tc>
          <w:tcPr>
            <w:tcW w:type="dxa" w:w="3500"/>
          </w:tcPr>
          <w:p>
            <w:pPr>
              <w:spacing w:after="0"/>
            </w:pPr>
            <w:r>
              <w:rPr>
                <w:rFonts w:ascii="Calibri" w:hAnsi="Calibri"/>
                <w:sz w:val="18"/>
              </w:rPr>
              <w:t>Create/staff relationship service.</w:t>
            </w:r>
          </w:p>
        </w:tc>
        <w:tc>
          <w:tcPr>
            <w:tcW w:type="dxa" w:w="3260"/>
          </w:tcPr>
          <w:p>
            <w:pPr>
              <w:spacing w:after="0"/>
            </w:pPr>
            <w:r>
              <w:rPr>
                <w:rFonts w:ascii="Calibri" w:hAnsi="Calibri"/>
                <w:sz w:val="18"/>
              </w:rPr>
              <w:t>409 Conflict.</w:t>
            </w:r>
          </w:p>
        </w:tc>
      </w:tr>
      <w:tr>
        <w:tc>
          <w:tcPr>
            <w:tcW w:type="dxa" w:w="2600"/>
          </w:tcPr>
          <w:p>
            <w:pPr>
              <w:spacing w:after="0"/>
            </w:pPr>
            <w:r>
              <w:rPr>
                <w:rFonts w:ascii="Calibri" w:hAnsi="Calibri"/>
                <w:sz w:val="18"/>
              </w:rPr>
              <w:t>TPI staff assignment must match work order's assigned TPI.</w:t>
            </w:r>
          </w:p>
        </w:tc>
        <w:tc>
          <w:tcPr>
            <w:tcW w:type="dxa" w:w="3500"/>
          </w:tcPr>
          <w:p>
            <w:pPr>
              <w:spacing w:after="0"/>
            </w:pPr>
            <w:r>
              <w:rPr>
                <w:rFonts w:ascii="Calibri" w:hAnsi="Calibri"/>
                <w:sz w:val="18"/>
              </w:rPr>
              <w:t>Staff work-order assignment service.</w:t>
            </w:r>
          </w:p>
        </w:tc>
        <w:tc>
          <w:tcPr>
            <w:tcW w:type="dxa" w:w="3260"/>
          </w:tcPr>
          <w:p>
            <w:pPr>
              <w:spacing w:after="0"/>
            </w:pPr>
            <w:r>
              <w:rPr>
                <w:rFonts w:ascii="Calibri" w:hAnsi="Calibri"/>
                <w:sz w:val="18"/>
              </w:rPr>
              <w:t>403/400.</w:t>
            </w:r>
          </w:p>
        </w:tc>
      </w:tr>
      <w:tr>
        <w:tc>
          <w:tcPr>
            <w:tcW w:type="dxa" w:w="2600"/>
          </w:tcPr>
          <w:p>
            <w:pPr>
              <w:spacing w:after="0"/>
            </w:pPr>
            <w:r>
              <w:rPr>
                <w:rFonts w:ascii="Calibri" w:hAnsi="Calibri"/>
                <w:sz w:val="18"/>
              </w:rPr>
              <w:t>TPI photo no progress/no contractor status update.</w:t>
            </w:r>
          </w:p>
        </w:tc>
        <w:tc>
          <w:tcPr>
            <w:tcW w:type="dxa" w:w="3500"/>
          </w:tcPr>
          <w:p>
            <w:pPr>
              <w:spacing w:after="0"/>
            </w:pPr>
            <w:r>
              <w:rPr>
                <w:rFonts w:ascii="Calibri" w:hAnsi="Calibri"/>
                <w:sz w:val="18"/>
              </w:rPr>
              <w:t>Dedicated DTO/service.</w:t>
            </w:r>
          </w:p>
        </w:tc>
        <w:tc>
          <w:tcPr>
            <w:tcW w:type="dxa" w:w="3260"/>
          </w:tcPr>
          <w:p>
            <w:pPr>
              <w:spacing w:after="0"/>
            </w:pPr>
            <w:r>
              <w:rPr>
                <w:rFonts w:ascii="Calibri" w:hAnsi="Calibri"/>
                <w:sz w:val="18"/>
              </w:rPr>
              <w:t>Whitelist rejects progress; no component progress mutation.</w:t>
            </w:r>
          </w:p>
        </w:tc>
      </w:tr>
      <w:tr>
        <w:tc>
          <w:tcPr>
            <w:tcW w:type="dxa" w:w="2600"/>
          </w:tcPr>
          <w:p>
            <w:pPr>
              <w:spacing w:after="0"/>
            </w:pPr>
            <w:r>
              <w:rPr>
                <w:rFonts w:ascii="Calibri" w:hAnsi="Calibri"/>
                <w:sz w:val="18"/>
              </w:rPr>
              <w:t>One selected TPI reference photo per component.</w:t>
            </w:r>
          </w:p>
        </w:tc>
        <w:tc>
          <w:tcPr>
            <w:tcW w:type="dxa" w:w="3500"/>
          </w:tcPr>
          <w:p>
            <w:pPr>
              <w:spacing w:after="0"/>
            </w:pPr>
            <w:r>
              <w:rPr>
                <w:rFonts w:ascii="Calibri" w:hAnsi="Calibri"/>
                <w:sz w:val="18"/>
              </w:rPr>
              <w:t>Transactional select/deselect.</w:t>
            </w:r>
          </w:p>
        </w:tc>
        <w:tc>
          <w:tcPr>
            <w:tcW w:type="dxa" w:w="3260"/>
          </w:tcPr>
          <w:p>
            <w:pPr>
              <w:spacing w:after="0"/>
            </w:pPr>
            <w:r>
              <w:rPr>
                <w:rFonts w:ascii="Calibri" w:hAnsi="Calibri"/>
                <w:sz w:val="18"/>
              </w:rPr>
              <w:t>409/400; do not permit races.</w:t>
            </w:r>
          </w:p>
        </w:tc>
      </w:tr>
      <w:tr>
        <w:tc>
          <w:tcPr>
            <w:tcW w:type="dxa" w:w="2600"/>
          </w:tcPr>
          <w:p>
            <w:pPr>
              <w:spacing w:after="0"/>
            </w:pPr>
            <w:r>
              <w:rPr>
                <w:rFonts w:ascii="Calibri" w:hAnsi="Calibri"/>
                <w:sz w:val="18"/>
              </w:rPr>
              <w:t>TPI reference lock after contractor approval.</w:t>
            </w:r>
          </w:p>
        </w:tc>
        <w:tc>
          <w:tcPr>
            <w:tcW w:type="dxa" w:w="3500"/>
          </w:tcPr>
          <w:p>
            <w:pPr>
              <w:spacing w:after="0"/>
            </w:pPr>
            <w:r>
              <w:rPr>
                <w:rFonts w:ascii="Calibri" w:hAnsi="Calibri"/>
                <w:sz w:val="18"/>
              </w:rPr>
              <w:t>Upload/select/deselect service checks.</w:t>
            </w:r>
          </w:p>
        </w:tc>
        <w:tc>
          <w:tcPr>
            <w:tcW w:type="dxa" w:w="3260"/>
          </w:tcPr>
          <w:p>
            <w:pPr>
              <w:spacing w:after="0"/>
            </w:pPr>
            <w:r>
              <w:rPr>
                <w:rFonts w:ascii="Calibri" w:hAnsi="Calibri"/>
                <w:sz w:val="18"/>
              </w:rPr>
              <w:t>400 Bad Request.</w:t>
            </w:r>
          </w:p>
        </w:tc>
      </w:tr>
      <w:tr>
        <w:tc>
          <w:tcPr>
            <w:tcW w:type="dxa" w:w="2600"/>
          </w:tcPr>
          <w:p>
            <w:pPr>
              <w:spacing w:after="0"/>
            </w:pPr>
            <w:r>
              <w:rPr>
                <w:rFonts w:ascii="Calibri" w:hAnsi="Calibri"/>
                <w:sz w:val="18"/>
              </w:rPr>
              <w:t>HO cannot view TPI image URLs.</w:t>
            </w:r>
          </w:p>
        </w:tc>
        <w:tc>
          <w:tcPr>
            <w:tcW w:type="dxa" w:w="3500"/>
          </w:tcPr>
          <w:p>
            <w:pPr>
              <w:spacing w:after="0"/>
            </w:pPr>
            <w:r>
              <w:rPr>
                <w:rFonts w:ascii="Calibri" w:hAnsi="Calibri"/>
                <w:sz w:val="18"/>
              </w:rPr>
              <w:t>Dedicated DTO/query projection, not only UI.</w:t>
            </w:r>
          </w:p>
        </w:tc>
        <w:tc>
          <w:tcPr>
            <w:tcW w:type="dxa" w:w="3260"/>
          </w:tcPr>
          <w:p>
            <w:pPr>
              <w:spacing w:after="0"/>
            </w:pPr>
            <w:r>
              <w:rPr>
                <w:rFonts w:ascii="Calibri" w:hAnsi="Calibri"/>
                <w:sz w:val="18"/>
              </w:rPr>
              <w:t>403 or redacted payload.</w:t>
            </w:r>
          </w:p>
        </w:tc>
      </w:tr>
      <w:tr>
        <w:tc>
          <w:tcPr>
            <w:tcW w:type="dxa" w:w="2600"/>
          </w:tcPr>
          <w:p>
            <w:pPr>
              <w:spacing w:after="0"/>
            </w:pPr>
            <w:r>
              <w:rPr>
                <w:rFonts w:ascii="Calibri" w:hAnsi="Calibri"/>
                <w:sz w:val="18"/>
              </w:rPr>
              <w:t>Inactive TPI disables staff access.</w:t>
            </w:r>
          </w:p>
        </w:tc>
        <w:tc>
          <w:tcPr>
            <w:tcW w:type="dxa" w:w="3500"/>
          </w:tcPr>
          <w:p>
            <w:pPr>
              <w:spacing w:after="0"/>
            </w:pPr>
            <w:r>
              <w:rPr>
                <w:rFonts w:ascii="Calibri" w:hAnsi="Calibri"/>
                <w:sz w:val="18"/>
              </w:rPr>
              <w:t>Auth validation and every protected request.</w:t>
            </w:r>
          </w:p>
        </w:tc>
        <w:tc>
          <w:tcPr>
            <w:tcW w:type="dxa" w:w="3260"/>
          </w:tcPr>
          <w:p>
            <w:pPr>
              <w:spacing w:after="0"/>
            </w:pPr>
            <w:r>
              <w:rPr>
                <w:rFonts w:ascii="Calibri" w:hAnsi="Calibri"/>
                <w:sz w:val="18"/>
              </w:rPr>
              <w:t>401/403 and clear client session.</w:t>
            </w:r>
          </w:p>
        </w:tc>
      </w:tr>
    </w:tbl>
    <w:p>
      <w:pPr>
        <w:spacing w:after="40"/>
      </w:pPr>
    </w:p>
    <w:p>
      <w:pPr>
        <w:pStyle w:val="ListBullet"/>
        <w:spacing w:after="80"/>
        <w:ind w:left="540" w:hanging="271"/>
      </w:pPr>
      <w:r>
        <w:rPr>
          <w:rFonts w:ascii="Calibri" w:hAnsi="Calibri"/>
          <w:sz w:val="22"/>
        </w:rPr>
        <w:t>Validate UUIDs, role/type combinations, district ownership, active status, pagination limits, MIME/size policy, and all optional fields with DTO validators.</w:t>
      </w:r>
    </w:p>
    <w:p>
      <w:pPr>
        <w:pStyle w:val="ListBullet"/>
        <w:spacing w:after="80"/>
        <w:ind w:left="540" w:hanging="271"/>
      </w:pPr>
      <w:r>
        <w:rPr>
          <w:rFonts w:ascii="Calibri" w:hAnsi="Calibri"/>
          <w:sz w:val="22"/>
        </w:rPr>
        <w:t>Use DTO response shaping so image URLs/metadata never escape to an unauthorized role through relations accidentally loaded by TypeORM.</w:t>
      </w:r>
    </w:p>
    <w:p>
      <w:pPr>
        <w:pStyle w:val="ListBullet"/>
        <w:spacing w:after="80"/>
        <w:ind w:left="540" w:hanging="271"/>
      </w:pPr>
      <w:r>
        <w:rPr>
          <w:rFonts w:ascii="Calibri" w:hAnsi="Calibri"/>
          <w:sz w:val="22"/>
        </w:rPr>
        <w:t>Add audit metadata for Executive Engineer TPI assignment/change/unassignment and preserve old assignment history even though the work item has one current TPI.</w:t>
      </w:r>
    </w:p>
    <w:p>
      <w:pPr>
        <w:pStyle w:val="ListBullet"/>
        <w:spacing w:after="80"/>
        <w:ind w:left="540" w:hanging="271"/>
      </w:pPr>
      <w:r>
        <w:rPr>
          <w:rFonts w:ascii="Calibri" w:hAnsi="Calibri"/>
          <w:sz w:val="22"/>
        </w:rPr>
        <w:t>Ensure indexes exist for work-order type/district/TPI, TPI district assignments, TPI staff relationships, staff work assignments, and component photo status lookups.</w:t>
      </w:r>
    </w:p>
    <w:p>
      <w:pPr>
        <w:pStyle w:val="Heading1"/>
      </w:pPr>
      <w:r>
        <w:rPr>
          <w:rFonts w:ascii="Calibri" w:hAnsi="Calibri"/>
          <w:b/>
          <w:color w:val="2E74B5"/>
          <w:sz w:val="32"/>
        </w:rPr>
        <w:t>10. Implementation sequence with gates</w:t>
      </w:r>
    </w:p>
    <w:tbl>
      <w:tblPr>
        <w:tblW w:type="dxa" w:w="9360"/>
        <w:jc w:val="left"/>
        <w:tblLayout w:type="fixed"/>
        <w:tblLook w:firstColumn="1" w:firstRow="1" w:lastColumn="0" w:lastRow="0" w:noHBand="0" w:noVBand="1" w:val="04A0"/>
        <w:tblInd w:w="120" w:type="dxa"/>
      </w:tblPr>
      <w:tblGrid>
        <w:gridCol w:w="1900"/>
        <w:gridCol w:w="4050"/>
        <w:gridCol w:w="3410"/>
      </w:tblGrid>
      <w:tr>
        <w:tc>
          <w:tcPr>
            <w:tcW w:type="dxa" w:w="1900"/>
            <w:tcMar>
              <w:top w:w="80" w:type="dxa"/>
              <w:start w:w="120" w:type="dxa"/>
              <w:bottom w:w="80" w:type="dxa"/>
              <w:end w:w="120" w:type="dxa"/>
            </w:tcMar>
            <w:vAlign w:val="center"/>
            <w:shd w:fill="E8EEF5"/>
          </w:tcPr>
          <w:p>
            <w:pPr>
              <w:spacing w:after="0"/>
            </w:pPr>
            <w:r>
              <w:rPr>
                <w:rFonts w:ascii="Calibri" w:hAnsi="Calibri"/>
                <w:b/>
                <w:color w:val="0B2545"/>
                <w:sz w:val="19"/>
              </w:rPr>
              <w:t>Phase</w:t>
            </w:r>
          </w:p>
        </w:tc>
        <w:tc>
          <w:tcPr>
            <w:tcW w:type="dxa" w:w="4050"/>
            <w:tcMar>
              <w:top w:w="80" w:type="dxa"/>
              <w:start w:w="120" w:type="dxa"/>
              <w:bottom w:w="80" w:type="dxa"/>
              <w:end w:w="120" w:type="dxa"/>
            </w:tcMar>
            <w:vAlign w:val="center"/>
            <w:shd w:fill="E8EEF5"/>
          </w:tcPr>
          <w:p>
            <w:pPr>
              <w:spacing w:after="0"/>
            </w:pPr>
            <w:r>
              <w:rPr>
                <w:rFonts w:ascii="Calibri" w:hAnsi="Calibri"/>
                <w:b/>
                <w:color w:val="0B2545"/>
                <w:sz w:val="19"/>
              </w:rPr>
              <w:t>Build scope</w:t>
            </w:r>
          </w:p>
        </w:tc>
        <w:tc>
          <w:tcPr>
            <w:tcW w:type="dxa" w:w="3410"/>
            <w:tcMar>
              <w:top w:w="80" w:type="dxa"/>
              <w:start w:w="120" w:type="dxa"/>
              <w:bottom w:w="80" w:type="dxa"/>
              <w:end w:w="120" w:type="dxa"/>
            </w:tcMar>
            <w:vAlign w:val="center"/>
            <w:shd w:fill="E8EEF5"/>
          </w:tcPr>
          <w:p>
            <w:pPr>
              <w:spacing w:after="0"/>
            </w:pPr>
            <w:r>
              <w:rPr>
                <w:rFonts w:ascii="Calibri" w:hAnsi="Calibri"/>
                <w:b/>
                <w:color w:val="0B2545"/>
                <w:sz w:val="19"/>
              </w:rPr>
              <w:t>Gate before proceeding</w:t>
            </w:r>
          </w:p>
        </w:tc>
      </w:tr>
      <w:tr>
        <w:tc>
          <w:tcPr>
            <w:tcW w:type="dxa" w:w="1900"/>
          </w:tcPr>
          <w:p>
            <w:pPr>
              <w:spacing w:after="0"/>
            </w:pPr>
            <w:r>
              <w:rPr>
                <w:rFonts w:ascii="Calibri" w:hAnsi="Calibri"/>
                <w:sz w:val="18"/>
              </w:rPr>
              <w:t>Phase 0 — preflight</w:t>
            </w:r>
          </w:p>
        </w:tc>
        <w:tc>
          <w:tcPr>
            <w:tcW w:type="dxa" w:w="4050"/>
          </w:tcPr>
          <w:p>
            <w:pPr>
              <w:spacing w:after="0"/>
            </w:pPr>
            <w:r>
              <w:rPr>
                <w:rFonts w:ascii="Calibri" w:hAnsi="Calibri"/>
                <w:sz w:val="18"/>
              </w:rPr>
              <w:t>Inspect current migrations, existing production data, role assumptions, current component seeding, and test coverage. Confirm one-active-DO policy and final placeholder selection.</w:t>
            </w:r>
          </w:p>
        </w:tc>
        <w:tc>
          <w:tcPr>
            <w:tcW w:type="dxa" w:w="3410"/>
          </w:tcPr>
          <w:p>
            <w:pPr>
              <w:spacing w:after="0"/>
            </w:pPr>
            <w:r>
              <w:rPr>
                <w:rFonts w:ascii="Calibri" w:hAnsi="Calibri"/>
                <w:sz w:val="18"/>
              </w:rPr>
              <w:t>No code yet. Produce data-impact checklist and verify no existing client relies on hard-coded role enum exhaustiveness.</w:t>
            </w:r>
          </w:p>
        </w:tc>
      </w:tr>
      <w:tr>
        <w:tc>
          <w:tcPr>
            <w:tcW w:type="dxa" w:w="1900"/>
          </w:tcPr>
          <w:p>
            <w:pPr>
              <w:spacing w:after="0"/>
            </w:pPr>
            <w:r>
              <w:rPr>
                <w:rFonts w:ascii="Calibri" w:hAnsi="Calibri"/>
                <w:sz w:val="18"/>
              </w:rPr>
              <w:t>Phase 1 — schema/model foundation</w:t>
            </w:r>
          </w:p>
        </w:tc>
        <w:tc>
          <w:tcPr>
            <w:tcW w:type="dxa" w:w="4050"/>
          </w:tcPr>
          <w:p>
            <w:pPr>
              <w:spacing w:after="0"/>
            </w:pPr>
            <w:r>
              <w:rPr>
                <w:rFonts w:ascii="Calibri" w:hAnsi="Calibri"/>
                <w:sz w:val="18"/>
              </w:rPr>
              <w:t>Add enums/entities/migration/indexes; backfill SVS; introduce type-aware component templates and snapshots.</w:t>
            </w:r>
          </w:p>
        </w:tc>
        <w:tc>
          <w:tcPr>
            <w:tcW w:type="dxa" w:w="3410"/>
          </w:tcPr>
          <w:p>
            <w:pPr>
              <w:spacing w:after="0"/>
            </w:pPr>
            <w:r>
              <w:rPr>
                <w:rFonts w:ascii="Calibri" w:hAnsi="Calibri"/>
                <w:sz w:val="18"/>
              </w:rPr>
              <w:t>Migration runs on clean and copied databases; existing records retain behavior; schema constraints/indexes verified.</w:t>
            </w:r>
          </w:p>
        </w:tc>
      </w:tr>
      <w:tr>
        <w:tc>
          <w:tcPr>
            <w:tcW w:type="dxa" w:w="1900"/>
          </w:tcPr>
          <w:p>
            <w:pPr>
              <w:spacing w:after="0"/>
            </w:pPr>
            <w:r>
              <w:rPr>
                <w:rFonts w:ascii="Calibri" w:hAnsi="Calibri"/>
                <w:sz w:val="18"/>
              </w:rPr>
              <w:t>Phase 2 — backend core</w:t>
            </w:r>
          </w:p>
        </w:tc>
        <w:tc>
          <w:tcPr>
            <w:tcW w:type="dxa" w:w="4050"/>
          </w:tcPr>
          <w:p>
            <w:pPr>
              <w:spacing w:after="0"/>
            </w:pPr>
            <w:r>
              <w:rPr>
                <w:rFonts w:ascii="Calibri" w:hAnsi="Calibri"/>
                <w:sz w:val="18"/>
              </w:rPr>
              <w:t>Implement role/active checks, mode filters, agreement derivation/compatibility, TPI CRUD, Executive Engineer update, TPI work assignment, TPI staff relationships/assignments.</w:t>
            </w:r>
          </w:p>
        </w:tc>
        <w:tc>
          <w:tcPr>
            <w:tcW w:type="dxa" w:w="3410"/>
          </w:tcPr>
          <w:p>
            <w:pPr>
              <w:spacing w:after="0"/>
            </w:pPr>
            <w:r>
              <w:rPr>
                <w:rFonts w:ascii="Calibri" w:hAnsi="Calibri"/>
                <w:sz w:val="18"/>
              </w:rPr>
              <w:t>Unit and integration tests cover every allow/deny matrix row before dashboard work starts.</w:t>
            </w:r>
          </w:p>
        </w:tc>
      </w:tr>
      <w:tr>
        <w:tc>
          <w:tcPr>
            <w:tcW w:type="dxa" w:w="1900"/>
          </w:tcPr>
          <w:p>
            <w:pPr>
              <w:spacing w:after="0"/>
            </w:pPr>
            <w:r>
              <w:rPr>
                <w:rFonts w:ascii="Calibri" w:hAnsi="Calibri"/>
                <w:sz w:val="18"/>
              </w:rPr>
              <w:t>Phase 3 — evidence APIs</w:t>
            </w:r>
          </w:p>
        </w:tc>
        <w:tc>
          <w:tcPr>
            <w:tcW w:type="dxa" w:w="4050"/>
          </w:tcPr>
          <w:p>
            <w:pPr>
              <w:spacing w:after="0"/>
            </w:pPr>
            <w:r>
              <w:rPr>
                <w:rFonts w:ascii="Calibri" w:hAnsi="Calibri"/>
                <w:sz w:val="18"/>
              </w:rPr>
              <w:t>Implement dedicated TPI reference upload/list/select/deselect endpoints and contractor-approval lock integration.</w:t>
            </w:r>
          </w:p>
        </w:tc>
        <w:tc>
          <w:tcPr>
            <w:tcW w:type="dxa" w:w="3410"/>
          </w:tcPr>
          <w:p>
            <w:pPr>
              <w:spacing w:after="0"/>
            </w:pPr>
            <w:r>
              <w:rPr>
                <w:rFonts w:ascii="Calibri" w:hAnsi="Calibri"/>
                <w:sz w:val="18"/>
              </w:rPr>
              <w:t>Concurrent selection test proves one selected reference; approval lock and HO redaction tests pass.</w:t>
            </w:r>
          </w:p>
        </w:tc>
      </w:tr>
      <w:tr>
        <w:tc>
          <w:tcPr>
            <w:tcW w:type="dxa" w:w="1900"/>
          </w:tcPr>
          <w:p>
            <w:pPr>
              <w:spacing w:after="0"/>
            </w:pPr>
            <w:r>
              <w:rPr>
                <w:rFonts w:ascii="Calibri" w:hAnsi="Calibri"/>
                <w:sz w:val="18"/>
              </w:rPr>
              <w:t>Phase 4 — dashboard mode and HO</w:t>
            </w:r>
          </w:p>
        </w:tc>
        <w:tc>
          <w:tcPr>
            <w:tcW w:type="dxa" w:w="4050"/>
          </w:tcPr>
          <w:p>
            <w:pPr>
              <w:spacing w:after="0"/>
            </w:pPr>
            <w:r>
              <w:rPr>
                <w:rFonts w:ascii="Calibri" w:hAnsi="Calibri"/>
                <w:sz w:val="18"/>
              </w:rPr>
              <w:t>Add mode context/switch, filters, DO Executive Engineer toggle, and TPI CRUD tab.</w:t>
            </w:r>
          </w:p>
        </w:tc>
        <w:tc>
          <w:tcPr>
            <w:tcW w:type="dxa" w:w="3410"/>
          </w:tcPr>
          <w:p>
            <w:pPr>
              <w:spacing w:after="0"/>
            </w:pPr>
            <w:r>
              <w:rPr>
                <w:rFonts w:ascii="Calibri" w:hAnsi="Calibri"/>
                <w:sz w:val="18"/>
              </w:rPr>
              <w:t>HO behavior tested in both modes; no type selector leaks into import/form; untyped agreement appears in both lists.</w:t>
            </w:r>
          </w:p>
        </w:tc>
      </w:tr>
      <w:tr>
        <w:tc>
          <w:tcPr>
            <w:tcW w:type="dxa" w:w="1900"/>
          </w:tcPr>
          <w:p>
            <w:pPr>
              <w:spacing w:after="0"/>
            </w:pPr>
            <w:r>
              <w:rPr>
                <w:rFonts w:ascii="Calibri" w:hAnsi="Calibri"/>
                <w:sz w:val="18"/>
              </w:rPr>
              <w:t>Phase 5 — DO/CO/TPI dashboard flows</w:t>
            </w:r>
          </w:p>
        </w:tc>
        <w:tc>
          <w:tcPr>
            <w:tcW w:type="dxa" w:w="4050"/>
          </w:tcPr>
          <w:p>
            <w:pPr>
              <w:spacing w:after="0"/>
            </w:pPr>
            <w:r>
              <w:rPr>
                <w:rFonts w:ascii="Calibri" w:hAnsi="Calibri"/>
                <w:sz w:val="18"/>
              </w:rPr>
              <w:t>Add Executive Engineer-only Bulk UI and TPI assignment; add TPI dashboard/staff management/review.</w:t>
            </w:r>
          </w:p>
        </w:tc>
        <w:tc>
          <w:tcPr>
            <w:tcW w:type="dxa" w:w="3410"/>
          </w:tcPr>
          <w:p>
            <w:pPr>
              <w:spacing w:after="0"/>
            </w:pPr>
            <w:r>
              <w:rPr>
                <w:rFonts w:ascii="Calibri" w:hAnsi="Calibri"/>
                <w:sz w:val="18"/>
              </w:rPr>
              <w:t>Normal DO cannot access Bulk routes; EE DO can assign only own district active TPI; TPI has no SVS data.</w:t>
            </w:r>
          </w:p>
        </w:tc>
      </w:tr>
      <w:tr>
        <w:tc>
          <w:tcPr>
            <w:tcW w:type="dxa" w:w="1900"/>
          </w:tcPr>
          <w:p>
            <w:pPr>
              <w:spacing w:after="0"/>
            </w:pPr>
            <w:r>
              <w:rPr>
                <w:rFonts w:ascii="Calibri" w:hAnsi="Calibri"/>
                <w:sz w:val="18"/>
              </w:rPr>
              <w:t>Phase 6 — mobile role flow</w:t>
            </w:r>
          </w:p>
        </w:tc>
        <w:tc>
          <w:tcPr>
            <w:tcW w:type="dxa" w:w="4050"/>
          </w:tcPr>
          <w:p>
            <w:pPr>
              <w:spacing w:after="0"/>
            </w:pPr>
            <w:r>
              <w:rPr>
                <w:rFonts w:ascii="Calibri" w:hAnsi="Calibri"/>
                <w:sz w:val="18"/>
              </w:rPr>
              <w:t>Add TPI_STAFF data/navigation/upload/lock states while regression-testing EM.</w:t>
            </w:r>
          </w:p>
        </w:tc>
        <w:tc>
          <w:tcPr>
            <w:tcW w:type="dxa" w:w="3410"/>
          </w:tcPr>
          <w:p>
            <w:pPr>
              <w:spacing w:after="0"/>
            </w:pPr>
            <w:r>
              <w:rPr>
                <w:rFonts w:ascii="Calibri" w:hAnsi="Calibri"/>
                <w:sz w:val="18"/>
              </w:rPr>
              <w:t>Payload and API authorization tests prove EM vs TPI_STAFF separation.</w:t>
            </w:r>
          </w:p>
        </w:tc>
      </w:tr>
      <w:tr>
        <w:tc>
          <w:tcPr>
            <w:tcW w:type="dxa" w:w="1900"/>
          </w:tcPr>
          <w:p>
            <w:pPr>
              <w:spacing w:after="0"/>
            </w:pPr>
            <w:r>
              <w:rPr>
                <w:rFonts w:ascii="Calibri" w:hAnsi="Calibri"/>
                <w:sz w:val="18"/>
              </w:rPr>
              <w:t>Phase 7 — integrated QA/release</w:t>
            </w:r>
          </w:p>
        </w:tc>
        <w:tc>
          <w:tcPr>
            <w:tcW w:type="dxa" w:w="4050"/>
          </w:tcPr>
          <w:p>
            <w:pPr>
              <w:spacing w:after="0"/>
            </w:pPr>
            <w:r>
              <w:rPr>
                <w:rFonts w:ascii="Calibri" w:hAnsi="Calibri"/>
                <w:sz w:val="18"/>
              </w:rPr>
              <w:t>Run migrations, test suite, builds, manual role walkthroughs, security review, and staged release.</w:t>
            </w:r>
          </w:p>
        </w:tc>
        <w:tc>
          <w:tcPr>
            <w:tcW w:type="dxa" w:w="3410"/>
          </w:tcPr>
          <w:p>
            <w:pPr>
              <w:spacing w:after="0"/>
            </w:pPr>
            <w:r>
              <w:rPr>
                <w:rFonts w:ascii="Calibri" w:hAnsi="Calibri"/>
                <w:sz w:val="18"/>
              </w:rPr>
              <w:t>All acceptance scenarios pass; monitoring/rollback plan signed off.</w:t>
            </w:r>
          </w:p>
        </w:tc>
      </w:tr>
    </w:tbl>
    <w:p>
      <w:pPr>
        <w:spacing w:after="40"/>
      </w:pPr>
    </w:p>
    <w:p>
      <w:pPr>
        <w:pStyle w:val="Heading2"/>
      </w:pPr>
      <w:r>
        <w:rPr>
          <w:rFonts w:ascii="Calibri" w:hAnsi="Calibri"/>
          <w:b/>
          <w:color w:val="2E74B5"/>
          <w:sz w:val="26"/>
        </w:rPr>
        <w:t>10.1 Required test suites</w:t>
      </w:r>
    </w:p>
    <w:p>
      <w:pPr>
        <w:pStyle w:val="ListBullet"/>
        <w:spacing w:after="60"/>
        <w:ind w:left="540" w:hanging="271"/>
      </w:pPr>
      <w:r>
        <w:rPr>
          <w:rFonts w:ascii="Calibri" w:hAnsi="Calibri"/>
          <w:sz w:val="21"/>
        </w:rPr>
        <w:t>☐ NestJS unit tests for each service validation and each role guard outcome.</w:t>
      </w:r>
    </w:p>
    <w:p>
      <w:pPr>
        <w:pStyle w:val="ListBullet"/>
        <w:spacing w:after="60"/>
        <w:ind w:left="540" w:hanging="271"/>
      </w:pPr>
      <w:r>
        <w:rPr>
          <w:rFonts w:ascii="Calibri" w:hAnsi="Calibri"/>
          <w:sz w:val="21"/>
        </w:rPr>
        <w:t>☐ NestJS controller/e2e tests for auth, mode filtering, agreement derivation, TPI CRUD, assignment, staff assignment, photos, selection, locking, and redaction.</w:t>
      </w:r>
    </w:p>
    <w:p>
      <w:pPr>
        <w:pStyle w:val="ListBullet"/>
        <w:spacing w:after="60"/>
        <w:ind w:left="540" w:hanging="271"/>
      </w:pPr>
      <w:r>
        <w:rPr>
          <w:rFonts w:ascii="Calibri" w:hAnsi="Calibri"/>
          <w:sz w:val="21"/>
        </w:rPr>
        <w:t>☐ Migration test against seeded legacy SVS data plus empty database test.</w:t>
      </w:r>
    </w:p>
    <w:p>
      <w:pPr>
        <w:pStyle w:val="ListBullet"/>
        <w:spacing w:after="60"/>
        <w:ind w:left="540" w:hanging="271"/>
      </w:pPr>
      <w:r>
        <w:rPr>
          <w:rFonts w:ascii="Calibri" w:hAnsi="Calibri"/>
          <w:sz w:val="21"/>
        </w:rPr>
        <w:t>☐ Next.js component/action tests for mode switch, role-specific navigation, inactive/revoked transitions, and error/empty states.</w:t>
      </w:r>
    </w:p>
    <w:p>
      <w:pPr>
        <w:pStyle w:val="ListBullet"/>
        <w:spacing w:after="60"/>
        <w:ind w:left="540" w:hanging="271"/>
      </w:pPr>
      <w:r>
        <w:rPr>
          <w:rFonts w:ascii="Calibri" w:hAnsi="Calibri"/>
          <w:sz w:val="21"/>
        </w:rPr>
        <w:t>☐ React Native tests for EM regression and TPI_STAFF no-progress capture, denied upload after selection, and deep-link/access behavior.</w:t>
      </w:r>
    </w:p>
    <w:p>
      <w:pPr>
        <w:pStyle w:val="ListBullet"/>
        <w:spacing w:after="60"/>
        <w:ind w:left="540" w:hanging="271"/>
      </w:pPr>
      <w:r>
        <w:rPr>
          <w:rFonts w:ascii="Calibri" w:hAnsi="Calibri"/>
          <w:sz w:val="21"/>
        </w:rPr>
        <w:t>☐ Manual multi-account smoke test using HO, normal DO, Executive Engineer DO, CO, EM, TPI, and TPI_STAFF accounts across two districts.</w:t>
      </w:r>
    </w:p>
    <w:p>
      <w:pPr>
        <w:pStyle w:val="Heading1"/>
      </w:pPr>
      <w:r>
        <w:rPr>
          <w:rFonts w:ascii="Calibri" w:hAnsi="Calibri"/>
          <w:b/>
          <w:color w:val="2E74B5"/>
          <w:sz w:val="32"/>
        </w:rPr>
        <w:t>11. Acceptance scenarios</w:t>
      </w:r>
    </w:p>
    <w:tbl>
      <w:tblPr>
        <w:tblW w:type="dxa" w:w="9360"/>
        <w:jc w:val="left"/>
        <w:tblLayout w:type="fixed"/>
        <w:tblLook w:firstColumn="1" w:firstRow="1" w:lastColumn="0" w:lastRow="0" w:noHBand="0" w:noVBand="1" w:val="04A0"/>
        <w:tblInd w:w="120" w:type="dxa"/>
      </w:tblPr>
      <w:tblGrid>
        <w:gridCol w:w="700"/>
        <w:gridCol w:w="2600"/>
        <w:gridCol w:w="6060"/>
      </w:tblGrid>
      <w:tr>
        <w:tc>
          <w:tcPr>
            <w:tcW w:type="dxa" w:w="700"/>
            <w:tcMar>
              <w:top w:w="80" w:type="dxa"/>
              <w:start w:w="120" w:type="dxa"/>
              <w:bottom w:w="80" w:type="dxa"/>
              <w:end w:w="120" w:type="dxa"/>
            </w:tcMar>
            <w:vAlign w:val="center"/>
            <w:shd w:fill="E8EEF5"/>
          </w:tcPr>
          <w:p>
            <w:pPr>
              <w:spacing w:after="0"/>
            </w:pPr>
            <w:r>
              <w:rPr>
                <w:rFonts w:ascii="Calibri" w:hAnsi="Calibri"/>
                <w:b/>
                <w:color w:val="0B2545"/>
                <w:sz w:val="19"/>
              </w:rPr>
              <w:t>ID</w:t>
            </w:r>
          </w:p>
        </w:tc>
        <w:tc>
          <w:tcPr>
            <w:tcW w:type="dxa" w:w="2600"/>
            <w:tcMar>
              <w:top w:w="80" w:type="dxa"/>
              <w:start w:w="120" w:type="dxa"/>
              <w:bottom w:w="80" w:type="dxa"/>
              <w:end w:w="120" w:type="dxa"/>
            </w:tcMar>
            <w:vAlign w:val="center"/>
            <w:shd w:fill="E8EEF5"/>
          </w:tcPr>
          <w:p>
            <w:pPr>
              <w:spacing w:after="0"/>
            </w:pPr>
            <w:r>
              <w:rPr>
                <w:rFonts w:ascii="Calibri" w:hAnsi="Calibri"/>
                <w:b/>
                <w:color w:val="0B2545"/>
                <w:sz w:val="19"/>
              </w:rPr>
              <w:t>Scenario</w:t>
            </w:r>
          </w:p>
        </w:tc>
        <w:tc>
          <w:tcPr>
            <w:tcW w:type="dxa" w:w="6060"/>
            <w:tcMar>
              <w:top w:w="80" w:type="dxa"/>
              <w:start w:w="120" w:type="dxa"/>
              <w:bottom w:w="80" w:type="dxa"/>
              <w:end w:w="120" w:type="dxa"/>
            </w:tcMar>
            <w:vAlign w:val="center"/>
            <w:shd w:fill="E8EEF5"/>
          </w:tcPr>
          <w:p>
            <w:pPr>
              <w:spacing w:after="0"/>
            </w:pPr>
            <w:r>
              <w:rPr>
                <w:rFonts w:ascii="Calibri" w:hAnsi="Calibri"/>
                <w:b/>
                <w:color w:val="0B2545"/>
                <w:sz w:val="19"/>
              </w:rPr>
              <w:t>Pass condition</w:t>
            </w:r>
          </w:p>
        </w:tc>
      </w:tr>
      <w:tr>
        <w:tc>
          <w:tcPr>
            <w:tcW w:type="dxa" w:w="700"/>
          </w:tcPr>
          <w:p>
            <w:pPr>
              <w:spacing w:after="0"/>
            </w:pPr>
            <w:r>
              <w:rPr>
                <w:rFonts w:ascii="Calibri" w:hAnsi="Calibri"/>
                <w:sz w:val="18"/>
              </w:rPr>
              <w:t>A1</w:t>
            </w:r>
          </w:p>
        </w:tc>
        <w:tc>
          <w:tcPr>
            <w:tcW w:type="dxa" w:w="2600"/>
          </w:tcPr>
          <w:p>
            <w:pPr>
              <w:spacing w:after="0"/>
            </w:pPr>
            <w:r>
              <w:rPr>
                <w:rFonts w:ascii="Calibri" w:hAnsi="Calibri"/>
                <w:sz w:val="18"/>
              </w:rPr>
              <w:t>Existing SVS regression</w:t>
            </w:r>
          </w:p>
        </w:tc>
        <w:tc>
          <w:tcPr>
            <w:tcW w:type="dxa" w:w="6060"/>
          </w:tcPr>
          <w:p>
            <w:pPr>
              <w:spacing w:after="0"/>
            </w:pPr>
            <w:r>
              <w:rPr>
                <w:rFonts w:ascii="Calibri" w:hAnsi="Calibri"/>
                <w:sz w:val="18"/>
              </w:rPr>
              <w:t>Existing SVS agreement/work order/photos remain visible and operate without TPI UI/data.</w:t>
            </w:r>
          </w:p>
        </w:tc>
      </w:tr>
      <w:tr>
        <w:tc>
          <w:tcPr>
            <w:tcW w:type="dxa" w:w="700"/>
          </w:tcPr>
          <w:p>
            <w:pPr>
              <w:spacing w:after="0"/>
            </w:pPr>
            <w:r>
              <w:rPr>
                <w:rFonts w:ascii="Calibri" w:hAnsi="Calibri"/>
                <w:sz w:val="18"/>
              </w:rPr>
              <w:t>A2</w:t>
            </w:r>
          </w:p>
        </w:tc>
        <w:tc>
          <w:tcPr>
            <w:tcW w:type="dxa" w:w="2600"/>
          </w:tcPr>
          <w:p>
            <w:pPr>
              <w:spacing w:after="0"/>
            </w:pPr>
            <w:r>
              <w:rPr>
                <w:rFonts w:ascii="Calibri" w:hAnsi="Calibri"/>
                <w:sz w:val="18"/>
              </w:rPr>
              <w:t>Mode isolation</w:t>
            </w:r>
          </w:p>
        </w:tc>
        <w:tc>
          <w:tcPr>
            <w:tcW w:type="dxa" w:w="6060"/>
          </w:tcPr>
          <w:p>
            <w:pPr>
              <w:spacing w:after="0"/>
            </w:pPr>
            <w:r>
              <w:rPr>
                <w:rFonts w:ascii="Calibri" w:hAnsi="Calibri"/>
                <w:sz w:val="18"/>
              </w:rPr>
              <w:t>HO switches mode; typed work orders/agreements are isolated; untyped agreement appears in both.</w:t>
            </w:r>
          </w:p>
        </w:tc>
      </w:tr>
      <w:tr>
        <w:tc>
          <w:tcPr>
            <w:tcW w:type="dxa" w:w="700"/>
          </w:tcPr>
          <w:p>
            <w:pPr>
              <w:spacing w:after="0"/>
            </w:pPr>
            <w:r>
              <w:rPr>
                <w:rFonts w:ascii="Calibri" w:hAnsi="Calibri"/>
                <w:sz w:val="18"/>
              </w:rPr>
              <w:t>A3</w:t>
            </w:r>
          </w:p>
        </w:tc>
        <w:tc>
          <w:tcPr>
            <w:tcW w:type="dxa" w:w="2600"/>
          </w:tcPr>
          <w:p>
            <w:pPr>
              <w:spacing w:after="0"/>
            </w:pPr>
            <w:r>
              <w:rPr>
                <w:rFonts w:ascii="Calibri" w:hAnsi="Calibri"/>
                <w:sz w:val="18"/>
              </w:rPr>
              <w:t>Executive Engineer grant/revoke</w:t>
            </w:r>
          </w:p>
        </w:tc>
        <w:tc>
          <w:tcPr>
            <w:tcW w:type="dxa" w:w="6060"/>
          </w:tcPr>
          <w:p>
            <w:pPr>
              <w:spacing w:after="0"/>
            </w:pPr>
            <w:r>
              <w:rPr>
                <w:rFonts w:ascii="Calibri" w:hAnsi="Calibri"/>
                <w:sz w:val="18"/>
              </w:rPr>
              <w:t>HO grants flag; DO can open Bulk mode. HO revokes flag; DO loses toggle, direct API access, and Bulk data immediately.</w:t>
            </w:r>
          </w:p>
        </w:tc>
      </w:tr>
      <w:tr>
        <w:tc>
          <w:tcPr>
            <w:tcW w:type="dxa" w:w="700"/>
          </w:tcPr>
          <w:p>
            <w:pPr>
              <w:spacing w:after="0"/>
            </w:pPr>
            <w:r>
              <w:rPr>
                <w:rFonts w:ascii="Calibri" w:hAnsi="Calibri"/>
                <w:sz w:val="18"/>
              </w:rPr>
              <w:t>A4</w:t>
            </w:r>
          </w:p>
        </w:tc>
        <w:tc>
          <w:tcPr>
            <w:tcW w:type="dxa" w:w="2600"/>
          </w:tcPr>
          <w:p>
            <w:pPr>
              <w:spacing w:after="0"/>
            </w:pPr>
            <w:r>
              <w:rPr>
                <w:rFonts w:ascii="Calibri" w:hAnsi="Calibri"/>
                <w:sz w:val="18"/>
              </w:rPr>
              <w:t>One active TPI</w:t>
            </w:r>
          </w:p>
        </w:tc>
        <w:tc>
          <w:tcPr>
            <w:tcW w:type="dxa" w:w="6060"/>
          </w:tcPr>
          <w:p>
            <w:pPr>
              <w:spacing w:after="0"/>
            </w:pPr>
            <w:r>
              <w:rPr>
                <w:rFonts w:ascii="Calibri" w:hAnsi="Calibri"/>
                <w:sz w:val="18"/>
              </w:rPr>
              <w:t>HO creates active TPI for district; second active creation is rejected. Deactivate old TPI; new one can be created.</w:t>
            </w:r>
          </w:p>
        </w:tc>
      </w:tr>
      <w:tr>
        <w:tc>
          <w:tcPr>
            <w:tcW w:type="dxa" w:w="700"/>
          </w:tcPr>
          <w:p>
            <w:pPr>
              <w:spacing w:after="0"/>
            </w:pPr>
            <w:r>
              <w:rPr>
                <w:rFonts w:ascii="Calibri" w:hAnsi="Calibri"/>
                <w:sz w:val="18"/>
              </w:rPr>
              <w:t>A5</w:t>
            </w:r>
          </w:p>
        </w:tc>
        <w:tc>
          <w:tcPr>
            <w:tcW w:type="dxa" w:w="2600"/>
          </w:tcPr>
          <w:p>
            <w:pPr>
              <w:spacing w:after="0"/>
            </w:pPr>
            <w:r>
              <w:rPr>
                <w:rFonts w:ascii="Calibri" w:hAnsi="Calibri"/>
                <w:sz w:val="18"/>
              </w:rPr>
              <w:t>Optional automatic assignment</w:t>
            </w:r>
          </w:p>
        </w:tc>
        <w:tc>
          <w:tcPr>
            <w:tcW w:type="dxa" w:w="6060"/>
          </w:tcPr>
          <w:p>
            <w:pPr>
              <w:spacing w:after="0"/>
            </w:pPr>
            <w:r>
              <w:rPr>
                <w:rFonts w:ascii="Calibri" w:hAnsi="Calibri"/>
                <w:sz w:val="18"/>
              </w:rPr>
              <w:t>Executive Engineer DO explicitly assigns TPI to own district Bulk order; system uses active district TPI without choice. SVS/foreign district attempt fails.</w:t>
            </w:r>
          </w:p>
        </w:tc>
      </w:tr>
      <w:tr>
        <w:tc>
          <w:tcPr>
            <w:tcW w:type="dxa" w:w="700"/>
          </w:tcPr>
          <w:p>
            <w:pPr>
              <w:spacing w:after="0"/>
            </w:pPr>
            <w:r>
              <w:rPr>
                <w:rFonts w:ascii="Calibri" w:hAnsi="Calibri"/>
                <w:sz w:val="18"/>
              </w:rPr>
              <w:t>A6</w:t>
            </w:r>
          </w:p>
        </w:tc>
        <w:tc>
          <w:tcPr>
            <w:tcW w:type="dxa" w:w="2600"/>
          </w:tcPr>
          <w:p>
            <w:pPr>
              <w:spacing w:after="0"/>
            </w:pPr>
            <w:r>
              <w:rPr>
                <w:rFonts w:ascii="Calibri" w:hAnsi="Calibri"/>
                <w:sz w:val="18"/>
              </w:rPr>
              <w:t>Legacy TPI retention</w:t>
            </w:r>
          </w:p>
        </w:tc>
        <w:tc>
          <w:tcPr>
            <w:tcW w:type="dxa" w:w="6060"/>
          </w:tcPr>
          <w:p>
            <w:pPr>
              <w:spacing w:after="0"/>
            </w:pPr>
            <w:r>
              <w:rPr>
                <w:rFonts w:ascii="Calibri" w:hAnsi="Calibri"/>
                <w:sz w:val="18"/>
              </w:rPr>
              <w:t>Deactivated old TPI remains recorded on assigned work order and historical identity remains visible; old TPI/staff cannot log in.</w:t>
            </w:r>
          </w:p>
        </w:tc>
      </w:tr>
      <w:tr>
        <w:tc>
          <w:tcPr>
            <w:tcW w:type="dxa" w:w="700"/>
          </w:tcPr>
          <w:p>
            <w:pPr>
              <w:spacing w:after="0"/>
            </w:pPr>
            <w:r>
              <w:rPr>
                <w:rFonts w:ascii="Calibri" w:hAnsi="Calibri"/>
                <w:sz w:val="18"/>
              </w:rPr>
              <w:t>A7</w:t>
            </w:r>
          </w:p>
        </w:tc>
        <w:tc>
          <w:tcPr>
            <w:tcW w:type="dxa" w:w="2600"/>
          </w:tcPr>
          <w:p>
            <w:pPr>
              <w:spacing w:after="0"/>
            </w:pPr>
            <w:r>
              <w:rPr>
                <w:rFonts w:ascii="Calibri" w:hAnsi="Calibri"/>
                <w:sz w:val="18"/>
              </w:rPr>
              <w:t>TPI staff scope</w:t>
            </w:r>
          </w:p>
        </w:tc>
        <w:tc>
          <w:tcPr>
            <w:tcW w:type="dxa" w:w="6060"/>
          </w:tcPr>
          <w:p>
            <w:pPr>
              <w:spacing w:after="0"/>
            </w:pPr>
            <w:r>
              <w:rPr>
                <w:rFonts w:ascii="Calibri" w:hAnsi="Calibri"/>
                <w:sz w:val="18"/>
              </w:rPr>
              <w:t>TPI staff sees only assigned Bulk work, no SVS/no unrelated TPI work; can upload to any component without progress.</w:t>
            </w:r>
          </w:p>
        </w:tc>
      </w:tr>
      <w:tr>
        <w:tc>
          <w:tcPr>
            <w:tcW w:type="dxa" w:w="700"/>
          </w:tcPr>
          <w:p>
            <w:pPr>
              <w:spacing w:after="0"/>
            </w:pPr>
            <w:r>
              <w:rPr>
                <w:rFonts w:ascii="Calibri" w:hAnsi="Calibri"/>
                <w:sz w:val="18"/>
              </w:rPr>
              <w:t>A8</w:t>
            </w:r>
          </w:p>
        </w:tc>
        <w:tc>
          <w:tcPr>
            <w:tcW w:type="dxa" w:w="2600"/>
          </w:tcPr>
          <w:p>
            <w:pPr>
              <w:spacing w:after="0"/>
            </w:pPr>
            <w:r>
              <w:rPr>
                <w:rFonts w:ascii="Calibri" w:hAnsi="Calibri"/>
                <w:sz w:val="18"/>
              </w:rPr>
              <w:t>Reference selection lock</w:t>
            </w:r>
          </w:p>
        </w:tc>
        <w:tc>
          <w:tcPr>
            <w:tcW w:type="dxa" w:w="6060"/>
          </w:tcPr>
          <w:p>
            <w:pPr>
              <w:spacing w:after="0"/>
            </w:pPr>
            <w:r>
              <w:rPr>
                <w:rFonts w:ascii="Calibri" w:hAnsi="Calibri"/>
                <w:sz w:val="18"/>
              </w:rPr>
              <w:t>TPI selects reference photo; further staff upload denied. Deselect before contractor approval re-enables. Contractor approval permanently locks it.</w:t>
            </w:r>
          </w:p>
        </w:tc>
      </w:tr>
      <w:tr>
        <w:tc>
          <w:tcPr>
            <w:tcW w:type="dxa" w:w="700"/>
          </w:tcPr>
          <w:p>
            <w:pPr>
              <w:spacing w:after="0"/>
            </w:pPr>
            <w:r>
              <w:rPr>
                <w:rFonts w:ascii="Calibri" w:hAnsi="Calibri"/>
                <w:sz w:val="18"/>
              </w:rPr>
              <w:t>A9</w:t>
            </w:r>
          </w:p>
        </w:tc>
        <w:tc>
          <w:tcPr>
            <w:tcW w:type="dxa" w:w="2600"/>
          </w:tcPr>
          <w:p>
            <w:pPr>
              <w:spacing w:after="0"/>
            </w:pPr>
            <w:r>
              <w:rPr>
                <w:rFonts w:ascii="Calibri" w:hAnsi="Calibri"/>
                <w:sz w:val="18"/>
              </w:rPr>
              <w:t>Evidence separation</w:t>
            </w:r>
          </w:p>
        </w:tc>
        <w:tc>
          <w:tcPr>
            <w:tcW w:type="dxa" w:w="6060"/>
          </w:tcPr>
          <w:p>
            <w:pPr>
              <w:spacing w:after="0"/>
            </w:pPr>
            <w:r>
              <w:rPr>
                <w:rFonts w:ascii="Calibri" w:hAnsi="Calibri"/>
                <w:sz w:val="18"/>
              </w:rPr>
              <w:t>Executive Engineer DO sees contractor and reference photos; can approve/reject contractor only. HO sees identity/staff but no reference photo.</w:t>
            </w:r>
          </w:p>
        </w:tc>
      </w:tr>
      <w:tr>
        <w:tc>
          <w:tcPr>
            <w:tcW w:type="dxa" w:w="700"/>
          </w:tcPr>
          <w:p>
            <w:pPr>
              <w:spacing w:after="0"/>
            </w:pPr>
            <w:r>
              <w:rPr>
                <w:rFonts w:ascii="Calibri" w:hAnsi="Calibri"/>
                <w:sz w:val="18"/>
              </w:rPr>
              <w:t>A10</w:t>
            </w:r>
          </w:p>
        </w:tc>
        <w:tc>
          <w:tcPr>
            <w:tcW w:type="dxa" w:w="2600"/>
          </w:tcPr>
          <w:p>
            <w:pPr>
              <w:spacing w:after="0"/>
            </w:pPr>
            <w:r>
              <w:rPr>
                <w:rFonts w:ascii="Calibri" w:hAnsi="Calibri"/>
                <w:sz w:val="18"/>
              </w:rPr>
              <w:t>Contractor unchanged</w:t>
            </w:r>
          </w:p>
        </w:tc>
        <w:tc>
          <w:tcPr>
            <w:tcW w:type="dxa" w:w="6060"/>
          </w:tcPr>
          <w:p>
            <w:pPr>
              <w:spacing w:after="0"/>
            </w:pPr>
            <w:r>
              <w:rPr>
                <w:rFonts w:ascii="Calibri" w:hAnsi="Calibri"/>
                <w:sz w:val="18"/>
              </w:rPr>
              <w:t>CO/EM Bulk process requires progress and follows existing component sequence/selection/approval rules.</w:t>
            </w:r>
          </w:p>
        </w:tc>
      </w:tr>
    </w:tbl>
    <w:p>
      <w:pPr>
        <w:spacing w:after="40"/>
      </w:pPr>
    </w:p>
    <w:p>
      <w:pPr>
        <w:pStyle w:val="Heading1"/>
      </w:pPr>
      <w:r>
        <w:rPr>
          <w:rFonts w:ascii="Calibri" w:hAnsi="Calibri"/>
          <w:b/>
          <w:color w:val="2E74B5"/>
          <w:sz w:val="32"/>
        </w:rPr>
        <w:t>12. Risks and implementation traps</w:t>
      </w:r>
    </w:p>
    <w:tbl>
      <w:tblPr>
        <w:tblW w:type="dxa" w:w="9360"/>
        <w:jc w:val="left"/>
        <w:tblLayout w:type="fixed"/>
        <w:tblLook w:firstColumn="1" w:firstRow="1" w:lastColumn="0" w:lastRow="0" w:noHBand="0" w:noVBand="1" w:val="04A0"/>
        <w:tblInd w:w="120" w:type="dxa"/>
      </w:tblPr>
      <w:tblGrid>
        <w:gridCol w:w="1800"/>
        <w:gridCol w:w="3450"/>
        <w:gridCol w:w="4110"/>
      </w:tblGrid>
      <w:tr>
        <w:tc>
          <w:tcPr>
            <w:tcW w:type="dxa" w:w="1800"/>
            <w:tcMar>
              <w:top w:w="80" w:type="dxa"/>
              <w:start w:w="120" w:type="dxa"/>
              <w:bottom w:w="80" w:type="dxa"/>
              <w:end w:w="120" w:type="dxa"/>
            </w:tcMar>
            <w:vAlign w:val="center"/>
            <w:shd w:fill="E8EEF5"/>
          </w:tcPr>
          <w:p>
            <w:pPr>
              <w:spacing w:after="0"/>
            </w:pPr>
            <w:r>
              <w:rPr>
                <w:rFonts w:ascii="Calibri" w:hAnsi="Calibri"/>
                <w:b/>
                <w:color w:val="0B2545"/>
                <w:sz w:val="19"/>
              </w:rPr>
              <w:t>Risk</w:t>
            </w:r>
          </w:p>
        </w:tc>
        <w:tc>
          <w:tcPr>
            <w:tcW w:type="dxa" w:w="3450"/>
            <w:tcMar>
              <w:top w:w="80" w:type="dxa"/>
              <w:start w:w="120" w:type="dxa"/>
              <w:bottom w:w="80" w:type="dxa"/>
              <w:end w:w="120" w:type="dxa"/>
            </w:tcMar>
            <w:vAlign w:val="center"/>
            <w:shd w:fill="E8EEF5"/>
          </w:tcPr>
          <w:p>
            <w:pPr>
              <w:spacing w:after="0"/>
            </w:pPr>
            <w:r>
              <w:rPr>
                <w:rFonts w:ascii="Calibri" w:hAnsi="Calibri"/>
                <w:b/>
                <w:color w:val="0B2545"/>
                <w:sz w:val="19"/>
              </w:rPr>
              <w:t>Why it matters</w:t>
            </w:r>
          </w:p>
        </w:tc>
        <w:tc>
          <w:tcPr>
            <w:tcW w:type="dxa" w:w="4110"/>
            <w:tcMar>
              <w:top w:w="80" w:type="dxa"/>
              <w:start w:w="120" w:type="dxa"/>
              <w:bottom w:w="80" w:type="dxa"/>
              <w:end w:w="120" w:type="dxa"/>
            </w:tcMar>
            <w:vAlign w:val="center"/>
            <w:shd w:fill="E8EEF5"/>
          </w:tcPr>
          <w:p>
            <w:pPr>
              <w:spacing w:after="0"/>
            </w:pPr>
            <w:r>
              <w:rPr>
                <w:rFonts w:ascii="Calibri" w:hAnsi="Calibri"/>
                <w:b/>
                <w:color w:val="0B2545"/>
                <w:sz w:val="19"/>
              </w:rPr>
              <w:t>Required mitigation</w:t>
            </w:r>
          </w:p>
        </w:tc>
      </w:tr>
      <w:tr>
        <w:tc>
          <w:tcPr>
            <w:tcW w:type="dxa" w:w="1800"/>
          </w:tcPr>
          <w:p>
            <w:pPr>
              <w:spacing w:after="0"/>
            </w:pPr>
            <w:r>
              <w:rPr>
                <w:rFonts w:ascii="Calibri" w:hAnsi="Calibri"/>
                <w:sz w:val="18"/>
              </w:rPr>
              <w:t>Duplicate agreement type state</w:t>
            </w:r>
          </w:p>
        </w:tc>
        <w:tc>
          <w:tcPr>
            <w:tcW w:type="dxa" w:w="3450"/>
          </w:tcPr>
          <w:p>
            <w:pPr>
              <w:spacing w:after="0"/>
            </w:pPr>
            <w:r>
              <w:rPr>
                <w:rFonts w:ascii="Calibri" w:hAnsi="Calibri"/>
                <w:sz w:val="18"/>
              </w:rPr>
              <w:t>Agreement type can drift from linked work orders.</w:t>
            </w:r>
          </w:p>
        </w:tc>
        <w:tc>
          <w:tcPr>
            <w:tcW w:type="dxa" w:w="4110"/>
          </w:tcPr>
          <w:p>
            <w:pPr>
              <w:spacing w:after="0"/>
            </w:pPr>
            <w:r>
              <w:rPr>
                <w:rFonts w:ascii="Calibri" w:hAnsi="Calibri"/>
                <w:sz w:val="18"/>
              </w:rPr>
              <w:t>Do not store agreement type. Derive it; enforce homogeneous child type.</w:t>
            </w:r>
          </w:p>
        </w:tc>
      </w:tr>
      <w:tr>
        <w:tc>
          <w:tcPr>
            <w:tcW w:type="dxa" w:w="1800"/>
          </w:tcPr>
          <w:p>
            <w:pPr>
              <w:spacing w:after="0"/>
            </w:pPr>
            <w:r>
              <w:rPr>
                <w:rFonts w:ascii="Calibri" w:hAnsi="Calibri"/>
                <w:sz w:val="18"/>
              </w:rPr>
              <w:t>Global component template mutation</w:t>
            </w:r>
          </w:p>
        </w:tc>
        <w:tc>
          <w:tcPr>
            <w:tcW w:type="dxa" w:w="3450"/>
          </w:tcPr>
          <w:p>
            <w:pPr>
              <w:spacing w:after="0"/>
            </w:pPr>
            <w:r>
              <w:rPr>
                <w:rFonts w:ascii="Calibri" w:hAnsi="Calibri"/>
                <w:sz w:val="18"/>
              </w:rPr>
              <w:t>Renaming/reordering a template could rewrite history visually.</w:t>
            </w:r>
          </w:p>
        </w:tc>
        <w:tc>
          <w:tcPr>
            <w:tcW w:type="dxa" w:w="4110"/>
          </w:tcPr>
          <w:p>
            <w:pPr>
              <w:spacing w:after="0"/>
            </w:pPr>
            <w:r>
              <w:rPr>
                <w:rFonts w:ascii="Calibri" w:hAnsi="Calibri"/>
                <w:sz w:val="18"/>
              </w:rPr>
              <w:t>Snapshot template values at work-order creation; version future templates.</w:t>
            </w:r>
          </w:p>
        </w:tc>
      </w:tr>
      <w:tr>
        <w:tc>
          <w:tcPr>
            <w:tcW w:type="dxa" w:w="1800"/>
          </w:tcPr>
          <w:p>
            <w:pPr>
              <w:spacing w:after="0"/>
            </w:pPr>
            <w:r>
              <w:rPr>
                <w:rFonts w:ascii="Calibri" w:hAnsi="Calibri"/>
                <w:sz w:val="18"/>
              </w:rPr>
              <w:t>Leaking TPI images to HO</w:t>
            </w:r>
          </w:p>
        </w:tc>
        <w:tc>
          <w:tcPr>
            <w:tcW w:type="dxa" w:w="3450"/>
          </w:tcPr>
          <w:p>
            <w:pPr>
              <w:spacing w:after="0"/>
            </w:pPr>
            <w:r>
              <w:rPr>
                <w:rFonts w:ascii="Calibri" w:hAnsi="Calibri"/>
                <w:sz w:val="18"/>
              </w:rPr>
              <w:t>HO is allowed identity/staff but explicitly not photo evidence.</w:t>
            </w:r>
          </w:p>
        </w:tc>
        <w:tc>
          <w:tcPr>
            <w:tcW w:type="dxa" w:w="4110"/>
          </w:tcPr>
          <w:p>
            <w:pPr>
              <w:spacing w:after="0"/>
            </w:pPr>
            <w:r>
              <w:rPr>
                <w:rFonts w:ascii="Calibri" w:hAnsi="Calibri"/>
                <w:sz w:val="18"/>
              </w:rPr>
              <w:t>Separate API/query/DTO; automated redaction authorization tests.</w:t>
            </w:r>
          </w:p>
        </w:tc>
      </w:tr>
      <w:tr>
        <w:tc>
          <w:tcPr>
            <w:tcW w:type="dxa" w:w="1800"/>
          </w:tcPr>
          <w:p>
            <w:pPr>
              <w:spacing w:after="0"/>
            </w:pPr>
            <w:r>
              <w:rPr>
                <w:rFonts w:ascii="Calibri" w:hAnsi="Calibri"/>
                <w:sz w:val="18"/>
              </w:rPr>
              <w:t>Client-only Executive Engineer restriction</w:t>
            </w:r>
          </w:p>
        </w:tc>
        <w:tc>
          <w:tcPr>
            <w:tcW w:type="dxa" w:w="3450"/>
          </w:tcPr>
          <w:p>
            <w:pPr>
              <w:spacing w:after="0"/>
            </w:pPr>
            <w:r>
              <w:rPr>
                <w:rFonts w:ascii="Calibri" w:hAnsi="Calibri"/>
                <w:sz w:val="18"/>
              </w:rPr>
              <w:t>A revoked user could use direct HTTP calls.</w:t>
            </w:r>
          </w:p>
        </w:tc>
        <w:tc>
          <w:tcPr>
            <w:tcW w:type="dxa" w:w="4110"/>
          </w:tcPr>
          <w:p>
            <w:pPr>
              <w:spacing w:after="0"/>
            </w:pPr>
            <w:r>
              <w:rPr>
                <w:rFonts w:ascii="Calibri" w:hAnsi="Calibri"/>
                <w:sz w:val="18"/>
              </w:rPr>
              <w:t>Backend checks current DB flag on every Bulk request.</w:t>
            </w:r>
          </w:p>
        </w:tc>
      </w:tr>
      <w:tr>
        <w:tc>
          <w:tcPr>
            <w:tcW w:type="dxa" w:w="1800"/>
          </w:tcPr>
          <w:p>
            <w:pPr>
              <w:spacing w:after="0"/>
            </w:pPr>
            <w:r>
              <w:rPr>
                <w:rFonts w:ascii="Calibri" w:hAnsi="Calibri"/>
                <w:sz w:val="18"/>
              </w:rPr>
              <w:t>Using existing photo status for two evidence streams</w:t>
            </w:r>
          </w:p>
        </w:tc>
        <w:tc>
          <w:tcPr>
            <w:tcW w:type="dxa" w:w="3450"/>
          </w:tcPr>
          <w:p>
            <w:pPr>
              <w:spacing w:after="0"/>
            </w:pPr>
            <w:r>
              <w:rPr>
                <w:rFonts w:ascii="Calibri" w:hAnsi="Calibri"/>
                <w:sz w:val="18"/>
              </w:rPr>
              <w:t>TPI photo could receive contractor approval or alter progress.</w:t>
            </w:r>
          </w:p>
        </w:tc>
        <w:tc>
          <w:tcPr>
            <w:tcW w:type="dxa" w:w="4110"/>
          </w:tcPr>
          <w:p>
            <w:pPr>
              <w:spacing w:after="0"/>
            </w:pPr>
            <w:r>
              <w:rPr>
                <w:rFonts w:ascii="Calibri" w:hAnsi="Calibri"/>
                <w:sz w:val="18"/>
              </w:rPr>
              <w:t>Dedicated reference status/state/API; explicit evidence source.</w:t>
            </w:r>
          </w:p>
        </w:tc>
      </w:tr>
      <w:tr>
        <w:tc>
          <w:tcPr>
            <w:tcW w:type="dxa" w:w="1800"/>
          </w:tcPr>
          <w:p>
            <w:pPr>
              <w:spacing w:after="0"/>
            </w:pPr>
            <w:r>
              <w:rPr>
                <w:rFonts w:ascii="Calibri" w:hAnsi="Calibri"/>
                <w:sz w:val="18"/>
              </w:rPr>
              <w:t>Race selecting two TPI photos</w:t>
            </w:r>
          </w:p>
        </w:tc>
        <w:tc>
          <w:tcPr>
            <w:tcW w:type="dxa" w:w="3450"/>
          </w:tcPr>
          <w:p>
            <w:pPr>
              <w:spacing w:after="0"/>
            </w:pPr>
            <w:r>
              <w:rPr>
                <w:rFonts w:ascii="Calibri" w:hAnsi="Calibri"/>
                <w:sz w:val="18"/>
              </w:rPr>
              <w:t>Two browser requests could both claim selection.</w:t>
            </w:r>
          </w:p>
        </w:tc>
        <w:tc>
          <w:tcPr>
            <w:tcW w:type="dxa" w:w="4110"/>
          </w:tcPr>
          <w:p>
            <w:pPr>
              <w:spacing w:after="0"/>
            </w:pPr>
            <w:r>
              <w:rPr>
                <w:rFonts w:ascii="Calibri" w:hAnsi="Calibri"/>
                <w:sz w:val="18"/>
              </w:rPr>
              <w:t>DB transaction with locking/unique current-selection strategy and race test.</w:t>
            </w:r>
          </w:p>
        </w:tc>
      </w:tr>
      <w:tr>
        <w:tc>
          <w:tcPr>
            <w:tcW w:type="dxa" w:w="1800"/>
          </w:tcPr>
          <w:p>
            <w:pPr>
              <w:spacing w:after="0"/>
            </w:pPr>
            <w:r>
              <w:rPr>
                <w:rFonts w:ascii="Calibri" w:hAnsi="Calibri"/>
                <w:sz w:val="18"/>
              </w:rPr>
              <w:t>Inactive parent bypass</w:t>
            </w:r>
          </w:p>
        </w:tc>
        <w:tc>
          <w:tcPr>
            <w:tcW w:type="dxa" w:w="3450"/>
          </w:tcPr>
          <w:p>
            <w:pPr>
              <w:spacing w:after="0"/>
            </w:pPr>
            <w:r>
              <w:rPr>
                <w:rFonts w:ascii="Calibri" w:hAnsi="Calibri"/>
                <w:sz w:val="18"/>
              </w:rPr>
              <w:t>TPI staff token could remain valid after parent deactivation.</w:t>
            </w:r>
          </w:p>
        </w:tc>
        <w:tc>
          <w:tcPr>
            <w:tcW w:type="dxa" w:w="4110"/>
          </w:tcPr>
          <w:p>
            <w:pPr>
              <w:spacing w:after="0"/>
            </w:pPr>
            <w:r>
              <w:rPr>
                <w:rFonts w:ascii="Calibri" w:hAnsi="Calibri"/>
                <w:sz w:val="18"/>
              </w:rPr>
              <w:t>Check parent active status on authentication and protected requests; purge mobile/dashboard session on denial.</w:t>
            </w:r>
          </w:p>
        </w:tc>
      </w:tr>
      <w:tr>
        <w:tc>
          <w:tcPr>
            <w:tcW w:type="dxa" w:w="1800"/>
          </w:tcPr>
          <w:p>
            <w:pPr>
              <w:spacing w:after="0"/>
            </w:pPr>
            <w:r>
              <w:rPr>
                <w:rFonts w:ascii="Calibri" w:hAnsi="Calibri"/>
                <w:sz w:val="18"/>
              </w:rPr>
              <w:t>Mixed route caches</w:t>
            </w:r>
          </w:p>
        </w:tc>
        <w:tc>
          <w:tcPr>
            <w:tcW w:type="dxa" w:w="3450"/>
          </w:tcPr>
          <w:p>
            <w:pPr>
              <w:spacing w:after="0"/>
            </w:pPr>
            <w:r>
              <w:rPr>
                <w:rFonts w:ascii="Calibri" w:hAnsi="Calibri"/>
                <w:sz w:val="18"/>
              </w:rPr>
              <w:t>Server-rendered dashboard data might show previous mode/role.</w:t>
            </w:r>
          </w:p>
        </w:tc>
        <w:tc>
          <w:tcPr>
            <w:tcW w:type="dxa" w:w="4110"/>
          </w:tcPr>
          <w:p>
            <w:pPr>
              <w:spacing w:after="0"/>
            </w:pPr>
            <w:r>
              <w:rPr>
                <w:rFonts w:ascii="Calibri" w:hAnsi="Calibri"/>
                <w:sz w:val="18"/>
              </w:rPr>
              <w:t>Key cache/query state by user, role, district, mode, work order, and mutation version; revalidate after changes.</w:t>
            </w:r>
          </w:p>
        </w:tc>
      </w:tr>
      <w:tr>
        <w:tc>
          <w:tcPr>
            <w:tcW w:type="dxa" w:w="1800"/>
          </w:tcPr>
          <w:p>
            <w:pPr>
              <w:spacing w:after="0"/>
            </w:pPr>
            <w:r>
              <w:rPr>
                <w:rFonts w:ascii="Calibri" w:hAnsi="Calibri"/>
                <w:sz w:val="18"/>
              </w:rPr>
              <w:t>Unresolved one-DO policy</w:t>
            </w:r>
          </w:p>
        </w:tc>
        <w:tc>
          <w:tcPr>
            <w:tcW w:type="dxa" w:w="3450"/>
          </w:tcPr>
          <w:p>
            <w:pPr>
              <w:spacing w:after="0"/>
            </w:pPr>
            <w:r>
              <w:rPr>
                <w:rFonts w:ascii="Calibri" w:hAnsi="Calibri"/>
                <w:sz w:val="18"/>
              </w:rPr>
              <w:t>Data model may conflict with statement one district has one DO.</w:t>
            </w:r>
          </w:p>
        </w:tc>
        <w:tc>
          <w:tcPr>
            <w:tcW w:type="dxa" w:w="4110"/>
          </w:tcPr>
          <w:p>
            <w:pPr>
              <w:spacing w:after="0"/>
            </w:pPr>
            <w:r>
              <w:rPr>
                <w:rFonts w:ascii="Calibri" w:hAnsi="Calibri"/>
                <w:sz w:val="18"/>
              </w:rPr>
              <w:t>Make policy explicit before adding unique active-DO enforcement.</w:t>
            </w:r>
          </w:p>
        </w:tc>
      </w:tr>
    </w:tbl>
    <w:p>
      <w:pPr>
        <w:spacing w:after="40"/>
      </w:pPr>
    </w:p>
    <w:p>
      <w:pPr>
        <w:pStyle w:val="Heading1"/>
      </w:pPr>
      <w:r>
        <w:rPr>
          <w:rFonts w:ascii="Calibri" w:hAnsi="Calibri"/>
          <w:b/>
          <w:color w:val="2E74B5"/>
          <w:sz w:val="32"/>
        </w:rPr>
        <w:t>13. Pre-implementation decision checklist</w:t>
      </w:r>
    </w:p>
    <w:p>
      <w:pPr>
        <w:pStyle w:val="ListBullet"/>
        <w:spacing w:after="60"/>
        <w:ind w:left="540" w:hanging="271"/>
      </w:pPr>
      <w:r>
        <w:rPr>
          <w:rFonts w:ascii="Calibri" w:hAnsi="Calibri"/>
          <w:sz w:val="21"/>
        </w:rPr>
        <w:t>☐ Confirm whether new DO records must enforce one active DO per district; preserve legacy duplicates if any.</w:t>
      </w:r>
    </w:p>
    <w:p>
      <w:pPr>
        <w:pStyle w:val="ListBullet"/>
        <w:spacing w:after="60"/>
        <w:ind w:left="540" w:hanging="271"/>
      </w:pPr>
      <w:r>
        <w:rPr>
          <w:rFonts w:ascii="Calibri" w:hAnsi="Calibri"/>
          <w:sz w:val="21"/>
        </w:rPr>
        <w:t>☐ Approve the eight temporary Bulk Village placeholders and later replacement governance.</w:t>
      </w:r>
    </w:p>
    <w:p>
      <w:pPr>
        <w:pStyle w:val="ListBullet"/>
        <w:spacing w:after="60"/>
        <w:ind w:left="540" w:hanging="271"/>
      </w:pPr>
      <w:r>
        <w:rPr>
          <w:rFonts w:ascii="Calibri" w:hAnsi="Calibri"/>
          <w:sz w:val="21"/>
        </w:rPr>
        <w:t>☐ Confirm exact contractor-equivalent fields required on TPI form (including PAN/mobile/address/active-state conventions).</w:t>
      </w:r>
    </w:p>
    <w:p>
      <w:pPr>
        <w:pStyle w:val="ListBullet"/>
        <w:spacing w:after="60"/>
        <w:ind w:left="540" w:hanging="271"/>
      </w:pPr>
      <w:r>
        <w:rPr>
          <w:rFonts w:ascii="Calibri" w:hAnsi="Calibri"/>
          <w:sz w:val="21"/>
        </w:rPr>
        <w:t>☐ Confirm whether staff has an individual active/deactivate control in addition to automatic disable when parent TPI is inactive.</w:t>
      </w:r>
    </w:p>
    <w:p>
      <w:pPr>
        <w:pStyle w:val="ListBullet"/>
        <w:spacing w:after="60"/>
        <w:ind w:left="540" w:hanging="271"/>
      </w:pPr>
      <w:r>
        <w:rPr>
          <w:rFonts w:ascii="Calibri" w:hAnsi="Calibri"/>
          <w:sz w:val="21"/>
        </w:rPr>
        <w:t>☐ Confirm whether an unassigned/deactivated TPI work order permits reassignment only after Executive Engineer is re-enabled; this specification assumes yes.</w:t>
      </w:r>
    </w:p>
    <w:p>
      <w:pPr>
        <w:pStyle w:val="ListBullet"/>
        <w:spacing w:after="60"/>
        <w:ind w:left="540" w:hanging="271"/>
      </w:pPr>
      <w:r>
        <w:rPr>
          <w:rFonts w:ascii="Calibri" w:hAnsi="Calibri"/>
          <w:sz w:val="21"/>
        </w:rPr>
        <w:t>☐ Confirm production migration window, database backup/rollback procedure, and whether existing MySQL enum changes require deployment-specific handling.</w:t>
      </w:r>
    </w:p>
    <w:p>
      <w:pPr>
        <w:pStyle w:val="ListBullet"/>
        <w:spacing w:after="60"/>
        <w:ind w:left="540" w:hanging="271"/>
      </w:pPr>
      <w:r>
        <w:rPr>
          <w:rFonts w:ascii="Calibri" w:hAnsi="Calibri"/>
          <w:sz w:val="21"/>
        </w:rPr>
        <w:t>☐ Confirm image retention/compliance expectations for staff reference photos after TPI/work-order unassignment.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pPr>
            <w:r>
              <w:rPr>
                <w:rFonts w:ascii="Calibri" w:hAnsi="Calibri"/>
                <w:b/>
                <w:color w:val="7A5A00"/>
                <w:sz w:val="21"/>
              </w:rPr>
              <w:t xml:space="preserve">READY-TO-IMPLEMENT CRITERION: </w:t>
            </w:r>
            <w:r>
              <w:rPr>
                <w:rFonts w:ascii="Calibri" w:hAnsi="Calibri"/>
                <w:sz w:val="21"/>
              </w:rPr>
              <w:t>Begin feature coding only after the open DO uniqueness policy and deployment/migration choices are decided. All other described functional requirements are sufficiently specified for implementation.</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770"/>
        <w:sz w:val="17"/>
      </w:rPr>
      <w:t>Internal implementation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770"/>
        <w:sz w:val="17"/>
      </w:rPr>
      <w:t>Jal Jeevan Mission  |  Bulk Village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