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line="360" w:lineRule="auto"/>
        <w:rPr>
          <w:rFonts w:ascii="宋体" w:hAnsi="宋体" w:eastAsia="宋体"/>
          <w:sz w:val="36"/>
          <w:szCs w:val="24"/>
        </w:rPr>
      </w:pPr>
      <w:bookmarkStart w:id="0" w:name="_Toc106185064"/>
      <w:bookmarkStart w:id="1" w:name="_Toc109131007"/>
      <w:r>
        <w:rPr>
          <w:rFonts w:hint="eastAsia" w:ascii="宋体" w:hAnsi="宋体" w:eastAsia="宋体"/>
          <w:sz w:val="36"/>
          <w:szCs w:val="24"/>
        </w:rPr>
        <w:t>舆情监测大屏</w:t>
      </w:r>
      <w:bookmarkEnd w:id="0"/>
      <w:r>
        <w:rPr>
          <w:rFonts w:hint="eastAsia" w:ascii="宋体" w:hAnsi="宋体" w:eastAsia="宋体"/>
          <w:sz w:val="36"/>
          <w:szCs w:val="24"/>
        </w:rPr>
        <w:t>及舆情分排行榜B</w:t>
      </w:r>
      <w:r>
        <w:rPr>
          <w:rFonts w:ascii="宋体" w:hAnsi="宋体" w:eastAsia="宋体"/>
          <w:sz w:val="36"/>
          <w:szCs w:val="24"/>
        </w:rPr>
        <w:t>RD</w:t>
      </w:r>
      <w:bookmarkEnd w:id="1"/>
    </w:p>
    <w:sdt>
      <w:sdtPr>
        <w:rPr>
          <w:rFonts w:asciiTheme="minorHAnsi" w:hAnsiTheme="minorHAnsi" w:eastAsiaTheme="minorEastAsia" w:cstheme="minorBidi"/>
          <w:color w:val="auto"/>
          <w:kern w:val="2"/>
          <w:sz w:val="21"/>
          <w:szCs w:val="22"/>
          <w:lang w:val="zh-CN"/>
        </w:rPr>
        <w:id w:val="17823718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2"/>
            <w:rPr>
              <w:color w:val="auto"/>
            </w:rPr>
          </w:pPr>
          <w:r>
            <w:rPr>
              <w:color w:val="auto"/>
              <w:lang w:val="zh-CN"/>
            </w:rPr>
            <w:t>目录</w:t>
          </w:r>
        </w:p>
        <w:p>
          <w:pPr>
            <w:pStyle w:val="8"/>
            <w:tabs>
              <w:tab w:val="right" w:leader="dot" w:pos="8296"/>
            </w:tabs>
          </w:pPr>
          <w:r>
            <w:rPr>
              <w:rFonts w:ascii="宋体" w:hAnsi="宋体" w:eastAsia="宋体"/>
              <w:sz w:val="24"/>
              <w:szCs w:val="24"/>
            </w:rPr>
            <w:fldChar w:fldCharType="begin"/>
          </w:r>
          <w:r>
            <w:rPr>
              <w:rFonts w:ascii="宋体" w:hAnsi="宋体" w:eastAsia="宋体"/>
              <w:sz w:val="24"/>
              <w:szCs w:val="24"/>
            </w:rPr>
            <w:instrText xml:space="preserve"> TOC \o "1-3" \h \z \u </w:instrText>
          </w:r>
          <w:r>
            <w:rPr>
              <w:rFonts w:ascii="宋体" w:hAnsi="宋体" w:eastAsia="宋体"/>
              <w:sz w:val="24"/>
              <w:szCs w:val="24"/>
            </w:rPr>
            <w:fldChar w:fldCharType="separate"/>
          </w:r>
          <w:r>
            <w:fldChar w:fldCharType="begin"/>
          </w:r>
          <w:r>
            <w:instrText xml:space="preserve"> HYPERLINK \l "_Toc109131007" </w:instrText>
          </w:r>
          <w:r>
            <w:fldChar w:fldCharType="separate"/>
          </w:r>
          <w:r>
            <w:rPr>
              <w:rStyle w:val="14"/>
              <w:rFonts w:ascii="宋体" w:hAnsi="宋体" w:eastAsia="宋体"/>
            </w:rPr>
            <w:t>舆情监测大屏及舆情分排行榜BRD</w:t>
          </w:r>
          <w:r>
            <w:tab/>
          </w:r>
          <w:r>
            <w:fldChar w:fldCharType="begin"/>
          </w:r>
          <w:r>
            <w:instrText xml:space="preserve"> PAGEREF _Toc109131007 \h </w:instrText>
          </w:r>
          <w:r>
            <w:fldChar w:fldCharType="separate"/>
          </w:r>
          <w:r>
            <w:t>1</w:t>
          </w:r>
          <w:r>
            <w:fldChar w:fldCharType="end"/>
          </w:r>
          <w:r>
            <w:fldChar w:fldCharType="end"/>
          </w:r>
        </w:p>
        <w:p>
          <w:pPr>
            <w:pStyle w:val="8"/>
            <w:tabs>
              <w:tab w:val="right" w:leader="dot" w:pos="8296"/>
            </w:tabs>
          </w:pPr>
          <w:r>
            <w:fldChar w:fldCharType="begin"/>
          </w:r>
          <w:r>
            <w:instrText xml:space="preserve"> HYPERLINK \l "_Toc109131008" </w:instrText>
          </w:r>
          <w:r>
            <w:fldChar w:fldCharType="separate"/>
          </w:r>
          <w:r>
            <w:rPr>
              <w:rStyle w:val="14"/>
              <w:rFonts w:ascii="宋体" w:hAnsi="宋体" w:eastAsia="宋体"/>
            </w:rPr>
            <w:t>一、功能及内容范围</w:t>
          </w:r>
          <w:r>
            <w:tab/>
          </w:r>
          <w:r>
            <w:fldChar w:fldCharType="begin"/>
          </w:r>
          <w:r>
            <w:instrText xml:space="preserve"> PAGEREF _Toc109131008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"_Toc109131009" </w:instrText>
          </w:r>
          <w:r>
            <w:fldChar w:fldCharType="separate"/>
          </w:r>
          <w:r>
            <w:rPr>
              <w:rStyle w:val="14"/>
              <w:rFonts w:ascii="宋体" w:hAnsi="宋体" w:eastAsia="宋体"/>
            </w:rPr>
            <w:t>二、用户使用场景</w:t>
          </w:r>
          <w:r>
            <w:tab/>
          </w:r>
          <w:r>
            <w:fldChar w:fldCharType="begin"/>
          </w:r>
          <w:r>
            <w:instrText xml:space="preserve"> PAGEREF _Toc109131009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"_Toc109131010" </w:instrText>
          </w:r>
          <w:r>
            <w:fldChar w:fldCharType="separate"/>
          </w:r>
          <w:r>
            <w:rPr>
              <w:rStyle w:val="14"/>
              <w:rFonts w:ascii="宋体" w:hAnsi="宋体" w:eastAsia="宋体"/>
            </w:rPr>
            <w:t>三、功能内容</w:t>
          </w:r>
          <w:r>
            <w:tab/>
          </w:r>
          <w:r>
            <w:fldChar w:fldCharType="begin"/>
          </w:r>
          <w:r>
            <w:instrText xml:space="preserve"> PAGEREF _Toc109131010 \h </w:instrText>
          </w:r>
          <w:r>
            <w:fldChar w:fldCharType="separate"/>
          </w:r>
          <w:r>
            <w:t>4</w:t>
          </w:r>
          <w:r>
            <w:fldChar w:fldCharType="end"/>
          </w:r>
          <w:r>
            <w:fldChar w:fldCharType="end"/>
          </w:r>
        </w:p>
        <w:p>
          <w:pPr>
            <w:pStyle w:val="9"/>
            <w:tabs>
              <w:tab w:val="left" w:pos="1050"/>
              <w:tab w:val="right" w:leader="dot" w:pos="8296"/>
            </w:tabs>
          </w:pPr>
          <w:r>
            <w:fldChar w:fldCharType="begin"/>
          </w:r>
          <w:r>
            <w:instrText xml:space="preserve"> HYPERLINK \l "_Toc109131011" </w:instrText>
          </w:r>
          <w:r>
            <w:fldChar w:fldCharType="separate"/>
          </w:r>
          <w:r>
            <w:rPr>
              <w:rStyle w:val="14"/>
              <w:rFonts w:ascii="宋体" w:hAnsi="宋体" w:eastAsia="宋体"/>
            </w:rPr>
            <w:t>1.</w:t>
          </w:r>
          <w:r>
            <w:tab/>
          </w:r>
          <w:r>
            <w:rPr>
              <w:rStyle w:val="14"/>
              <w:rFonts w:ascii="宋体" w:hAnsi="宋体" w:eastAsia="宋体"/>
            </w:rPr>
            <w:t>热点企业</w:t>
          </w:r>
          <w:r>
            <w:tab/>
          </w:r>
          <w:r>
            <w:fldChar w:fldCharType="begin"/>
          </w:r>
          <w:r>
            <w:instrText xml:space="preserve"> PAGEREF _Toc109131011 \h </w:instrText>
          </w:r>
          <w:r>
            <w:fldChar w:fldCharType="separate"/>
          </w:r>
          <w:r>
            <w:t>4</w:t>
          </w:r>
          <w:r>
            <w:fldChar w:fldCharType="end"/>
          </w:r>
          <w:r>
            <w:fldChar w:fldCharType="end"/>
          </w:r>
        </w:p>
        <w:p>
          <w:pPr>
            <w:pStyle w:val="9"/>
            <w:tabs>
              <w:tab w:val="left" w:pos="1050"/>
              <w:tab w:val="right" w:leader="dot" w:pos="8296"/>
            </w:tabs>
          </w:pPr>
          <w:r>
            <w:fldChar w:fldCharType="begin"/>
          </w:r>
          <w:r>
            <w:instrText xml:space="preserve"> HYPERLINK \l "_Toc109131012" </w:instrText>
          </w:r>
          <w:r>
            <w:fldChar w:fldCharType="separate"/>
          </w:r>
          <w:r>
            <w:rPr>
              <w:rStyle w:val="14"/>
              <w:rFonts w:ascii="宋体" w:hAnsi="宋体" w:eastAsia="宋体"/>
            </w:rPr>
            <w:t>2.</w:t>
          </w:r>
          <w:r>
            <w:tab/>
          </w:r>
          <w:r>
            <w:rPr>
              <w:rStyle w:val="14"/>
              <w:rFonts w:ascii="宋体" w:hAnsi="宋体" w:eastAsia="宋体"/>
            </w:rPr>
            <w:t>舆情热词</w:t>
          </w:r>
          <w:r>
            <w:tab/>
          </w:r>
          <w:r>
            <w:fldChar w:fldCharType="begin"/>
          </w:r>
          <w:r>
            <w:instrText xml:space="preserve"> PAGEREF _Toc109131012 \h </w:instrText>
          </w:r>
          <w:r>
            <w:fldChar w:fldCharType="separate"/>
          </w:r>
          <w:r>
            <w:t>5</w:t>
          </w:r>
          <w:r>
            <w:fldChar w:fldCharType="end"/>
          </w:r>
          <w:r>
            <w:fldChar w:fldCharType="end"/>
          </w:r>
        </w:p>
        <w:p>
          <w:pPr>
            <w:pStyle w:val="9"/>
            <w:tabs>
              <w:tab w:val="left" w:pos="1050"/>
              <w:tab w:val="right" w:leader="dot" w:pos="8296"/>
            </w:tabs>
          </w:pPr>
          <w:r>
            <w:fldChar w:fldCharType="begin"/>
          </w:r>
          <w:r>
            <w:instrText xml:space="preserve"> HYPERLINK \l "_Toc109131013" </w:instrText>
          </w:r>
          <w:r>
            <w:fldChar w:fldCharType="separate"/>
          </w:r>
          <w:r>
            <w:rPr>
              <w:rStyle w:val="14"/>
              <w:rFonts w:ascii="宋体" w:hAnsi="宋体" w:eastAsia="宋体"/>
            </w:rPr>
            <w:t>3.</w:t>
          </w:r>
          <w:r>
            <w:tab/>
          </w:r>
          <w:r>
            <w:rPr>
              <w:rStyle w:val="14"/>
              <w:rFonts w:ascii="宋体" w:hAnsi="宋体" w:eastAsia="宋体"/>
            </w:rPr>
            <w:t>快讯、行业舆情、区域舆情</w:t>
          </w:r>
          <w:r>
            <w:tab/>
          </w:r>
          <w:r>
            <w:fldChar w:fldCharType="begin"/>
          </w:r>
          <w:r>
            <w:instrText xml:space="preserve"> PAGEREF _Toc109131013 \h </w:instrText>
          </w:r>
          <w:r>
            <w:fldChar w:fldCharType="separate"/>
          </w:r>
          <w:r>
            <w:t>6</w:t>
          </w:r>
          <w:r>
            <w:fldChar w:fldCharType="end"/>
          </w:r>
          <w:r>
            <w:fldChar w:fldCharType="end"/>
          </w:r>
        </w:p>
        <w:p>
          <w:pPr>
            <w:pStyle w:val="9"/>
            <w:tabs>
              <w:tab w:val="left" w:pos="1050"/>
              <w:tab w:val="right" w:leader="dot" w:pos="8296"/>
            </w:tabs>
          </w:pPr>
          <w:r>
            <w:fldChar w:fldCharType="begin"/>
          </w:r>
          <w:r>
            <w:instrText xml:space="preserve"> HYPERLINK \l "_Toc109131014" </w:instrText>
          </w:r>
          <w:r>
            <w:fldChar w:fldCharType="separate"/>
          </w:r>
          <w:r>
            <w:rPr>
              <w:rStyle w:val="14"/>
              <w:rFonts w:ascii="宋体" w:hAnsi="宋体" w:eastAsia="宋体"/>
            </w:rPr>
            <w:t>4.</w:t>
          </w:r>
          <w:r>
            <w:tab/>
          </w:r>
          <w:r>
            <w:rPr>
              <w:rStyle w:val="14"/>
              <w:rFonts w:ascii="宋体" w:hAnsi="宋体" w:eastAsia="宋体"/>
            </w:rPr>
            <w:t>舆情统计</w:t>
          </w:r>
          <w:r>
            <w:tab/>
          </w:r>
          <w:r>
            <w:fldChar w:fldCharType="begin"/>
          </w:r>
          <w:r>
            <w:instrText xml:space="preserve"> PAGEREF _Toc109131014 \h </w:instrText>
          </w:r>
          <w:r>
            <w:fldChar w:fldCharType="separate"/>
          </w:r>
          <w:r>
            <w:t>7</w:t>
          </w:r>
          <w:r>
            <w:fldChar w:fldCharType="end"/>
          </w:r>
          <w:r>
            <w:fldChar w:fldCharType="end"/>
          </w:r>
        </w:p>
        <w:p>
          <w:pPr>
            <w:pStyle w:val="9"/>
            <w:tabs>
              <w:tab w:val="left" w:pos="1050"/>
              <w:tab w:val="right" w:leader="dot" w:pos="8296"/>
            </w:tabs>
          </w:pPr>
          <w:r>
            <w:fldChar w:fldCharType="begin"/>
          </w:r>
          <w:r>
            <w:instrText xml:space="preserve"> HYPERLINK \l "_Toc109131015" </w:instrText>
          </w:r>
          <w:r>
            <w:fldChar w:fldCharType="separate"/>
          </w:r>
          <w:r>
            <w:rPr>
              <w:rStyle w:val="14"/>
              <w:rFonts w:ascii="宋体" w:hAnsi="宋体" w:eastAsia="宋体"/>
            </w:rPr>
            <w:t>5.</w:t>
          </w:r>
          <w:r>
            <w:tab/>
          </w:r>
          <w:r>
            <w:rPr>
              <w:rStyle w:val="14"/>
              <w:rFonts w:ascii="宋体" w:hAnsi="宋体" w:eastAsia="宋体"/>
            </w:rPr>
            <w:t>舆情列表</w:t>
          </w:r>
          <w:r>
            <w:tab/>
          </w:r>
          <w:r>
            <w:fldChar w:fldCharType="begin"/>
          </w:r>
          <w:r>
            <w:instrText xml:space="preserve"> PAGEREF _Toc109131015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"_Toc109131016" </w:instrText>
          </w:r>
          <w:r>
            <w:fldChar w:fldCharType="separate"/>
          </w:r>
          <w:r>
            <w:rPr>
              <w:rStyle w:val="14"/>
              <w:rFonts w:ascii="宋体" w:hAnsi="宋体" w:eastAsia="宋体"/>
            </w:rPr>
            <w:t>四、舆情分排行榜</w:t>
          </w:r>
          <w:r>
            <w:tab/>
          </w:r>
          <w:r>
            <w:fldChar w:fldCharType="begin"/>
          </w:r>
          <w:r>
            <w:instrText xml:space="preserve"> PAGEREF _Toc109131016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"_Toc109131017" </w:instrText>
          </w:r>
          <w:r>
            <w:fldChar w:fldCharType="separate"/>
          </w:r>
          <w:r>
            <w:rPr>
              <w:rStyle w:val="14"/>
              <w:rFonts w:ascii="宋体" w:hAnsi="宋体" w:eastAsia="宋体"/>
              <w:b/>
            </w:rPr>
            <w:t>免责说明</w:t>
          </w:r>
          <w:r>
            <w:tab/>
          </w:r>
          <w:r>
            <w:fldChar w:fldCharType="begin"/>
          </w:r>
          <w:r>
            <w:instrText xml:space="preserve"> PAGEREF _Toc109131017 \h </w:instrText>
          </w:r>
          <w:r>
            <w:fldChar w:fldCharType="separate"/>
          </w:r>
          <w:r>
            <w:t>11</w:t>
          </w:r>
          <w:r>
            <w:fldChar w:fldCharType="end"/>
          </w:r>
          <w:r>
            <w:fldChar w:fldCharType="end"/>
          </w:r>
        </w:p>
        <w:p>
          <w:pPr>
            <w:spacing w:line="360" w:lineRule="auto"/>
          </w:pPr>
          <w:r>
            <w:rPr>
              <w:rFonts w:ascii="宋体" w:hAnsi="宋体" w:eastAsia="宋体"/>
              <w:b/>
              <w:bCs/>
              <w:sz w:val="24"/>
              <w:szCs w:val="24"/>
              <w:lang w:val="zh-CN"/>
            </w:rPr>
            <w:fldChar w:fldCharType="end"/>
          </w:r>
        </w:p>
      </w:sdtContent>
    </w:sdt>
    <w:p>
      <w:pPr>
        <w:widowControl/>
        <w:jc w:val="left"/>
      </w:pPr>
      <w:r>
        <w:br w:type="page"/>
      </w:r>
    </w:p>
    <w:p>
      <w:pPr>
        <w:pStyle w:val="2"/>
        <w:rPr>
          <w:rFonts w:ascii="宋体" w:hAnsi="宋体" w:eastAsia="宋体"/>
          <w:sz w:val="32"/>
          <w:szCs w:val="32"/>
        </w:rPr>
      </w:pPr>
      <w:bookmarkStart w:id="2" w:name="_Toc109131008"/>
      <w:r>
        <w:rPr>
          <w:rFonts w:hint="eastAsia" w:ascii="宋体" w:hAnsi="宋体" w:eastAsia="宋体"/>
          <w:sz w:val="32"/>
          <w:szCs w:val="32"/>
        </w:rPr>
        <w:t>一、功能及内容范围</w:t>
      </w:r>
      <w:bookmarkEnd w:id="2"/>
    </w:p>
    <w:p>
      <w:pPr>
        <w:spacing w:line="360" w:lineRule="auto"/>
        <w:ind w:firstLine="480" w:firstLineChars="200"/>
        <w:rPr>
          <w:rFonts w:ascii="宋体" w:hAnsi="宋体" w:eastAsia="宋体"/>
          <w:sz w:val="24"/>
          <w:szCs w:val="24"/>
        </w:rPr>
      </w:pPr>
      <w:r>
        <w:rPr>
          <w:rFonts w:hint="eastAsia" w:ascii="宋体" w:hAnsi="宋体" w:eastAsia="宋体"/>
          <w:sz w:val="24"/>
          <w:szCs w:val="24"/>
        </w:rPr>
        <w:t>舆情监测大屏，根据需求理解需具备以下几个版块：市场千里眼（舆情统计、舆情列表）、热点风向标（舆情热词、热点企业）、舆情滚动条（快讯及行业舆情）。</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在内容层面，参考舆情分等舆情相关方案，在舆情大屏中展示的数据内容，包括</w:t>
      </w:r>
      <w:r>
        <w:rPr>
          <w:rFonts w:hint="eastAsia" w:ascii="宋体" w:hAnsi="宋体" w:eastAsia="宋体"/>
          <w:b/>
          <w:sz w:val="24"/>
          <w:szCs w:val="24"/>
        </w:rPr>
        <w:t>新闻舆情、司法诚信</w:t>
      </w:r>
      <w:r>
        <w:rPr>
          <w:rFonts w:hint="eastAsia" w:ascii="宋体" w:hAnsi="宋体" w:eastAsia="宋体"/>
          <w:sz w:val="24"/>
          <w:szCs w:val="24"/>
        </w:rPr>
        <w:t>，其中新闻舆情还分为</w:t>
      </w:r>
      <w:r>
        <w:rPr>
          <w:rFonts w:hint="eastAsia" w:ascii="宋体" w:hAnsi="宋体" w:eastAsia="宋体"/>
          <w:b/>
          <w:sz w:val="24"/>
          <w:szCs w:val="24"/>
        </w:rPr>
        <w:t>主体舆情、行业舆情、区域舆情</w:t>
      </w:r>
      <w:r>
        <w:rPr>
          <w:rFonts w:hint="eastAsia" w:ascii="宋体" w:hAnsi="宋体" w:eastAsia="宋体"/>
          <w:sz w:val="24"/>
          <w:szCs w:val="24"/>
        </w:rPr>
        <w:t>。舆情具体内容主要包含原始舆情数据中的新闻正文、新闻标题、关联主体以及所附带的风险标签、严重程度标签（</w:t>
      </w:r>
      <w:r>
        <w:rPr>
          <w:rFonts w:hint="eastAsia" w:ascii="宋体" w:hAnsi="宋体" w:eastAsia="宋体"/>
          <w:color w:val="FF0000"/>
          <w:sz w:val="24"/>
          <w:szCs w:val="24"/>
        </w:rPr>
        <w:t>主体舆情的严重程度标签需对接使用违约预警舆情分模块调整后的情感标签数据</w:t>
      </w:r>
      <w:r>
        <w:rPr>
          <w:rFonts w:hint="eastAsia" w:ascii="宋体" w:hAnsi="宋体" w:eastAsia="宋体"/>
          <w:sz w:val="24"/>
          <w:szCs w:val="24"/>
        </w:rPr>
        <w:t>）；而司法诚信内容则在原始司法诚信案件内容以及关联企业等内容基础上，</w:t>
      </w:r>
      <w:r>
        <w:rPr>
          <w:rFonts w:hint="eastAsia" w:ascii="宋体" w:hAnsi="宋体" w:eastAsia="宋体"/>
          <w:b/>
          <w:sz w:val="24"/>
          <w:szCs w:val="24"/>
        </w:rPr>
        <w:t>对接</w:t>
      </w:r>
      <w:r>
        <w:rPr>
          <w:rFonts w:hint="eastAsia" w:ascii="宋体" w:hAnsi="宋体" w:eastAsia="宋体"/>
          <w:sz w:val="24"/>
          <w:szCs w:val="24"/>
        </w:rPr>
        <w:t>舆情分方案中基于案件类型整理形成的司法诚信规则（对应舆情的风险标签），并打上各规则的严重程度标签（对应舆情的严重程度标签）。</w:t>
      </w:r>
    </w:p>
    <w:p>
      <w:pPr>
        <w:pStyle w:val="19"/>
        <w:spacing w:line="360" w:lineRule="auto"/>
        <w:ind w:left="360" w:firstLine="0" w:firstLineChars="0"/>
        <w:rPr>
          <w:rFonts w:ascii="宋体" w:hAnsi="宋体" w:eastAsia="宋体"/>
          <w:sz w:val="24"/>
          <w:szCs w:val="24"/>
        </w:rPr>
      </w:pPr>
      <w:r>
        <w:rPr>
          <w:rFonts w:hint="eastAsia" w:ascii="宋体" w:hAnsi="宋体" w:eastAsia="宋体"/>
          <w:sz w:val="24"/>
          <w:szCs w:val="24"/>
        </w:rPr>
        <w:t>司法规则：</w:t>
      </w:r>
    </w:p>
    <w:tbl>
      <w:tblPr>
        <w:tblStyle w:val="12"/>
        <w:tblW w:w="8070" w:type="dxa"/>
        <w:jc w:val="center"/>
        <w:tblLayout w:type="autofit"/>
        <w:tblCellMar>
          <w:top w:w="0" w:type="dxa"/>
          <w:left w:w="108" w:type="dxa"/>
          <w:bottom w:w="0" w:type="dxa"/>
          <w:right w:w="108" w:type="dxa"/>
        </w:tblCellMar>
      </w:tblPr>
      <w:tblGrid>
        <w:gridCol w:w="1550"/>
        <w:gridCol w:w="5386"/>
        <w:gridCol w:w="1134"/>
      </w:tblGrid>
      <w:tr>
        <w:tblPrEx>
          <w:tblCellMar>
            <w:top w:w="0" w:type="dxa"/>
            <w:left w:w="108" w:type="dxa"/>
            <w:bottom w:w="0" w:type="dxa"/>
            <w:right w:w="108" w:type="dxa"/>
          </w:tblCellMar>
        </w:tblPrEx>
        <w:trPr>
          <w:trHeight w:val="285" w:hRule="atLeast"/>
          <w:jc w:val="center"/>
        </w:trPr>
        <w:tc>
          <w:tcPr>
            <w:tcW w:w="1550" w:type="dxa"/>
            <w:tcBorders>
              <w:top w:val="single" w:color="auto" w:sz="4" w:space="0"/>
              <w:left w:val="single" w:color="auto" w:sz="4" w:space="0"/>
              <w:bottom w:val="single" w:color="auto" w:sz="4" w:space="0"/>
              <w:right w:val="single" w:color="auto" w:sz="4" w:space="0"/>
            </w:tcBorders>
            <w:shd w:val="clear" w:color="auto" w:fill="9E0000"/>
            <w:noWrap/>
            <w:vAlign w:val="center"/>
          </w:tcPr>
          <w:p>
            <w:pPr>
              <w:widowControl/>
              <w:jc w:val="center"/>
              <w:rPr>
                <w:rFonts w:cs="宋体"/>
                <w:b/>
                <w:bCs/>
                <w:kern w:val="0"/>
                <w:sz w:val="20"/>
                <w:szCs w:val="20"/>
              </w:rPr>
            </w:pPr>
            <w:r>
              <w:rPr>
                <w:rFonts w:hint="eastAsia" w:cs="宋体"/>
                <w:b/>
                <w:bCs/>
                <w:kern w:val="0"/>
                <w:sz w:val="20"/>
                <w:szCs w:val="20"/>
              </w:rPr>
              <w:t>规则类别</w:t>
            </w:r>
          </w:p>
        </w:tc>
        <w:tc>
          <w:tcPr>
            <w:tcW w:w="5386" w:type="dxa"/>
            <w:tcBorders>
              <w:top w:val="single" w:color="auto" w:sz="4" w:space="0"/>
              <w:left w:val="nil"/>
              <w:bottom w:val="single" w:color="auto" w:sz="4" w:space="0"/>
              <w:right w:val="single" w:color="auto" w:sz="4" w:space="0"/>
            </w:tcBorders>
            <w:shd w:val="clear" w:color="auto" w:fill="9E0000"/>
            <w:noWrap/>
            <w:vAlign w:val="center"/>
          </w:tcPr>
          <w:p>
            <w:pPr>
              <w:widowControl/>
              <w:jc w:val="center"/>
              <w:rPr>
                <w:rFonts w:cs="宋体"/>
                <w:b/>
                <w:bCs/>
                <w:kern w:val="0"/>
                <w:sz w:val="20"/>
                <w:szCs w:val="20"/>
              </w:rPr>
            </w:pPr>
            <w:r>
              <w:rPr>
                <w:rFonts w:hint="eastAsia" w:cs="宋体"/>
                <w:b/>
                <w:bCs/>
                <w:kern w:val="0"/>
                <w:sz w:val="20"/>
                <w:szCs w:val="20"/>
              </w:rPr>
              <w:t>规则名称</w:t>
            </w:r>
          </w:p>
        </w:tc>
        <w:tc>
          <w:tcPr>
            <w:tcW w:w="1134" w:type="dxa"/>
            <w:tcBorders>
              <w:top w:val="single" w:color="auto" w:sz="4" w:space="0"/>
              <w:left w:val="nil"/>
              <w:bottom w:val="single" w:color="auto" w:sz="4" w:space="0"/>
              <w:right w:val="single" w:color="auto" w:sz="4" w:space="0"/>
            </w:tcBorders>
            <w:shd w:val="clear" w:color="auto" w:fill="9E0000"/>
            <w:vAlign w:val="center"/>
          </w:tcPr>
          <w:p>
            <w:pPr>
              <w:widowControl/>
              <w:jc w:val="center"/>
              <w:rPr>
                <w:rFonts w:cs="宋体"/>
                <w:b/>
                <w:bCs/>
                <w:kern w:val="0"/>
                <w:sz w:val="20"/>
                <w:szCs w:val="20"/>
              </w:rPr>
            </w:pPr>
            <w:r>
              <w:rPr>
                <w:rFonts w:hint="eastAsia" w:cs="宋体"/>
                <w:b/>
                <w:bCs/>
                <w:kern w:val="0"/>
                <w:sz w:val="20"/>
                <w:szCs w:val="20"/>
              </w:rPr>
              <w:t>严重程度</w:t>
            </w:r>
          </w:p>
        </w:tc>
      </w:tr>
      <w:tr>
        <w:tblPrEx>
          <w:tblCellMar>
            <w:top w:w="0" w:type="dxa"/>
            <w:left w:w="108" w:type="dxa"/>
            <w:bottom w:w="0" w:type="dxa"/>
            <w:right w:w="108" w:type="dxa"/>
          </w:tblCellMar>
        </w:tblPrEx>
        <w:trPr>
          <w:trHeight w:val="285" w:hRule="atLeast"/>
          <w:jc w:val="center"/>
        </w:trPr>
        <w:tc>
          <w:tcPr>
            <w:tcW w:w="155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被执行</w:t>
            </w:r>
          </w:p>
        </w:tc>
        <w:tc>
          <w:tcPr>
            <w:tcW w:w="5386" w:type="dxa"/>
            <w:tcBorders>
              <w:top w:val="nil"/>
              <w:left w:val="nil"/>
              <w:bottom w:val="single" w:color="auto" w:sz="4" w:space="0"/>
              <w:right w:val="single" w:color="auto" w:sz="4" w:space="0"/>
            </w:tcBorders>
            <w:shd w:val="clear" w:color="auto" w:fill="auto"/>
            <w:vAlign w:val="center"/>
          </w:tcPr>
          <w:p>
            <w:pPr>
              <w:widowControl/>
              <w:jc w:val="left"/>
              <w:rPr>
                <w:rFonts w:cs="宋体"/>
                <w:kern w:val="0"/>
                <w:sz w:val="20"/>
                <w:szCs w:val="20"/>
              </w:rPr>
            </w:pPr>
            <w:r>
              <w:rPr>
                <w:rFonts w:hint="eastAsia" w:cs="宋体"/>
                <w:kern w:val="0"/>
                <w:sz w:val="20"/>
                <w:szCs w:val="20"/>
              </w:rPr>
              <w:t>被列入被执行人且执行金额超过5亿元</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中</w:t>
            </w:r>
          </w:p>
        </w:tc>
      </w:tr>
      <w:tr>
        <w:tblPrEx>
          <w:tblCellMar>
            <w:top w:w="0" w:type="dxa"/>
            <w:left w:w="108" w:type="dxa"/>
            <w:bottom w:w="0" w:type="dxa"/>
            <w:right w:w="108" w:type="dxa"/>
          </w:tblCellMar>
        </w:tblPrEx>
        <w:trPr>
          <w:trHeight w:val="285" w:hRule="atLeast"/>
          <w:jc w:val="center"/>
        </w:trPr>
        <w:tc>
          <w:tcPr>
            <w:tcW w:w="155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失信被执行</w:t>
            </w:r>
          </w:p>
        </w:tc>
        <w:tc>
          <w:tcPr>
            <w:tcW w:w="5386" w:type="dxa"/>
            <w:tcBorders>
              <w:top w:val="nil"/>
              <w:left w:val="nil"/>
              <w:bottom w:val="single" w:color="auto" w:sz="4" w:space="0"/>
              <w:right w:val="single" w:color="auto" w:sz="4" w:space="0"/>
            </w:tcBorders>
            <w:shd w:val="clear" w:color="auto" w:fill="auto"/>
            <w:vAlign w:val="center"/>
          </w:tcPr>
          <w:p>
            <w:pPr>
              <w:widowControl/>
              <w:jc w:val="left"/>
              <w:rPr>
                <w:rFonts w:cs="宋体"/>
                <w:kern w:val="0"/>
                <w:sz w:val="20"/>
                <w:szCs w:val="20"/>
              </w:rPr>
            </w:pPr>
            <w:r>
              <w:rPr>
                <w:rFonts w:hint="eastAsia" w:cs="宋体"/>
                <w:kern w:val="0"/>
                <w:sz w:val="20"/>
                <w:szCs w:val="20"/>
              </w:rPr>
              <w:t>被列入失信被执行人</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高</w:t>
            </w:r>
          </w:p>
        </w:tc>
      </w:tr>
      <w:tr>
        <w:tblPrEx>
          <w:tblCellMar>
            <w:top w:w="0" w:type="dxa"/>
            <w:left w:w="108" w:type="dxa"/>
            <w:bottom w:w="0" w:type="dxa"/>
            <w:right w:w="108" w:type="dxa"/>
          </w:tblCellMar>
        </w:tblPrEx>
        <w:trPr>
          <w:trHeight w:val="285" w:hRule="atLeast"/>
          <w:jc w:val="center"/>
        </w:trPr>
        <w:tc>
          <w:tcPr>
            <w:tcW w:w="155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司法冻结</w:t>
            </w:r>
          </w:p>
        </w:tc>
        <w:tc>
          <w:tcPr>
            <w:tcW w:w="5386" w:type="dxa"/>
            <w:tcBorders>
              <w:top w:val="nil"/>
              <w:left w:val="nil"/>
              <w:bottom w:val="single" w:color="auto" w:sz="4" w:space="0"/>
              <w:right w:val="single" w:color="auto" w:sz="4" w:space="0"/>
            </w:tcBorders>
            <w:shd w:val="clear" w:color="auto" w:fill="auto"/>
            <w:vAlign w:val="center"/>
          </w:tcPr>
          <w:p>
            <w:pPr>
              <w:widowControl/>
              <w:jc w:val="left"/>
              <w:rPr>
                <w:rFonts w:cs="宋体"/>
                <w:kern w:val="0"/>
                <w:sz w:val="20"/>
                <w:szCs w:val="20"/>
              </w:rPr>
            </w:pPr>
            <w:r>
              <w:rPr>
                <w:rFonts w:hint="eastAsia" w:cs="宋体"/>
                <w:kern w:val="0"/>
                <w:sz w:val="20"/>
                <w:szCs w:val="20"/>
              </w:rPr>
              <w:t>对外持股份被冻结且冻结金额占主体注册资本的比例超50%</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高</w:t>
            </w:r>
          </w:p>
        </w:tc>
      </w:tr>
      <w:tr>
        <w:tblPrEx>
          <w:tblCellMar>
            <w:top w:w="0" w:type="dxa"/>
            <w:left w:w="108" w:type="dxa"/>
            <w:bottom w:w="0" w:type="dxa"/>
            <w:right w:w="108" w:type="dxa"/>
          </w:tblCellMar>
        </w:tblPrEx>
        <w:trPr>
          <w:trHeight w:val="285" w:hRule="atLeast"/>
          <w:jc w:val="center"/>
        </w:trPr>
        <w:tc>
          <w:tcPr>
            <w:tcW w:w="155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裁判文书</w:t>
            </w:r>
          </w:p>
        </w:tc>
        <w:tc>
          <w:tcPr>
            <w:tcW w:w="5386" w:type="dxa"/>
            <w:tcBorders>
              <w:top w:val="nil"/>
              <w:left w:val="nil"/>
              <w:bottom w:val="single" w:color="auto" w:sz="4" w:space="0"/>
              <w:right w:val="single" w:color="auto" w:sz="4" w:space="0"/>
            </w:tcBorders>
            <w:shd w:val="clear" w:color="auto" w:fill="auto"/>
            <w:noWrap/>
            <w:vAlign w:val="center"/>
          </w:tcPr>
          <w:p>
            <w:pPr>
              <w:widowControl/>
              <w:jc w:val="left"/>
              <w:rPr>
                <w:rFonts w:cs="宋体"/>
                <w:kern w:val="0"/>
                <w:sz w:val="20"/>
                <w:szCs w:val="20"/>
              </w:rPr>
            </w:pPr>
            <w:r>
              <w:rPr>
                <w:rFonts w:hint="eastAsia" w:cs="宋体"/>
                <w:kern w:val="0"/>
                <w:sz w:val="20"/>
                <w:szCs w:val="20"/>
              </w:rPr>
              <w:t>作为被告涉借贷纠纷(裁判文书)</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中</w:t>
            </w:r>
          </w:p>
        </w:tc>
      </w:tr>
      <w:tr>
        <w:tblPrEx>
          <w:tblCellMar>
            <w:top w:w="0" w:type="dxa"/>
            <w:left w:w="108" w:type="dxa"/>
            <w:bottom w:w="0" w:type="dxa"/>
            <w:right w:w="108" w:type="dxa"/>
          </w:tblCellMar>
        </w:tblPrEx>
        <w:trPr>
          <w:trHeight w:val="285" w:hRule="atLeast"/>
          <w:jc w:val="center"/>
        </w:trPr>
        <w:tc>
          <w:tcPr>
            <w:tcW w:w="155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裁判文书</w:t>
            </w:r>
          </w:p>
        </w:tc>
        <w:tc>
          <w:tcPr>
            <w:tcW w:w="5386" w:type="dxa"/>
            <w:tcBorders>
              <w:top w:val="nil"/>
              <w:left w:val="nil"/>
              <w:bottom w:val="single" w:color="auto" w:sz="4" w:space="0"/>
              <w:right w:val="single" w:color="auto" w:sz="4" w:space="0"/>
            </w:tcBorders>
            <w:shd w:val="clear" w:color="auto" w:fill="auto"/>
            <w:noWrap/>
            <w:vAlign w:val="center"/>
          </w:tcPr>
          <w:p>
            <w:pPr>
              <w:widowControl/>
              <w:jc w:val="left"/>
              <w:rPr>
                <w:rFonts w:cs="宋体"/>
                <w:kern w:val="0"/>
                <w:sz w:val="20"/>
                <w:szCs w:val="20"/>
              </w:rPr>
            </w:pPr>
            <w:r>
              <w:rPr>
                <w:rFonts w:hint="eastAsia" w:cs="宋体"/>
                <w:kern w:val="0"/>
                <w:sz w:val="20"/>
                <w:szCs w:val="20"/>
              </w:rPr>
              <w:t>作为被告涉房地产建筑类合同纠纷(裁判文书)</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中</w:t>
            </w:r>
          </w:p>
        </w:tc>
      </w:tr>
      <w:tr>
        <w:tblPrEx>
          <w:tblCellMar>
            <w:top w:w="0" w:type="dxa"/>
            <w:left w:w="108" w:type="dxa"/>
            <w:bottom w:w="0" w:type="dxa"/>
            <w:right w:w="108" w:type="dxa"/>
          </w:tblCellMar>
        </w:tblPrEx>
        <w:trPr>
          <w:trHeight w:val="285" w:hRule="atLeast"/>
          <w:jc w:val="center"/>
        </w:trPr>
        <w:tc>
          <w:tcPr>
            <w:tcW w:w="155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裁判文书</w:t>
            </w:r>
          </w:p>
        </w:tc>
        <w:tc>
          <w:tcPr>
            <w:tcW w:w="5386" w:type="dxa"/>
            <w:tcBorders>
              <w:top w:val="nil"/>
              <w:left w:val="nil"/>
              <w:bottom w:val="single" w:color="auto" w:sz="4" w:space="0"/>
              <w:right w:val="single" w:color="auto" w:sz="4" w:space="0"/>
            </w:tcBorders>
            <w:shd w:val="clear" w:color="auto" w:fill="auto"/>
            <w:noWrap/>
            <w:vAlign w:val="center"/>
          </w:tcPr>
          <w:p>
            <w:pPr>
              <w:widowControl/>
              <w:jc w:val="left"/>
              <w:rPr>
                <w:rFonts w:cs="宋体"/>
                <w:kern w:val="0"/>
                <w:sz w:val="20"/>
                <w:szCs w:val="20"/>
              </w:rPr>
            </w:pPr>
            <w:r>
              <w:rPr>
                <w:rFonts w:hint="eastAsia" w:cs="宋体"/>
                <w:kern w:val="0"/>
                <w:sz w:val="20"/>
                <w:szCs w:val="20"/>
              </w:rPr>
              <w:t>作为被告涉劳务纠纷(裁判文书)</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低</w:t>
            </w:r>
          </w:p>
        </w:tc>
      </w:tr>
      <w:tr>
        <w:tblPrEx>
          <w:tblCellMar>
            <w:top w:w="0" w:type="dxa"/>
            <w:left w:w="108" w:type="dxa"/>
            <w:bottom w:w="0" w:type="dxa"/>
            <w:right w:w="108" w:type="dxa"/>
          </w:tblCellMar>
        </w:tblPrEx>
        <w:trPr>
          <w:trHeight w:val="285" w:hRule="atLeast"/>
          <w:jc w:val="center"/>
        </w:trPr>
        <w:tc>
          <w:tcPr>
            <w:tcW w:w="155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裁判文书</w:t>
            </w:r>
          </w:p>
        </w:tc>
        <w:tc>
          <w:tcPr>
            <w:tcW w:w="5386" w:type="dxa"/>
            <w:tcBorders>
              <w:top w:val="nil"/>
              <w:left w:val="nil"/>
              <w:bottom w:val="single" w:color="auto" w:sz="4" w:space="0"/>
              <w:right w:val="single" w:color="auto" w:sz="4" w:space="0"/>
            </w:tcBorders>
            <w:shd w:val="clear" w:color="auto" w:fill="auto"/>
            <w:noWrap/>
            <w:vAlign w:val="center"/>
          </w:tcPr>
          <w:p>
            <w:pPr>
              <w:widowControl/>
              <w:jc w:val="left"/>
              <w:rPr>
                <w:rFonts w:cs="宋体"/>
                <w:kern w:val="0"/>
                <w:sz w:val="20"/>
                <w:szCs w:val="20"/>
              </w:rPr>
            </w:pPr>
            <w:r>
              <w:rPr>
                <w:rFonts w:hint="eastAsia" w:cs="宋体"/>
                <w:kern w:val="0"/>
                <w:sz w:val="20"/>
                <w:szCs w:val="20"/>
              </w:rPr>
              <w:t>作为被告涉票据纠纷(裁判文书)</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中</w:t>
            </w:r>
          </w:p>
        </w:tc>
      </w:tr>
      <w:tr>
        <w:tblPrEx>
          <w:tblCellMar>
            <w:top w:w="0" w:type="dxa"/>
            <w:left w:w="108" w:type="dxa"/>
            <w:bottom w:w="0" w:type="dxa"/>
            <w:right w:w="108" w:type="dxa"/>
          </w:tblCellMar>
        </w:tblPrEx>
        <w:trPr>
          <w:trHeight w:val="285" w:hRule="atLeast"/>
          <w:jc w:val="center"/>
        </w:trPr>
        <w:tc>
          <w:tcPr>
            <w:tcW w:w="155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裁判文书</w:t>
            </w:r>
          </w:p>
        </w:tc>
        <w:tc>
          <w:tcPr>
            <w:tcW w:w="5386" w:type="dxa"/>
            <w:tcBorders>
              <w:top w:val="nil"/>
              <w:left w:val="nil"/>
              <w:bottom w:val="single" w:color="auto" w:sz="4" w:space="0"/>
              <w:right w:val="single" w:color="auto" w:sz="4" w:space="0"/>
            </w:tcBorders>
            <w:shd w:val="clear" w:color="auto" w:fill="auto"/>
            <w:noWrap/>
            <w:vAlign w:val="center"/>
          </w:tcPr>
          <w:p>
            <w:pPr>
              <w:widowControl/>
              <w:jc w:val="left"/>
              <w:rPr>
                <w:rFonts w:cs="宋体"/>
                <w:kern w:val="0"/>
                <w:sz w:val="20"/>
                <w:szCs w:val="20"/>
              </w:rPr>
            </w:pPr>
            <w:r>
              <w:rPr>
                <w:rFonts w:hint="eastAsia" w:cs="宋体"/>
                <w:kern w:val="0"/>
                <w:sz w:val="20"/>
                <w:szCs w:val="20"/>
              </w:rPr>
              <w:t>作为被告涉破产相关纠纷(裁判文书)</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高</w:t>
            </w:r>
          </w:p>
        </w:tc>
      </w:tr>
      <w:tr>
        <w:tblPrEx>
          <w:tblCellMar>
            <w:top w:w="0" w:type="dxa"/>
            <w:left w:w="108" w:type="dxa"/>
            <w:bottom w:w="0" w:type="dxa"/>
            <w:right w:w="108" w:type="dxa"/>
          </w:tblCellMar>
        </w:tblPrEx>
        <w:trPr>
          <w:trHeight w:val="285" w:hRule="atLeast"/>
          <w:jc w:val="center"/>
        </w:trPr>
        <w:tc>
          <w:tcPr>
            <w:tcW w:w="155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裁判文书</w:t>
            </w:r>
          </w:p>
        </w:tc>
        <w:tc>
          <w:tcPr>
            <w:tcW w:w="5386" w:type="dxa"/>
            <w:tcBorders>
              <w:top w:val="nil"/>
              <w:left w:val="nil"/>
              <w:bottom w:val="single" w:color="auto" w:sz="4" w:space="0"/>
              <w:right w:val="single" w:color="auto" w:sz="4" w:space="0"/>
            </w:tcBorders>
            <w:shd w:val="clear" w:color="auto" w:fill="auto"/>
            <w:noWrap/>
            <w:vAlign w:val="center"/>
          </w:tcPr>
          <w:p>
            <w:pPr>
              <w:widowControl/>
              <w:jc w:val="left"/>
              <w:rPr>
                <w:rFonts w:cs="宋体"/>
                <w:kern w:val="0"/>
                <w:sz w:val="20"/>
                <w:szCs w:val="20"/>
              </w:rPr>
            </w:pPr>
            <w:r>
              <w:rPr>
                <w:rFonts w:hint="eastAsia" w:cs="宋体"/>
                <w:kern w:val="0"/>
                <w:sz w:val="20"/>
                <w:szCs w:val="20"/>
              </w:rPr>
              <w:t>作为被告涉申请保全相关纠纷(裁判文书)</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中</w:t>
            </w:r>
          </w:p>
        </w:tc>
      </w:tr>
      <w:tr>
        <w:tblPrEx>
          <w:tblCellMar>
            <w:top w:w="0" w:type="dxa"/>
            <w:left w:w="108" w:type="dxa"/>
            <w:bottom w:w="0" w:type="dxa"/>
            <w:right w:w="108" w:type="dxa"/>
          </w:tblCellMar>
        </w:tblPrEx>
        <w:trPr>
          <w:trHeight w:val="285" w:hRule="atLeast"/>
          <w:jc w:val="center"/>
        </w:trPr>
        <w:tc>
          <w:tcPr>
            <w:tcW w:w="155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裁判文书</w:t>
            </w:r>
          </w:p>
        </w:tc>
        <w:tc>
          <w:tcPr>
            <w:tcW w:w="5386" w:type="dxa"/>
            <w:tcBorders>
              <w:top w:val="nil"/>
              <w:left w:val="nil"/>
              <w:bottom w:val="single" w:color="auto" w:sz="4" w:space="0"/>
              <w:right w:val="single" w:color="auto" w:sz="4" w:space="0"/>
            </w:tcBorders>
            <w:shd w:val="clear" w:color="auto" w:fill="auto"/>
            <w:noWrap/>
            <w:vAlign w:val="center"/>
          </w:tcPr>
          <w:p>
            <w:pPr>
              <w:widowControl/>
              <w:jc w:val="left"/>
              <w:rPr>
                <w:rFonts w:cs="宋体"/>
                <w:kern w:val="0"/>
                <w:sz w:val="20"/>
                <w:szCs w:val="20"/>
              </w:rPr>
            </w:pPr>
            <w:r>
              <w:rPr>
                <w:rFonts w:hint="eastAsia" w:cs="宋体"/>
                <w:kern w:val="0"/>
                <w:sz w:val="20"/>
                <w:szCs w:val="20"/>
              </w:rPr>
              <w:t>作为被告涉金融类纠纷(裁判文书)</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中</w:t>
            </w:r>
          </w:p>
        </w:tc>
      </w:tr>
      <w:tr>
        <w:tblPrEx>
          <w:tblCellMar>
            <w:top w:w="0" w:type="dxa"/>
            <w:left w:w="108" w:type="dxa"/>
            <w:bottom w:w="0" w:type="dxa"/>
            <w:right w:w="108" w:type="dxa"/>
          </w:tblCellMar>
        </w:tblPrEx>
        <w:trPr>
          <w:trHeight w:val="285" w:hRule="atLeast"/>
          <w:jc w:val="center"/>
        </w:trPr>
        <w:tc>
          <w:tcPr>
            <w:tcW w:w="155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裁判文书</w:t>
            </w:r>
          </w:p>
        </w:tc>
        <w:tc>
          <w:tcPr>
            <w:tcW w:w="5386" w:type="dxa"/>
            <w:tcBorders>
              <w:top w:val="nil"/>
              <w:left w:val="nil"/>
              <w:bottom w:val="single" w:color="auto" w:sz="4" w:space="0"/>
              <w:right w:val="single" w:color="auto" w:sz="4" w:space="0"/>
            </w:tcBorders>
            <w:shd w:val="clear" w:color="auto" w:fill="auto"/>
            <w:noWrap/>
            <w:vAlign w:val="center"/>
          </w:tcPr>
          <w:p>
            <w:pPr>
              <w:widowControl/>
              <w:jc w:val="left"/>
              <w:rPr>
                <w:rFonts w:cs="宋体"/>
                <w:kern w:val="0"/>
                <w:sz w:val="20"/>
                <w:szCs w:val="20"/>
              </w:rPr>
            </w:pPr>
            <w:r>
              <w:rPr>
                <w:rFonts w:hint="eastAsia" w:cs="宋体"/>
                <w:kern w:val="0"/>
                <w:sz w:val="20"/>
                <w:szCs w:val="20"/>
              </w:rPr>
              <w:t>作为被告涉其他合同纠纷(裁判文书)</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低</w:t>
            </w:r>
          </w:p>
        </w:tc>
      </w:tr>
      <w:tr>
        <w:tblPrEx>
          <w:tblCellMar>
            <w:top w:w="0" w:type="dxa"/>
            <w:left w:w="108" w:type="dxa"/>
            <w:bottom w:w="0" w:type="dxa"/>
            <w:right w:w="108" w:type="dxa"/>
          </w:tblCellMar>
        </w:tblPrEx>
        <w:trPr>
          <w:trHeight w:val="285" w:hRule="atLeast"/>
          <w:jc w:val="center"/>
        </w:trPr>
        <w:tc>
          <w:tcPr>
            <w:tcW w:w="155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裁判文书</w:t>
            </w:r>
          </w:p>
        </w:tc>
        <w:tc>
          <w:tcPr>
            <w:tcW w:w="5386" w:type="dxa"/>
            <w:tcBorders>
              <w:top w:val="nil"/>
              <w:left w:val="nil"/>
              <w:bottom w:val="single" w:color="auto" w:sz="4" w:space="0"/>
              <w:right w:val="single" w:color="auto" w:sz="4" w:space="0"/>
            </w:tcBorders>
            <w:shd w:val="clear" w:color="auto" w:fill="auto"/>
            <w:noWrap/>
            <w:vAlign w:val="center"/>
          </w:tcPr>
          <w:p>
            <w:pPr>
              <w:widowControl/>
              <w:jc w:val="left"/>
              <w:rPr>
                <w:rFonts w:cs="宋体"/>
                <w:kern w:val="0"/>
                <w:sz w:val="20"/>
                <w:szCs w:val="20"/>
              </w:rPr>
            </w:pPr>
            <w:r>
              <w:rPr>
                <w:rFonts w:hint="eastAsia" w:cs="宋体"/>
                <w:kern w:val="0"/>
                <w:sz w:val="20"/>
                <w:szCs w:val="20"/>
              </w:rPr>
              <w:t>作为被告涉其他纠纷(裁判文书)</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低</w:t>
            </w:r>
          </w:p>
        </w:tc>
      </w:tr>
      <w:tr>
        <w:tblPrEx>
          <w:tblCellMar>
            <w:top w:w="0" w:type="dxa"/>
            <w:left w:w="108" w:type="dxa"/>
            <w:bottom w:w="0" w:type="dxa"/>
            <w:right w:w="108" w:type="dxa"/>
          </w:tblCellMar>
        </w:tblPrEx>
        <w:trPr>
          <w:trHeight w:val="285" w:hRule="atLeast"/>
          <w:jc w:val="center"/>
        </w:trPr>
        <w:tc>
          <w:tcPr>
            <w:tcW w:w="155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开庭公告</w:t>
            </w:r>
          </w:p>
        </w:tc>
        <w:tc>
          <w:tcPr>
            <w:tcW w:w="5386" w:type="dxa"/>
            <w:tcBorders>
              <w:top w:val="nil"/>
              <w:left w:val="nil"/>
              <w:bottom w:val="single" w:color="auto" w:sz="4" w:space="0"/>
              <w:right w:val="single" w:color="auto" w:sz="4" w:space="0"/>
            </w:tcBorders>
            <w:shd w:val="clear" w:color="auto" w:fill="auto"/>
            <w:noWrap/>
            <w:vAlign w:val="center"/>
          </w:tcPr>
          <w:p>
            <w:pPr>
              <w:widowControl/>
              <w:jc w:val="left"/>
              <w:rPr>
                <w:rFonts w:cs="宋体"/>
                <w:kern w:val="0"/>
                <w:sz w:val="20"/>
                <w:szCs w:val="20"/>
              </w:rPr>
            </w:pPr>
            <w:r>
              <w:rPr>
                <w:rFonts w:hint="eastAsia" w:cs="宋体"/>
                <w:kern w:val="0"/>
                <w:sz w:val="20"/>
                <w:szCs w:val="20"/>
              </w:rPr>
              <w:t>作为被告涉借贷纠纷(开庭公告)</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中</w:t>
            </w:r>
          </w:p>
        </w:tc>
      </w:tr>
      <w:tr>
        <w:tblPrEx>
          <w:tblCellMar>
            <w:top w:w="0" w:type="dxa"/>
            <w:left w:w="108" w:type="dxa"/>
            <w:bottom w:w="0" w:type="dxa"/>
            <w:right w:w="108" w:type="dxa"/>
          </w:tblCellMar>
        </w:tblPrEx>
        <w:trPr>
          <w:trHeight w:val="285" w:hRule="atLeast"/>
          <w:jc w:val="center"/>
        </w:trPr>
        <w:tc>
          <w:tcPr>
            <w:tcW w:w="155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开庭公告</w:t>
            </w:r>
          </w:p>
        </w:tc>
        <w:tc>
          <w:tcPr>
            <w:tcW w:w="5386" w:type="dxa"/>
            <w:tcBorders>
              <w:top w:val="nil"/>
              <w:left w:val="nil"/>
              <w:bottom w:val="single" w:color="auto" w:sz="4" w:space="0"/>
              <w:right w:val="single" w:color="auto" w:sz="4" w:space="0"/>
            </w:tcBorders>
            <w:shd w:val="clear" w:color="auto" w:fill="auto"/>
            <w:noWrap/>
            <w:vAlign w:val="center"/>
          </w:tcPr>
          <w:p>
            <w:pPr>
              <w:widowControl/>
              <w:jc w:val="left"/>
              <w:rPr>
                <w:rFonts w:cs="宋体"/>
                <w:kern w:val="0"/>
                <w:sz w:val="20"/>
                <w:szCs w:val="20"/>
              </w:rPr>
            </w:pPr>
            <w:r>
              <w:rPr>
                <w:rFonts w:hint="eastAsia" w:cs="宋体"/>
                <w:kern w:val="0"/>
                <w:sz w:val="20"/>
                <w:szCs w:val="20"/>
              </w:rPr>
              <w:t>作为被告涉房地产建筑类合同纠纷(开庭公告)</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中</w:t>
            </w:r>
          </w:p>
        </w:tc>
      </w:tr>
      <w:tr>
        <w:tblPrEx>
          <w:tblCellMar>
            <w:top w:w="0" w:type="dxa"/>
            <w:left w:w="108" w:type="dxa"/>
            <w:bottom w:w="0" w:type="dxa"/>
            <w:right w:w="108" w:type="dxa"/>
          </w:tblCellMar>
        </w:tblPrEx>
        <w:trPr>
          <w:trHeight w:val="285" w:hRule="atLeast"/>
          <w:jc w:val="center"/>
        </w:trPr>
        <w:tc>
          <w:tcPr>
            <w:tcW w:w="155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开庭公告</w:t>
            </w:r>
          </w:p>
        </w:tc>
        <w:tc>
          <w:tcPr>
            <w:tcW w:w="5386" w:type="dxa"/>
            <w:tcBorders>
              <w:top w:val="nil"/>
              <w:left w:val="nil"/>
              <w:bottom w:val="single" w:color="auto" w:sz="4" w:space="0"/>
              <w:right w:val="single" w:color="auto" w:sz="4" w:space="0"/>
            </w:tcBorders>
            <w:shd w:val="clear" w:color="auto" w:fill="auto"/>
            <w:noWrap/>
            <w:vAlign w:val="center"/>
          </w:tcPr>
          <w:p>
            <w:pPr>
              <w:widowControl/>
              <w:jc w:val="left"/>
              <w:rPr>
                <w:rFonts w:cs="宋体"/>
                <w:kern w:val="0"/>
                <w:sz w:val="20"/>
                <w:szCs w:val="20"/>
              </w:rPr>
            </w:pPr>
            <w:r>
              <w:rPr>
                <w:rFonts w:hint="eastAsia" w:cs="宋体"/>
                <w:kern w:val="0"/>
                <w:sz w:val="20"/>
                <w:szCs w:val="20"/>
              </w:rPr>
              <w:t>作为被告涉劳务纠纷(开庭公告)</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低</w:t>
            </w:r>
          </w:p>
        </w:tc>
      </w:tr>
      <w:tr>
        <w:tblPrEx>
          <w:tblCellMar>
            <w:top w:w="0" w:type="dxa"/>
            <w:left w:w="108" w:type="dxa"/>
            <w:bottom w:w="0" w:type="dxa"/>
            <w:right w:w="108" w:type="dxa"/>
          </w:tblCellMar>
        </w:tblPrEx>
        <w:trPr>
          <w:trHeight w:val="285" w:hRule="atLeast"/>
          <w:jc w:val="center"/>
        </w:trPr>
        <w:tc>
          <w:tcPr>
            <w:tcW w:w="155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开庭公告</w:t>
            </w:r>
          </w:p>
        </w:tc>
        <w:tc>
          <w:tcPr>
            <w:tcW w:w="5386" w:type="dxa"/>
            <w:tcBorders>
              <w:top w:val="nil"/>
              <w:left w:val="nil"/>
              <w:bottom w:val="single" w:color="auto" w:sz="4" w:space="0"/>
              <w:right w:val="single" w:color="auto" w:sz="4" w:space="0"/>
            </w:tcBorders>
            <w:shd w:val="clear" w:color="auto" w:fill="auto"/>
            <w:noWrap/>
            <w:vAlign w:val="center"/>
          </w:tcPr>
          <w:p>
            <w:pPr>
              <w:widowControl/>
              <w:jc w:val="left"/>
              <w:rPr>
                <w:rFonts w:cs="宋体"/>
                <w:kern w:val="0"/>
                <w:sz w:val="20"/>
                <w:szCs w:val="20"/>
              </w:rPr>
            </w:pPr>
            <w:r>
              <w:rPr>
                <w:rFonts w:hint="eastAsia" w:cs="宋体"/>
                <w:kern w:val="0"/>
                <w:sz w:val="20"/>
                <w:szCs w:val="20"/>
              </w:rPr>
              <w:t>作为被告涉票据纠纷(开庭公告)</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中</w:t>
            </w:r>
          </w:p>
        </w:tc>
      </w:tr>
      <w:tr>
        <w:tblPrEx>
          <w:tblCellMar>
            <w:top w:w="0" w:type="dxa"/>
            <w:left w:w="108" w:type="dxa"/>
            <w:bottom w:w="0" w:type="dxa"/>
            <w:right w:w="108" w:type="dxa"/>
          </w:tblCellMar>
        </w:tblPrEx>
        <w:trPr>
          <w:trHeight w:val="285" w:hRule="atLeast"/>
          <w:jc w:val="center"/>
        </w:trPr>
        <w:tc>
          <w:tcPr>
            <w:tcW w:w="155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开庭公告</w:t>
            </w:r>
          </w:p>
        </w:tc>
        <w:tc>
          <w:tcPr>
            <w:tcW w:w="5386" w:type="dxa"/>
            <w:tcBorders>
              <w:top w:val="nil"/>
              <w:left w:val="nil"/>
              <w:bottom w:val="single" w:color="auto" w:sz="4" w:space="0"/>
              <w:right w:val="single" w:color="auto" w:sz="4" w:space="0"/>
            </w:tcBorders>
            <w:shd w:val="clear" w:color="auto" w:fill="auto"/>
            <w:noWrap/>
            <w:vAlign w:val="center"/>
          </w:tcPr>
          <w:p>
            <w:pPr>
              <w:widowControl/>
              <w:jc w:val="left"/>
              <w:rPr>
                <w:rFonts w:cs="宋体"/>
                <w:kern w:val="0"/>
                <w:sz w:val="20"/>
                <w:szCs w:val="20"/>
              </w:rPr>
            </w:pPr>
            <w:r>
              <w:rPr>
                <w:rFonts w:hint="eastAsia" w:cs="宋体"/>
                <w:kern w:val="0"/>
                <w:sz w:val="20"/>
                <w:szCs w:val="20"/>
              </w:rPr>
              <w:t>作为被告涉破产相关纠纷(开庭公告)</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高</w:t>
            </w:r>
          </w:p>
        </w:tc>
      </w:tr>
      <w:tr>
        <w:tblPrEx>
          <w:tblCellMar>
            <w:top w:w="0" w:type="dxa"/>
            <w:left w:w="108" w:type="dxa"/>
            <w:bottom w:w="0" w:type="dxa"/>
            <w:right w:w="108" w:type="dxa"/>
          </w:tblCellMar>
        </w:tblPrEx>
        <w:trPr>
          <w:trHeight w:val="285" w:hRule="atLeast"/>
          <w:jc w:val="center"/>
        </w:trPr>
        <w:tc>
          <w:tcPr>
            <w:tcW w:w="155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开庭公告</w:t>
            </w:r>
          </w:p>
        </w:tc>
        <w:tc>
          <w:tcPr>
            <w:tcW w:w="5386" w:type="dxa"/>
            <w:tcBorders>
              <w:top w:val="nil"/>
              <w:left w:val="nil"/>
              <w:bottom w:val="single" w:color="auto" w:sz="4" w:space="0"/>
              <w:right w:val="single" w:color="auto" w:sz="4" w:space="0"/>
            </w:tcBorders>
            <w:shd w:val="clear" w:color="auto" w:fill="auto"/>
            <w:noWrap/>
            <w:vAlign w:val="center"/>
          </w:tcPr>
          <w:p>
            <w:pPr>
              <w:widowControl/>
              <w:jc w:val="left"/>
              <w:rPr>
                <w:rFonts w:cs="宋体"/>
                <w:kern w:val="0"/>
                <w:sz w:val="20"/>
                <w:szCs w:val="20"/>
              </w:rPr>
            </w:pPr>
            <w:r>
              <w:rPr>
                <w:rFonts w:hint="eastAsia" w:cs="宋体"/>
                <w:kern w:val="0"/>
                <w:sz w:val="20"/>
                <w:szCs w:val="20"/>
              </w:rPr>
              <w:t>作为被告涉申请保全相关纠纷(开庭公告)</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中</w:t>
            </w:r>
          </w:p>
        </w:tc>
      </w:tr>
      <w:tr>
        <w:tblPrEx>
          <w:tblCellMar>
            <w:top w:w="0" w:type="dxa"/>
            <w:left w:w="108" w:type="dxa"/>
            <w:bottom w:w="0" w:type="dxa"/>
            <w:right w:w="108" w:type="dxa"/>
          </w:tblCellMar>
        </w:tblPrEx>
        <w:trPr>
          <w:trHeight w:val="285" w:hRule="atLeast"/>
          <w:jc w:val="center"/>
        </w:trPr>
        <w:tc>
          <w:tcPr>
            <w:tcW w:w="155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开庭公告</w:t>
            </w:r>
          </w:p>
        </w:tc>
        <w:tc>
          <w:tcPr>
            <w:tcW w:w="5386" w:type="dxa"/>
            <w:tcBorders>
              <w:top w:val="nil"/>
              <w:left w:val="nil"/>
              <w:bottom w:val="single" w:color="auto" w:sz="4" w:space="0"/>
              <w:right w:val="single" w:color="auto" w:sz="4" w:space="0"/>
            </w:tcBorders>
            <w:shd w:val="clear" w:color="auto" w:fill="auto"/>
            <w:noWrap/>
            <w:vAlign w:val="center"/>
          </w:tcPr>
          <w:p>
            <w:pPr>
              <w:widowControl/>
              <w:jc w:val="left"/>
              <w:rPr>
                <w:rFonts w:cs="宋体"/>
                <w:kern w:val="0"/>
                <w:sz w:val="20"/>
                <w:szCs w:val="20"/>
              </w:rPr>
            </w:pPr>
            <w:r>
              <w:rPr>
                <w:rFonts w:hint="eastAsia" w:cs="宋体"/>
                <w:kern w:val="0"/>
                <w:sz w:val="20"/>
                <w:szCs w:val="20"/>
              </w:rPr>
              <w:t>作为被告涉金融类纠纷(开庭公告)</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中</w:t>
            </w:r>
          </w:p>
        </w:tc>
      </w:tr>
      <w:tr>
        <w:tblPrEx>
          <w:tblCellMar>
            <w:top w:w="0" w:type="dxa"/>
            <w:left w:w="108" w:type="dxa"/>
            <w:bottom w:w="0" w:type="dxa"/>
            <w:right w:w="108" w:type="dxa"/>
          </w:tblCellMar>
        </w:tblPrEx>
        <w:trPr>
          <w:trHeight w:val="285" w:hRule="atLeast"/>
          <w:jc w:val="center"/>
        </w:trPr>
        <w:tc>
          <w:tcPr>
            <w:tcW w:w="155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开庭公告</w:t>
            </w:r>
          </w:p>
        </w:tc>
        <w:tc>
          <w:tcPr>
            <w:tcW w:w="5386" w:type="dxa"/>
            <w:tcBorders>
              <w:top w:val="nil"/>
              <w:left w:val="nil"/>
              <w:bottom w:val="single" w:color="auto" w:sz="4" w:space="0"/>
              <w:right w:val="single" w:color="auto" w:sz="4" w:space="0"/>
            </w:tcBorders>
            <w:shd w:val="clear" w:color="auto" w:fill="auto"/>
            <w:noWrap/>
            <w:vAlign w:val="center"/>
          </w:tcPr>
          <w:p>
            <w:pPr>
              <w:widowControl/>
              <w:jc w:val="left"/>
              <w:rPr>
                <w:rFonts w:cs="宋体"/>
                <w:kern w:val="0"/>
                <w:sz w:val="20"/>
                <w:szCs w:val="20"/>
              </w:rPr>
            </w:pPr>
            <w:r>
              <w:rPr>
                <w:rFonts w:hint="eastAsia" w:cs="宋体"/>
                <w:kern w:val="0"/>
                <w:sz w:val="20"/>
                <w:szCs w:val="20"/>
              </w:rPr>
              <w:t>作为被告涉其他合同纠纷(开庭公告)</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低</w:t>
            </w:r>
          </w:p>
        </w:tc>
      </w:tr>
      <w:tr>
        <w:tblPrEx>
          <w:tblCellMar>
            <w:top w:w="0" w:type="dxa"/>
            <w:left w:w="108" w:type="dxa"/>
            <w:bottom w:w="0" w:type="dxa"/>
            <w:right w:w="108" w:type="dxa"/>
          </w:tblCellMar>
        </w:tblPrEx>
        <w:trPr>
          <w:trHeight w:val="285" w:hRule="atLeast"/>
          <w:jc w:val="center"/>
        </w:trPr>
        <w:tc>
          <w:tcPr>
            <w:tcW w:w="155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开庭公告</w:t>
            </w:r>
          </w:p>
        </w:tc>
        <w:tc>
          <w:tcPr>
            <w:tcW w:w="5386" w:type="dxa"/>
            <w:tcBorders>
              <w:top w:val="nil"/>
              <w:left w:val="nil"/>
              <w:bottom w:val="single" w:color="auto" w:sz="4" w:space="0"/>
              <w:right w:val="single" w:color="auto" w:sz="4" w:space="0"/>
            </w:tcBorders>
            <w:shd w:val="clear" w:color="auto" w:fill="auto"/>
            <w:noWrap/>
            <w:vAlign w:val="center"/>
          </w:tcPr>
          <w:p>
            <w:pPr>
              <w:widowControl/>
              <w:jc w:val="left"/>
              <w:rPr>
                <w:rFonts w:cs="宋体"/>
                <w:kern w:val="0"/>
                <w:sz w:val="20"/>
                <w:szCs w:val="20"/>
              </w:rPr>
            </w:pPr>
            <w:r>
              <w:rPr>
                <w:rFonts w:hint="eastAsia" w:cs="宋体"/>
                <w:kern w:val="0"/>
                <w:sz w:val="20"/>
                <w:szCs w:val="20"/>
              </w:rPr>
              <w:t>作为被告涉其他纠纷(开庭公告)</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低</w:t>
            </w:r>
          </w:p>
        </w:tc>
      </w:tr>
      <w:tr>
        <w:tblPrEx>
          <w:tblCellMar>
            <w:top w:w="0" w:type="dxa"/>
            <w:left w:w="108" w:type="dxa"/>
            <w:bottom w:w="0" w:type="dxa"/>
            <w:right w:w="108" w:type="dxa"/>
          </w:tblCellMar>
        </w:tblPrEx>
        <w:trPr>
          <w:trHeight w:val="285" w:hRule="atLeast"/>
          <w:jc w:val="center"/>
        </w:trPr>
        <w:tc>
          <w:tcPr>
            <w:tcW w:w="155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限制消费</w:t>
            </w:r>
          </w:p>
        </w:tc>
        <w:tc>
          <w:tcPr>
            <w:tcW w:w="5386" w:type="dxa"/>
            <w:tcBorders>
              <w:top w:val="nil"/>
              <w:left w:val="nil"/>
              <w:bottom w:val="single" w:color="auto" w:sz="4" w:space="0"/>
              <w:right w:val="single" w:color="auto" w:sz="4" w:space="0"/>
            </w:tcBorders>
            <w:shd w:val="clear" w:color="auto" w:fill="auto"/>
            <w:noWrap/>
            <w:vAlign w:val="center"/>
          </w:tcPr>
          <w:p>
            <w:pPr>
              <w:widowControl/>
              <w:jc w:val="left"/>
              <w:rPr>
                <w:rFonts w:cs="宋体"/>
                <w:kern w:val="0"/>
                <w:sz w:val="20"/>
                <w:szCs w:val="20"/>
              </w:rPr>
            </w:pPr>
            <w:r>
              <w:rPr>
                <w:rFonts w:hint="eastAsia" w:cs="宋体"/>
                <w:kern w:val="0"/>
                <w:sz w:val="20"/>
                <w:szCs w:val="20"/>
              </w:rPr>
              <w:t>被限制高消费</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中</w:t>
            </w:r>
          </w:p>
        </w:tc>
      </w:tr>
    </w:tbl>
    <w:p>
      <w:pPr>
        <w:pStyle w:val="19"/>
        <w:spacing w:line="360" w:lineRule="auto"/>
        <w:ind w:left="360" w:firstLine="0" w:firstLineChars="0"/>
        <w:rPr>
          <w:rFonts w:ascii="宋体" w:hAnsi="宋体" w:eastAsia="宋体"/>
          <w:sz w:val="24"/>
          <w:szCs w:val="24"/>
        </w:rPr>
      </w:pPr>
      <w:r>
        <w:rPr>
          <w:rFonts w:hint="eastAsia" w:ascii="宋体" w:hAnsi="宋体" w:eastAsia="宋体"/>
          <w:sz w:val="24"/>
          <w:szCs w:val="24"/>
        </w:rPr>
        <w:t>诚信规则：</w:t>
      </w:r>
    </w:p>
    <w:tbl>
      <w:tblPr>
        <w:tblStyle w:val="12"/>
        <w:tblW w:w="7460" w:type="dxa"/>
        <w:jc w:val="center"/>
        <w:tblLayout w:type="autofit"/>
        <w:tblCellMar>
          <w:top w:w="0" w:type="dxa"/>
          <w:left w:w="108" w:type="dxa"/>
          <w:bottom w:w="0" w:type="dxa"/>
          <w:right w:w="108" w:type="dxa"/>
        </w:tblCellMar>
      </w:tblPr>
      <w:tblGrid>
        <w:gridCol w:w="1980"/>
        <w:gridCol w:w="4400"/>
        <w:gridCol w:w="1080"/>
      </w:tblGrid>
      <w:tr>
        <w:tblPrEx>
          <w:tblCellMar>
            <w:top w:w="0" w:type="dxa"/>
            <w:left w:w="108" w:type="dxa"/>
            <w:bottom w:w="0" w:type="dxa"/>
            <w:right w:w="108" w:type="dxa"/>
          </w:tblCellMar>
        </w:tblPrEx>
        <w:trPr>
          <w:trHeight w:val="285" w:hRule="atLeast"/>
          <w:jc w:val="center"/>
        </w:trPr>
        <w:tc>
          <w:tcPr>
            <w:tcW w:w="1980" w:type="dxa"/>
            <w:tcBorders>
              <w:top w:val="single" w:color="auto" w:sz="4" w:space="0"/>
              <w:left w:val="single" w:color="auto" w:sz="4" w:space="0"/>
              <w:bottom w:val="single" w:color="auto" w:sz="4" w:space="0"/>
              <w:right w:val="single" w:color="auto" w:sz="4" w:space="0"/>
            </w:tcBorders>
            <w:shd w:val="clear" w:color="000000" w:fill="C00000"/>
            <w:noWrap/>
            <w:vAlign w:val="center"/>
          </w:tcPr>
          <w:p>
            <w:pPr>
              <w:widowControl/>
              <w:jc w:val="center"/>
              <w:rPr>
                <w:rFonts w:cs="宋体"/>
                <w:b/>
                <w:bCs/>
                <w:kern w:val="0"/>
                <w:sz w:val="20"/>
                <w:szCs w:val="20"/>
              </w:rPr>
            </w:pPr>
            <w:r>
              <w:rPr>
                <w:rFonts w:hint="eastAsia" w:cs="宋体"/>
                <w:b/>
                <w:bCs/>
                <w:kern w:val="0"/>
                <w:sz w:val="20"/>
                <w:szCs w:val="20"/>
              </w:rPr>
              <w:t>类别</w:t>
            </w:r>
          </w:p>
        </w:tc>
        <w:tc>
          <w:tcPr>
            <w:tcW w:w="4400" w:type="dxa"/>
            <w:tcBorders>
              <w:top w:val="single" w:color="auto" w:sz="4" w:space="0"/>
              <w:left w:val="nil"/>
              <w:bottom w:val="single" w:color="auto" w:sz="4" w:space="0"/>
              <w:right w:val="single" w:color="auto" w:sz="4" w:space="0"/>
            </w:tcBorders>
            <w:shd w:val="clear" w:color="000000" w:fill="C00000"/>
            <w:noWrap/>
            <w:vAlign w:val="center"/>
          </w:tcPr>
          <w:p>
            <w:pPr>
              <w:widowControl/>
              <w:jc w:val="center"/>
              <w:rPr>
                <w:rFonts w:cs="宋体"/>
                <w:b/>
                <w:bCs/>
                <w:kern w:val="0"/>
                <w:sz w:val="20"/>
                <w:szCs w:val="20"/>
              </w:rPr>
            </w:pPr>
            <w:r>
              <w:rPr>
                <w:rFonts w:hint="eastAsia" w:cs="宋体"/>
                <w:b/>
                <w:bCs/>
                <w:kern w:val="0"/>
                <w:sz w:val="20"/>
                <w:szCs w:val="20"/>
              </w:rPr>
              <w:t>规则名称</w:t>
            </w:r>
          </w:p>
        </w:tc>
        <w:tc>
          <w:tcPr>
            <w:tcW w:w="1080" w:type="dxa"/>
            <w:tcBorders>
              <w:top w:val="single" w:color="auto" w:sz="4" w:space="0"/>
              <w:left w:val="nil"/>
              <w:bottom w:val="single" w:color="auto" w:sz="4" w:space="0"/>
              <w:right w:val="single" w:color="auto" w:sz="4" w:space="0"/>
            </w:tcBorders>
            <w:shd w:val="clear" w:color="000000" w:fill="C00000"/>
            <w:vAlign w:val="center"/>
          </w:tcPr>
          <w:p>
            <w:pPr>
              <w:widowControl/>
              <w:jc w:val="center"/>
              <w:rPr>
                <w:rFonts w:cs="宋体"/>
                <w:b/>
                <w:bCs/>
                <w:kern w:val="0"/>
                <w:sz w:val="20"/>
                <w:szCs w:val="20"/>
              </w:rPr>
            </w:pPr>
            <w:r>
              <w:rPr>
                <w:rFonts w:hint="eastAsia" w:cs="宋体"/>
                <w:b/>
                <w:bCs/>
                <w:kern w:val="0"/>
                <w:sz w:val="20"/>
                <w:szCs w:val="20"/>
              </w:rPr>
              <w:t>严重程度</w:t>
            </w:r>
          </w:p>
        </w:tc>
      </w:tr>
      <w:tr>
        <w:tblPrEx>
          <w:tblCellMar>
            <w:top w:w="0" w:type="dxa"/>
            <w:left w:w="108" w:type="dxa"/>
            <w:bottom w:w="0" w:type="dxa"/>
            <w:right w:w="108" w:type="dxa"/>
          </w:tblCellMar>
        </w:tblPrEx>
        <w:trPr>
          <w:trHeight w:val="285" w:hRule="atLeast"/>
          <w:jc w:val="center"/>
        </w:trPr>
        <w:tc>
          <w:tcPr>
            <w:tcW w:w="19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金融机构处罚</w:t>
            </w:r>
          </w:p>
        </w:tc>
        <w:tc>
          <w:tcPr>
            <w:tcW w:w="4400" w:type="dxa"/>
            <w:tcBorders>
              <w:top w:val="nil"/>
              <w:left w:val="nil"/>
              <w:bottom w:val="single" w:color="auto" w:sz="4" w:space="0"/>
              <w:right w:val="single" w:color="auto" w:sz="4" w:space="0"/>
            </w:tcBorders>
            <w:shd w:val="clear" w:color="auto" w:fill="auto"/>
            <w:vAlign w:val="center"/>
          </w:tcPr>
          <w:p>
            <w:pPr>
              <w:widowControl/>
              <w:jc w:val="left"/>
              <w:rPr>
                <w:rFonts w:cs="宋体"/>
                <w:kern w:val="0"/>
                <w:sz w:val="20"/>
                <w:szCs w:val="20"/>
              </w:rPr>
            </w:pPr>
            <w:r>
              <w:rPr>
                <w:rFonts w:hint="eastAsia" w:cs="宋体"/>
                <w:kern w:val="0"/>
                <w:sz w:val="20"/>
                <w:szCs w:val="20"/>
              </w:rPr>
              <w:t>被监管警示(证监会)</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中</w:t>
            </w:r>
          </w:p>
        </w:tc>
      </w:tr>
      <w:tr>
        <w:tblPrEx>
          <w:tblCellMar>
            <w:top w:w="0" w:type="dxa"/>
            <w:left w:w="108" w:type="dxa"/>
            <w:bottom w:w="0" w:type="dxa"/>
            <w:right w:w="108" w:type="dxa"/>
          </w:tblCellMar>
        </w:tblPrEx>
        <w:trPr>
          <w:trHeight w:val="285" w:hRule="atLeast"/>
          <w:jc w:val="center"/>
        </w:trPr>
        <w:tc>
          <w:tcPr>
            <w:tcW w:w="19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金融机构处罚</w:t>
            </w:r>
          </w:p>
        </w:tc>
        <w:tc>
          <w:tcPr>
            <w:tcW w:w="4400" w:type="dxa"/>
            <w:tcBorders>
              <w:top w:val="nil"/>
              <w:left w:val="nil"/>
              <w:bottom w:val="single" w:color="auto" w:sz="4" w:space="0"/>
              <w:right w:val="single" w:color="auto" w:sz="4" w:space="0"/>
            </w:tcBorders>
            <w:shd w:val="clear" w:color="auto" w:fill="auto"/>
            <w:vAlign w:val="center"/>
          </w:tcPr>
          <w:p>
            <w:pPr>
              <w:widowControl/>
              <w:jc w:val="left"/>
              <w:rPr>
                <w:rFonts w:cs="宋体"/>
                <w:kern w:val="0"/>
                <w:sz w:val="20"/>
                <w:szCs w:val="20"/>
              </w:rPr>
            </w:pPr>
            <w:r>
              <w:rPr>
                <w:rFonts w:hint="eastAsia" w:cs="宋体"/>
                <w:kern w:val="0"/>
                <w:sz w:val="20"/>
                <w:szCs w:val="20"/>
              </w:rPr>
              <w:t>被监管警示(交易所)</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中</w:t>
            </w:r>
          </w:p>
        </w:tc>
      </w:tr>
      <w:tr>
        <w:tblPrEx>
          <w:tblCellMar>
            <w:top w:w="0" w:type="dxa"/>
            <w:left w:w="108" w:type="dxa"/>
            <w:bottom w:w="0" w:type="dxa"/>
            <w:right w:w="108" w:type="dxa"/>
          </w:tblCellMar>
        </w:tblPrEx>
        <w:trPr>
          <w:trHeight w:val="285" w:hRule="atLeast"/>
          <w:jc w:val="center"/>
        </w:trPr>
        <w:tc>
          <w:tcPr>
            <w:tcW w:w="19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金融机构处罚</w:t>
            </w:r>
          </w:p>
        </w:tc>
        <w:tc>
          <w:tcPr>
            <w:tcW w:w="4400" w:type="dxa"/>
            <w:tcBorders>
              <w:top w:val="nil"/>
              <w:left w:val="nil"/>
              <w:bottom w:val="single" w:color="auto" w:sz="4" w:space="0"/>
              <w:right w:val="single" w:color="auto" w:sz="4" w:space="0"/>
            </w:tcBorders>
            <w:shd w:val="clear" w:color="auto" w:fill="auto"/>
            <w:vAlign w:val="center"/>
          </w:tcPr>
          <w:p>
            <w:pPr>
              <w:widowControl/>
              <w:jc w:val="left"/>
              <w:rPr>
                <w:rFonts w:cs="宋体"/>
                <w:kern w:val="0"/>
                <w:sz w:val="20"/>
                <w:szCs w:val="20"/>
              </w:rPr>
            </w:pPr>
            <w:r>
              <w:rPr>
                <w:rFonts w:hint="eastAsia" w:cs="宋体"/>
                <w:kern w:val="0"/>
                <w:sz w:val="20"/>
                <w:szCs w:val="20"/>
              </w:rPr>
              <w:t>被监管警示(全国股转公司)</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中</w:t>
            </w:r>
          </w:p>
        </w:tc>
      </w:tr>
      <w:tr>
        <w:tblPrEx>
          <w:tblCellMar>
            <w:top w:w="0" w:type="dxa"/>
            <w:left w:w="108" w:type="dxa"/>
            <w:bottom w:w="0" w:type="dxa"/>
            <w:right w:w="108" w:type="dxa"/>
          </w:tblCellMar>
        </w:tblPrEx>
        <w:trPr>
          <w:trHeight w:val="285" w:hRule="atLeast"/>
          <w:jc w:val="center"/>
        </w:trPr>
        <w:tc>
          <w:tcPr>
            <w:tcW w:w="19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金融机构处罚</w:t>
            </w:r>
          </w:p>
        </w:tc>
        <w:tc>
          <w:tcPr>
            <w:tcW w:w="4400" w:type="dxa"/>
            <w:tcBorders>
              <w:top w:val="nil"/>
              <w:left w:val="nil"/>
              <w:bottom w:val="single" w:color="auto" w:sz="4" w:space="0"/>
              <w:right w:val="single" w:color="auto" w:sz="4" w:space="0"/>
            </w:tcBorders>
            <w:shd w:val="clear" w:color="auto" w:fill="auto"/>
            <w:vAlign w:val="center"/>
          </w:tcPr>
          <w:p>
            <w:pPr>
              <w:widowControl/>
              <w:jc w:val="left"/>
              <w:rPr>
                <w:rFonts w:cs="宋体"/>
                <w:kern w:val="0"/>
                <w:sz w:val="20"/>
                <w:szCs w:val="20"/>
              </w:rPr>
            </w:pPr>
            <w:r>
              <w:rPr>
                <w:rFonts w:hint="eastAsia" w:cs="宋体"/>
                <w:kern w:val="0"/>
                <w:sz w:val="20"/>
                <w:szCs w:val="20"/>
              </w:rPr>
              <w:t>被立案调查(证监会)</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中</w:t>
            </w:r>
          </w:p>
        </w:tc>
      </w:tr>
      <w:tr>
        <w:tblPrEx>
          <w:tblCellMar>
            <w:top w:w="0" w:type="dxa"/>
            <w:left w:w="108" w:type="dxa"/>
            <w:bottom w:w="0" w:type="dxa"/>
            <w:right w:w="108" w:type="dxa"/>
          </w:tblCellMar>
        </w:tblPrEx>
        <w:trPr>
          <w:trHeight w:val="285" w:hRule="atLeast"/>
          <w:jc w:val="center"/>
        </w:trPr>
        <w:tc>
          <w:tcPr>
            <w:tcW w:w="19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金融机构处罚</w:t>
            </w:r>
          </w:p>
        </w:tc>
        <w:tc>
          <w:tcPr>
            <w:tcW w:w="4400" w:type="dxa"/>
            <w:tcBorders>
              <w:top w:val="nil"/>
              <w:left w:val="nil"/>
              <w:bottom w:val="single" w:color="auto" w:sz="4" w:space="0"/>
              <w:right w:val="single" w:color="auto" w:sz="4" w:space="0"/>
            </w:tcBorders>
            <w:shd w:val="clear" w:color="auto" w:fill="auto"/>
            <w:vAlign w:val="center"/>
          </w:tcPr>
          <w:p>
            <w:pPr>
              <w:widowControl/>
              <w:jc w:val="left"/>
              <w:rPr>
                <w:rFonts w:cs="宋体"/>
                <w:kern w:val="0"/>
                <w:sz w:val="20"/>
                <w:szCs w:val="20"/>
              </w:rPr>
            </w:pPr>
            <w:r>
              <w:rPr>
                <w:rFonts w:hint="eastAsia" w:cs="宋体"/>
                <w:kern w:val="0"/>
                <w:sz w:val="20"/>
                <w:szCs w:val="20"/>
              </w:rPr>
              <w:t>被永久性市场禁入(证监会)</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中</w:t>
            </w:r>
          </w:p>
        </w:tc>
      </w:tr>
      <w:tr>
        <w:tblPrEx>
          <w:tblCellMar>
            <w:top w:w="0" w:type="dxa"/>
            <w:left w:w="108" w:type="dxa"/>
            <w:bottom w:w="0" w:type="dxa"/>
            <w:right w:w="108" w:type="dxa"/>
          </w:tblCellMar>
        </w:tblPrEx>
        <w:trPr>
          <w:trHeight w:val="285" w:hRule="atLeast"/>
          <w:jc w:val="center"/>
        </w:trPr>
        <w:tc>
          <w:tcPr>
            <w:tcW w:w="19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金融机构处罚</w:t>
            </w:r>
          </w:p>
        </w:tc>
        <w:tc>
          <w:tcPr>
            <w:tcW w:w="4400" w:type="dxa"/>
            <w:tcBorders>
              <w:top w:val="nil"/>
              <w:left w:val="nil"/>
              <w:bottom w:val="single" w:color="auto" w:sz="4" w:space="0"/>
              <w:right w:val="single" w:color="auto" w:sz="4" w:space="0"/>
            </w:tcBorders>
            <w:shd w:val="clear" w:color="auto" w:fill="auto"/>
            <w:vAlign w:val="center"/>
          </w:tcPr>
          <w:p>
            <w:pPr>
              <w:widowControl/>
              <w:jc w:val="left"/>
              <w:rPr>
                <w:rFonts w:cs="宋体"/>
                <w:kern w:val="0"/>
                <w:sz w:val="20"/>
                <w:szCs w:val="20"/>
              </w:rPr>
            </w:pPr>
            <w:r>
              <w:rPr>
                <w:rFonts w:hint="eastAsia" w:cs="宋体"/>
                <w:kern w:val="0"/>
                <w:sz w:val="20"/>
                <w:szCs w:val="20"/>
              </w:rPr>
              <w:t>被期限类市场禁入(证监会)</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低</w:t>
            </w:r>
          </w:p>
        </w:tc>
      </w:tr>
      <w:tr>
        <w:tblPrEx>
          <w:tblCellMar>
            <w:top w:w="0" w:type="dxa"/>
            <w:left w:w="108" w:type="dxa"/>
            <w:bottom w:w="0" w:type="dxa"/>
            <w:right w:w="108" w:type="dxa"/>
          </w:tblCellMar>
        </w:tblPrEx>
        <w:trPr>
          <w:trHeight w:val="285" w:hRule="atLeast"/>
          <w:jc w:val="center"/>
        </w:trPr>
        <w:tc>
          <w:tcPr>
            <w:tcW w:w="19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金融机构处罚</w:t>
            </w:r>
          </w:p>
        </w:tc>
        <w:tc>
          <w:tcPr>
            <w:tcW w:w="4400" w:type="dxa"/>
            <w:tcBorders>
              <w:top w:val="nil"/>
              <w:left w:val="nil"/>
              <w:bottom w:val="single" w:color="auto" w:sz="4" w:space="0"/>
              <w:right w:val="single" w:color="auto" w:sz="4" w:space="0"/>
            </w:tcBorders>
            <w:shd w:val="clear" w:color="auto" w:fill="auto"/>
            <w:vAlign w:val="center"/>
          </w:tcPr>
          <w:p>
            <w:pPr>
              <w:widowControl/>
              <w:jc w:val="left"/>
              <w:rPr>
                <w:rFonts w:cs="宋体"/>
                <w:kern w:val="0"/>
                <w:sz w:val="20"/>
                <w:szCs w:val="20"/>
              </w:rPr>
            </w:pPr>
            <w:r>
              <w:rPr>
                <w:rFonts w:hint="eastAsia" w:cs="宋体"/>
                <w:kern w:val="0"/>
                <w:sz w:val="20"/>
                <w:szCs w:val="20"/>
              </w:rPr>
              <w:t>被限制或取消证券账户交易(交易所)</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中</w:t>
            </w:r>
          </w:p>
        </w:tc>
      </w:tr>
      <w:tr>
        <w:tblPrEx>
          <w:tblCellMar>
            <w:top w:w="0" w:type="dxa"/>
            <w:left w:w="108" w:type="dxa"/>
            <w:bottom w:w="0" w:type="dxa"/>
            <w:right w:w="108" w:type="dxa"/>
          </w:tblCellMar>
        </w:tblPrEx>
        <w:trPr>
          <w:trHeight w:val="285" w:hRule="atLeast"/>
          <w:jc w:val="center"/>
        </w:trPr>
        <w:tc>
          <w:tcPr>
            <w:tcW w:w="19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金融机构处罚</w:t>
            </w:r>
          </w:p>
        </w:tc>
        <w:tc>
          <w:tcPr>
            <w:tcW w:w="4400" w:type="dxa"/>
            <w:tcBorders>
              <w:top w:val="nil"/>
              <w:left w:val="nil"/>
              <w:bottom w:val="single" w:color="auto" w:sz="4" w:space="0"/>
              <w:right w:val="single" w:color="auto" w:sz="4" w:space="0"/>
            </w:tcBorders>
            <w:shd w:val="clear" w:color="auto" w:fill="auto"/>
            <w:vAlign w:val="center"/>
          </w:tcPr>
          <w:p>
            <w:pPr>
              <w:widowControl/>
              <w:jc w:val="left"/>
              <w:rPr>
                <w:rFonts w:cs="宋体"/>
                <w:kern w:val="0"/>
                <w:sz w:val="20"/>
                <w:szCs w:val="20"/>
              </w:rPr>
            </w:pPr>
            <w:r>
              <w:rPr>
                <w:rFonts w:hint="eastAsia" w:cs="宋体"/>
                <w:kern w:val="0"/>
                <w:sz w:val="20"/>
                <w:szCs w:val="20"/>
              </w:rPr>
              <w:t>被限制或取消证券账户交易(全国股转公司)</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中</w:t>
            </w:r>
          </w:p>
        </w:tc>
      </w:tr>
      <w:tr>
        <w:tblPrEx>
          <w:tblCellMar>
            <w:top w:w="0" w:type="dxa"/>
            <w:left w:w="108" w:type="dxa"/>
            <w:bottom w:w="0" w:type="dxa"/>
            <w:right w:w="108" w:type="dxa"/>
          </w:tblCellMar>
        </w:tblPrEx>
        <w:trPr>
          <w:trHeight w:val="285" w:hRule="atLeast"/>
          <w:jc w:val="center"/>
        </w:trPr>
        <w:tc>
          <w:tcPr>
            <w:tcW w:w="19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金融机构处罚</w:t>
            </w:r>
          </w:p>
        </w:tc>
        <w:tc>
          <w:tcPr>
            <w:tcW w:w="4400" w:type="dxa"/>
            <w:tcBorders>
              <w:top w:val="nil"/>
              <w:left w:val="nil"/>
              <w:bottom w:val="single" w:color="auto" w:sz="4" w:space="0"/>
              <w:right w:val="single" w:color="auto" w:sz="4" w:space="0"/>
            </w:tcBorders>
            <w:shd w:val="clear" w:color="auto" w:fill="auto"/>
            <w:vAlign w:val="center"/>
          </w:tcPr>
          <w:p>
            <w:pPr>
              <w:widowControl/>
              <w:jc w:val="left"/>
              <w:rPr>
                <w:rFonts w:cs="宋体"/>
                <w:kern w:val="0"/>
                <w:sz w:val="20"/>
                <w:szCs w:val="20"/>
              </w:rPr>
            </w:pPr>
            <w:r>
              <w:rPr>
                <w:rFonts w:hint="eastAsia" w:cs="宋体"/>
                <w:kern w:val="0"/>
                <w:sz w:val="20"/>
                <w:szCs w:val="20"/>
              </w:rPr>
              <w:t>被采取强制措施或逮捕(证监会)</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中</w:t>
            </w:r>
          </w:p>
        </w:tc>
      </w:tr>
      <w:tr>
        <w:tblPrEx>
          <w:tblCellMar>
            <w:top w:w="0" w:type="dxa"/>
            <w:left w:w="108" w:type="dxa"/>
            <w:bottom w:w="0" w:type="dxa"/>
            <w:right w:w="108" w:type="dxa"/>
          </w:tblCellMar>
        </w:tblPrEx>
        <w:trPr>
          <w:trHeight w:val="285" w:hRule="atLeast"/>
          <w:jc w:val="center"/>
        </w:trPr>
        <w:tc>
          <w:tcPr>
            <w:tcW w:w="19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金融机构处罚</w:t>
            </w:r>
          </w:p>
        </w:tc>
        <w:tc>
          <w:tcPr>
            <w:tcW w:w="4400" w:type="dxa"/>
            <w:tcBorders>
              <w:top w:val="nil"/>
              <w:left w:val="nil"/>
              <w:bottom w:val="single" w:color="auto" w:sz="4" w:space="0"/>
              <w:right w:val="single" w:color="auto" w:sz="4" w:space="0"/>
            </w:tcBorders>
            <w:shd w:val="clear" w:color="auto" w:fill="auto"/>
            <w:vAlign w:val="center"/>
          </w:tcPr>
          <w:p>
            <w:pPr>
              <w:widowControl/>
              <w:jc w:val="left"/>
              <w:rPr>
                <w:rFonts w:cs="宋体"/>
                <w:kern w:val="0"/>
                <w:sz w:val="20"/>
                <w:szCs w:val="20"/>
              </w:rPr>
            </w:pPr>
            <w:r>
              <w:rPr>
                <w:rFonts w:hint="eastAsia" w:cs="宋体"/>
                <w:kern w:val="0"/>
                <w:sz w:val="20"/>
                <w:szCs w:val="20"/>
              </w:rPr>
              <w:t>被采取强制措施或逮捕(交易所)</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中</w:t>
            </w:r>
          </w:p>
        </w:tc>
      </w:tr>
      <w:tr>
        <w:tblPrEx>
          <w:tblCellMar>
            <w:top w:w="0" w:type="dxa"/>
            <w:left w:w="108" w:type="dxa"/>
            <w:bottom w:w="0" w:type="dxa"/>
            <w:right w:w="108" w:type="dxa"/>
          </w:tblCellMar>
        </w:tblPrEx>
        <w:trPr>
          <w:trHeight w:val="285" w:hRule="atLeast"/>
          <w:jc w:val="center"/>
        </w:trPr>
        <w:tc>
          <w:tcPr>
            <w:tcW w:w="19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非金融机构处罚</w:t>
            </w:r>
          </w:p>
        </w:tc>
        <w:tc>
          <w:tcPr>
            <w:tcW w:w="4400" w:type="dxa"/>
            <w:tcBorders>
              <w:top w:val="nil"/>
              <w:left w:val="nil"/>
              <w:bottom w:val="single" w:color="auto" w:sz="4" w:space="0"/>
              <w:right w:val="single" w:color="auto" w:sz="4" w:space="0"/>
            </w:tcBorders>
            <w:shd w:val="clear" w:color="auto" w:fill="auto"/>
            <w:vAlign w:val="center"/>
          </w:tcPr>
          <w:p>
            <w:pPr>
              <w:widowControl/>
              <w:jc w:val="left"/>
              <w:rPr>
                <w:rFonts w:cs="宋体"/>
                <w:kern w:val="0"/>
                <w:sz w:val="20"/>
                <w:szCs w:val="20"/>
              </w:rPr>
            </w:pPr>
            <w:r>
              <w:rPr>
                <w:rFonts w:hint="eastAsia" w:cs="宋体"/>
                <w:kern w:val="0"/>
                <w:sz w:val="20"/>
                <w:szCs w:val="20"/>
              </w:rPr>
              <w:t>被监管警示(其他机构)</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低</w:t>
            </w:r>
          </w:p>
        </w:tc>
      </w:tr>
      <w:tr>
        <w:tblPrEx>
          <w:tblCellMar>
            <w:top w:w="0" w:type="dxa"/>
            <w:left w:w="108" w:type="dxa"/>
            <w:bottom w:w="0" w:type="dxa"/>
            <w:right w:w="108" w:type="dxa"/>
          </w:tblCellMar>
        </w:tblPrEx>
        <w:trPr>
          <w:trHeight w:val="285" w:hRule="atLeast"/>
          <w:jc w:val="center"/>
        </w:trPr>
        <w:tc>
          <w:tcPr>
            <w:tcW w:w="19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非金融机构处罚</w:t>
            </w:r>
          </w:p>
        </w:tc>
        <w:tc>
          <w:tcPr>
            <w:tcW w:w="4400" w:type="dxa"/>
            <w:tcBorders>
              <w:top w:val="nil"/>
              <w:left w:val="nil"/>
              <w:bottom w:val="single" w:color="auto" w:sz="4" w:space="0"/>
              <w:right w:val="single" w:color="auto" w:sz="4" w:space="0"/>
            </w:tcBorders>
            <w:shd w:val="clear" w:color="auto" w:fill="auto"/>
            <w:vAlign w:val="center"/>
          </w:tcPr>
          <w:p>
            <w:pPr>
              <w:widowControl/>
              <w:jc w:val="left"/>
              <w:rPr>
                <w:rFonts w:cs="宋体"/>
                <w:kern w:val="0"/>
                <w:sz w:val="20"/>
                <w:szCs w:val="20"/>
              </w:rPr>
            </w:pPr>
            <w:r>
              <w:rPr>
                <w:rFonts w:hint="eastAsia" w:cs="宋体"/>
                <w:kern w:val="0"/>
                <w:sz w:val="20"/>
                <w:szCs w:val="20"/>
              </w:rPr>
              <w:t>被立案调查(公安及检察机关)</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中</w:t>
            </w:r>
          </w:p>
        </w:tc>
      </w:tr>
      <w:tr>
        <w:tblPrEx>
          <w:tblCellMar>
            <w:top w:w="0" w:type="dxa"/>
            <w:left w:w="108" w:type="dxa"/>
            <w:bottom w:w="0" w:type="dxa"/>
            <w:right w:w="108" w:type="dxa"/>
          </w:tblCellMar>
        </w:tblPrEx>
        <w:trPr>
          <w:trHeight w:val="285" w:hRule="atLeast"/>
          <w:jc w:val="center"/>
        </w:trPr>
        <w:tc>
          <w:tcPr>
            <w:tcW w:w="19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非金融机构处罚</w:t>
            </w:r>
          </w:p>
        </w:tc>
        <w:tc>
          <w:tcPr>
            <w:tcW w:w="4400" w:type="dxa"/>
            <w:tcBorders>
              <w:top w:val="nil"/>
              <w:left w:val="nil"/>
              <w:bottom w:val="single" w:color="auto" w:sz="4" w:space="0"/>
              <w:right w:val="single" w:color="auto" w:sz="4" w:space="0"/>
            </w:tcBorders>
            <w:shd w:val="clear" w:color="auto" w:fill="auto"/>
            <w:vAlign w:val="center"/>
          </w:tcPr>
          <w:p>
            <w:pPr>
              <w:widowControl/>
              <w:jc w:val="left"/>
              <w:rPr>
                <w:rFonts w:cs="宋体"/>
                <w:kern w:val="0"/>
                <w:sz w:val="20"/>
                <w:szCs w:val="20"/>
              </w:rPr>
            </w:pPr>
            <w:r>
              <w:rPr>
                <w:rFonts w:hint="eastAsia" w:cs="宋体"/>
                <w:kern w:val="0"/>
                <w:sz w:val="20"/>
                <w:szCs w:val="20"/>
              </w:rPr>
              <w:t>被立案调查(其他机构)</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低</w:t>
            </w:r>
          </w:p>
        </w:tc>
      </w:tr>
      <w:tr>
        <w:tblPrEx>
          <w:tblCellMar>
            <w:top w:w="0" w:type="dxa"/>
            <w:left w:w="108" w:type="dxa"/>
            <w:bottom w:w="0" w:type="dxa"/>
            <w:right w:w="108" w:type="dxa"/>
          </w:tblCellMar>
        </w:tblPrEx>
        <w:trPr>
          <w:trHeight w:val="285" w:hRule="atLeast"/>
          <w:jc w:val="center"/>
        </w:trPr>
        <w:tc>
          <w:tcPr>
            <w:tcW w:w="19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非金融机构处罚</w:t>
            </w:r>
          </w:p>
        </w:tc>
        <w:tc>
          <w:tcPr>
            <w:tcW w:w="4400" w:type="dxa"/>
            <w:tcBorders>
              <w:top w:val="nil"/>
              <w:left w:val="nil"/>
              <w:bottom w:val="single" w:color="auto" w:sz="4" w:space="0"/>
              <w:right w:val="single" w:color="auto" w:sz="4" w:space="0"/>
            </w:tcBorders>
            <w:shd w:val="clear" w:color="auto" w:fill="auto"/>
            <w:vAlign w:val="center"/>
          </w:tcPr>
          <w:p>
            <w:pPr>
              <w:widowControl/>
              <w:jc w:val="left"/>
              <w:rPr>
                <w:rFonts w:cs="宋体"/>
                <w:kern w:val="0"/>
                <w:sz w:val="20"/>
                <w:szCs w:val="20"/>
              </w:rPr>
            </w:pPr>
            <w:r>
              <w:rPr>
                <w:rFonts w:hint="eastAsia" w:cs="宋体"/>
                <w:kern w:val="0"/>
                <w:sz w:val="20"/>
                <w:szCs w:val="20"/>
              </w:rPr>
              <w:t>被采取强制措施或逮捕(公安及检察机关)</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中</w:t>
            </w:r>
          </w:p>
        </w:tc>
      </w:tr>
      <w:tr>
        <w:tblPrEx>
          <w:tblCellMar>
            <w:top w:w="0" w:type="dxa"/>
            <w:left w:w="108" w:type="dxa"/>
            <w:bottom w:w="0" w:type="dxa"/>
            <w:right w:w="108" w:type="dxa"/>
          </w:tblCellMar>
        </w:tblPrEx>
        <w:trPr>
          <w:trHeight w:val="285" w:hRule="atLeast"/>
          <w:jc w:val="center"/>
        </w:trPr>
        <w:tc>
          <w:tcPr>
            <w:tcW w:w="19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0"/>
                <w:szCs w:val="20"/>
              </w:rPr>
            </w:pPr>
            <w:r>
              <w:rPr>
                <w:rFonts w:hint="eastAsia" w:cs="宋体"/>
                <w:kern w:val="0"/>
                <w:sz w:val="20"/>
                <w:szCs w:val="20"/>
              </w:rPr>
              <w:t>非金融机构处罚</w:t>
            </w:r>
          </w:p>
        </w:tc>
        <w:tc>
          <w:tcPr>
            <w:tcW w:w="4400" w:type="dxa"/>
            <w:tcBorders>
              <w:top w:val="nil"/>
              <w:left w:val="nil"/>
              <w:bottom w:val="single" w:color="auto" w:sz="4" w:space="0"/>
              <w:right w:val="single" w:color="auto" w:sz="4" w:space="0"/>
            </w:tcBorders>
            <w:shd w:val="clear" w:color="auto" w:fill="auto"/>
            <w:vAlign w:val="center"/>
          </w:tcPr>
          <w:p>
            <w:pPr>
              <w:widowControl/>
              <w:jc w:val="left"/>
              <w:rPr>
                <w:rFonts w:cs="宋体"/>
                <w:kern w:val="0"/>
                <w:sz w:val="20"/>
                <w:szCs w:val="20"/>
              </w:rPr>
            </w:pPr>
            <w:r>
              <w:rPr>
                <w:rFonts w:hint="eastAsia" w:cs="宋体"/>
                <w:kern w:val="0"/>
                <w:sz w:val="20"/>
                <w:szCs w:val="20"/>
              </w:rPr>
              <w:t>被采取强制措施或逮捕(其他机构)</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cs="宋体"/>
                <w:kern w:val="0"/>
                <w:sz w:val="20"/>
                <w:szCs w:val="20"/>
              </w:rPr>
            </w:pPr>
            <w:r>
              <w:rPr>
                <w:rFonts w:hint="eastAsia" w:cs="宋体"/>
                <w:kern w:val="0"/>
                <w:sz w:val="20"/>
                <w:szCs w:val="20"/>
              </w:rPr>
              <w:t>低</w:t>
            </w:r>
          </w:p>
        </w:tc>
      </w:tr>
    </w:tbl>
    <w:p>
      <w:pPr>
        <w:pStyle w:val="2"/>
        <w:rPr>
          <w:rFonts w:ascii="宋体" w:hAnsi="宋体" w:eastAsia="宋体"/>
          <w:sz w:val="32"/>
          <w:szCs w:val="32"/>
        </w:rPr>
      </w:pPr>
      <w:bookmarkStart w:id="3" w:name="_Toc109131009"/>
      <w:r>
        <w:rPr>
          <w:rFonts w:hint="eastAsia" w:ascii="宋体" w:hAnsi="宋体" w:eastAsia="宋体"/>
          <w:sz w:val="32"/>
          <w:szCs w:val="32"/>
        </w:rPr>
        <w:t>二、用户使用场景</w:t>
      </w:r>
      <w:bookmarkEnd w:id="3"/>
    </w:p>
    <w:p>
      <w:pPr>
        <w:spacing w:line="360" w:lineRule="auto"/>
        <w:ind w:firstLine="480" w:firstLineChars="200"/>
        <w:rPr>
          <w:rFonts w:ascii="宋体" w:hAnsi="宋体" w:eastAsia="宋体"/>
          <w:sz w:val="24"/>
          <w:szCs w:val="24"/>
        </w:rPr>
      </w:pPr>
      <w:r>
        <w:rPr>
          <w:rFonts w:hint="eastAsia" w:ascii="宋体" w:hAnsi="宋体" w:eastAsia="宋体"/>
          <w:sz w:val="24"/>
          <w:szCs w:val="24"/>
        </w:rPr>
        <w:t>在使用场景上，主要包括舆情的实时动态查看、定期统计分析。</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实时动态查看即需第一时间获取当下短时间内的热点信息，掌握市场异动情况，具体对应到热点企业、舆情热词以及快讯/行业舆情/区域舆情功能模块，了解当下舆情讨论关键企业、关键事件、实时讯息。</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定期统计分析则需提供多维舆情统计，从而了解全市场范围的企业舆情数量以及分布情况，具体对应到舆情统计功能模块。</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在以上场景中，均会涉及由热点/全面统计到细节信息的获取需求，因此还需要提供舆情列表，并设置联动，支持快速检索舆情信息。</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因此各板块分布考虑如下：</w:t>
      </w:r>
    </w:p>
    <w:p>
      <w:pPr>
        <w:spacing w:line="360" w:lineRule="auto"/>
        <w:rPr>
          <w:rFonts w:ascii="宋体" w:hAnsi="宋体" w:eastAsia="宋体"/>
          <w:sz w:val="24"/>
          <w:szCs w:val="24"/>
        </w:rPr>
      </w:pPr>
      <w:r>
        <w:drawing>
          <wp:inline distT="0" distB="0" distL="0" distR="0">
            <wp:extent cx="5274310" cy="3195955"/>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3195955"/>
                    </a:xfrm>
                    <a:prstGeom prst="rect">
                      <a:avLst/>
                    </a:prstGeom>
                  </pic:spPr>
                </pic:pic>
              </a:graphicData>
            </a:graphic>
          </wp:inline>
        </w:drawing>
      </w:r>
    </w:p>
    <w:p>
      <w:pPr>
        <w:pStyle w:val="2"/>
        <w:rPr>
          <w:rFonts w:ascii="宋体" w:hAnsi="宋体" w:eastAsia="宋体"/>
          <w:sz w:val="32"/>
          <w:szCs w:val="32"/>
        </w:rPr>
      </w:pPr>
      <w:bookmarkStart w:id="4" w:name="_Toc109131010"/>
      <w:r>
        <w:rPr>
          <w:rFonts w:hint="eastAsia" w:ascii="宋体" w:hAnsi="宋体" w:eastAsia="宋体"/>
          <w:sz w:val="32"/>
          <w:szCs w:val="32"/>
        </w:rPr>
        <w:t>三、功能内容</w:t>
      </w:r>
      <w:bookmarkEnd w:id="4"/>
    </w:p>
    <w:p>
      <w:pPr>
        <w:pStyle w:val="3"/>
        <w:numPr>
          <w:ilvl w:val="0"/>
          <w:numId w:val="1"/>
        </w:numPr>
        <w:rPr>
          <w:rFonts w:ascii="宋体" w:hAnsi="宋体" w:eastAsia="宋体"/>
          <w:sz w:val="30"/>
          <w:szCs w:val="30"/>
        </w:rPr>
      </w:pPr>
      <w:bookmarkStart w:id="5" w:name="_Toc109131011"/>
      <w:r>
        <w:rPr>
          <w:rFonts w:hint="eastAsia" w:ascii="宋体" w:hAnsi="宋体" w:eastAsia="宋体"/>
          <w:sz w:val="30"/>
          <w:szCs w:val="30"/>
        </w:rPr>
        <w:t>热点企业</w:t>
      </w:r>
      <w:bookmarkEnd w:id="5"/>
    </w:p>
    <w:p>
      <w:pPr>
        <w:pStyle w:val="19"/>
        <w:spacing w:line="360" w:lineRule="auto"/>
        <w:ind w:left="360" w:firstLine="480"/>
        <w:rPr>
          <w:rFonts w:ascii="宋体" w:hAnsi="宋体" w:eastAsia="宋体"/>
          <w:sz w:val="24"/>
          <w:szCs w:val="24"/>
        </w:rPr>
      </w:pPr>
      <w:r>
        <w:rPr>
          <w:rFonts w:hint="eastAsia" w:ascii="宋体" w:hAnsi="宋体" w:eastAsia="宋体"/>
          <w:sz w:val="24"/>
          <w:szCs w:val="24"/>
        </w:rPr>
        <w:t>对接违约预警产出的最新热点企业数据，主要包括</w:t>
      </w:r>
      <w:r>
        <w:rPr>
          <w:rFonts w:hint="eastAsia" w:ascii="宋体" w:hAnsi="宋体" w:eastAsia="宋体"/>
          <w:i/>
          <w:sz w:val="24"/>
          <w:szCs w:val="24"/>
        </w:rPr>
        <w:t>热点企业榜单（热点企业全称、热点企业排名）、企业命中的热点舆情标题以及舆情的风险事件标签</w:t>
      </w:r>
      <w:r>
        <w:rPr>
          <w:rFonts w:hint="eastAsia" w:ascii="宋体" w:hAnsi="宋体" w:eastAsia="宋体"/>
          <w:sz w:val="24"/>
          <w:szCs w:val="24"/>
        </w:rPr>
        <w:t>，支持点击企业名称跳转进入企业展台，点击舆情标题打开相应舆情正文（除正文外，展示主体舆情的关联企业名称、严重程度、新闻来源、风险标签、消息时间，主要需要关联到</w:t>
      </w:r>
      <w:r>
        <w:rPr>
          <w:rFonts w:ascii="宋体" w:hAnsi="宋体" w:eastAsia="宋体"/>
          <w:sz w:val="24"/>
          <w:szCs w:val="24"/>
        </w:rPr>
        <w:t>X_NEWS_TCRNW0001-</w:t>
      </w:r>
      <w:r>
        <w:rPr>
          <w:rFonts w:hint="eastAsia" w:ascii="宋体" w:hAnsi="宋体" w:eastAsia="宋体"/>
          <w:sz w:val="24"/>
          <w:szCs w:val="24"/>
        </w:rPr>
        <w:t>新闻主表获取标题 来源 时间、</w:t>
      </w:r>
      <w:r>
        <w:rPr>
          <w:rFonts w:ascii="宋体" w:hAnsi="宋体" w:eastAsia="宋体"/>
          <w:sz w:val="24"/>
          <w:szCs w:val="24"/>
        </w:rPr>
        <w:t>X_NEWS_TCRNW0002-</w:t>
      </w:r>
      <w:r>
        <w:rPr>
          <w:rFonts w:hint="eastAsia" w:ascii="宋体" w:hAnsi="宋体" w:eastAsia="宋体"/>
          <w:sz w:val="24"/>
          <w:szCs w:val="24"/>
        </w:rPr>
        <w:t>新闻正文获取正文、</w:t>
      </w:r>
      <w:r>
        <w:rPr>
          <w:rFonts w:ascii="宋体" w:hAnsi="宋体" w:eastAsia="宋体"/>
          <w:sz w:val="24"/>
          <w:szCs w:val="24"/>
        </w:rPr>
        <w:t>X_NEWS_TCRNW0003_ALL-</w:t>
      </w:r>
      <w:r>
        <w:rPr>
          <w:rFonts w:hint="eastAsia" w:ascii="宋体" w:hAnsi="宋体" w:eastAsia="宋体"/>
          <w:sz w:val="24"/>
          <w:szCs w:val="24"/>
        </w:rPr>
        <w:t>企业新闻机构表获取标签）等详细信息。</w:t>
      </w:r>
    </w:p>
    <w:p>
      <w:pPr>
        <w:pStyle w:val="19"/>
        <w:spacing w:line="360" w:lineRule="auto"/>
        <w:ind w:left="360" w:firstLine="480"/>
        <w:rPr>
          <w:rFonts w:ascii="宋体" w:hAnsi="宋体" w:eastAsia="宋体"/>
          <w:sz w:val="24"/>
          <w:szCs w:val="24"/>
        </w:rPr>
      </w:pPr>
      <w:r>
        <w:rPr>
          <w:rFonts w:hint="eastAsia" w:ascii="宋体" w:hAnsi="宋体" w:eastAsia="宋体"/>
          <w:sz w:val="24"/>
          <w:szCs w:val="24"/>
        </w:rPr>
        <w:t>在热点企业旁添加说明，支持点击浮显热门企业的释义：根据过去1</w:t>
      </w:r>
      <w:r>
        <w:rPr>
          <w:rFonts w:ascii="宋体" w:hAnsi="宋体" w:eastAsia="宋体"/>
          <w:sz w:val="24"/>
          <w:szCs w:val="24"/>
        </w:rPr>
        <w:t>2h</w:t>
      </w:r>
      <w:r>
        <w:rPr>
          <w:rFonts w:hint="eastAsia" w:ascii="宋体" w:hAnsi="宋体" w:eastAsia="宋体"/>
          <w:sz w:val="24"/>
          <w:szCs w:val="24"/>
        </w:rPr>
        <w:t>（说明将与最终方案时间范围保持一致）内企业命中重大风险事件或舆情热度排行形成热门企业榜。</w:t>
      </w:r>
    </w:p>
    <w:p>
      <w:pPr>
        <w:pStyle w:val="19"/>
        <w:spacing w:line="360" w:lineRule="auto"/>
        <w:ind w:left="360" w:firstLine="480"/>
        <w:rPr>
          <w:rFonts w:ascii="宋体" w:hAnsi="宋体" w:eastAsia="宋体"/>
          <w:sz w:val="24"/>
          <w:szCs w:val="24"/>
        </w:rPr>
      </w:pPr>
      <w:r>
        <w:rPr>
          <w:rFonts w:hint="eastAsia" w:ascii="宋体" w:hAnsi="宋体" w:eastAsia="宋体"/>
          <w:sz w:val="24"/>
          <w:szCs w:val="24"/>
        </w:rPr>
        <w:t>提供全部/股/债的平铺筛选项，支持在全部热点企业榜范围内筛选出其中的</w:t>
      </w:r>
      <w:commentRangeStart w:id="0"/>
      <w:r>
        <w:rPr>
          <w:rFonts w:hint="eastAsia" w:ascii="宋体" w:hAnsi="宋体" w:eastAsia="宋体"/>
          <w:sz w:val="24"/>
          <w:szCs w:val="24"/>
        </w:rPr>
        <w:t>上市（包括主板、中小板、科创板、创业板、新三板）、发债企业</w:t>
      </w:r>
      <w:commentRangeEnd w:id="0"/>
      <w:r>
        <w:rPr>
          <w:rStyle w:val="15"/>
        </w:rPr>
        <w:commentReference w:id="0"/>
      </w:r>
      <w:r>
        <w:rPr>
          <w:rFonts w:hint="eastAsia" w:ascii="宋体" w:hAnsi="宋体" w:eastAsia="宋体"/>
          <w:sz w:val="24"/>
          <w:szCs w:val="24"/>
        </w:rPr>
        <w:t>。</w:t>
      </w:r>
    </w:p>
    <w:p>
      <w:pPr>
        <w:pStyle w:val="3"/>
        <w:numPr>
          <w:ilvl w:val="0"/>
          <w:numId w:val="1"/>
        </w:numPr>
        <w:rPr>
          <w:rFonts w:ascii="宋体" w:hAnsi="宋体" w:eastAsia="宋体"/>
          <w:sz w:val="30"/>
          <w:szCs w:val="30"/>
        </w:rPr>
      </w:pPr>
      <w:bookmarkStart w:id="6" w:name="_Toc109131012"/>
      <w:r>
        <w:rPr>
          <w:rFonts w:hint="eastAsia" w:ascii="宋体" w:hAnsi="宋体" w:eastAsia="宋体"/>
          <w:sz w:val="30"/>
          <w:szCs w:val="30"/>
        </w:rPr>
        <w:t>舆情热词</w:t>
      </w:r>
      <w:bookmarkEnd w:id="6"/>
    </w:p>
    <w:p>
      <w:pPr>
        <w:pStyle w:val="19"/>
        <w:spacing w:line="360" w:lineRule="auto"/>
        <w:ind w:left="360" w:firstLine="480"/>
        <w:rPr>
          <w:rFonts w:ascii="宋体" w:hAnsi="宋体" w:eastAsia="宋体"/>
          <w:sz w:val="24"/>
          <w:szCs w:val="24"/>
        </w:rPr>
      </w:pPr>
      <w:r>
        <w:rPr>
          <w:rFonts w:hint="eastAsia" w:ascii="宋体" w:hAnsi="宋体" w:eastAsia="宋体"/>
          <w:sz w:val="24"/>
          <w:szCs w:val="24"/>
        </w:rPr>
        <w:t>对接违约预警产出的最新舆情热词数据，主要包括</w:t>
      </w:r>
      <w:r>
        <w:rPr>
          <w:rFonts w:hint="eastAsia" w:ascii="宋体" w:hAnsi="宋体" w:eastAsia="宋体"/>
          <w:i/>
          <w:sz w:val="24"/>
          <w:szCs w:val="24"/>
        </w:rPr>
        <w:t>舆情热词、热词权重排名等</w:t>
      </w:r>
      <w:r>
        <w:rPr>
          <w:rFonts w:hint="eastAsia" w:ascii="宋体" w:hAnsi="宋体" w:eastAsia="宋体"/>
          <w:sz w:val="24"/>
          <w:szCs w:val="24"/>
        </w:rPr>
        <w:t>，根据违约预警提供的热词权重处理为不同热词字体大小（权重越大，热词字体越大）。</w:t>
      </w:r>
    </w:p>
    <w:p>
      <w:pPr>
        <w:pStyle w:val="19"/>
        <w:spacing w:line="360" w:lineRule="auto"/>
        <w:ind w:left="360" w:firstLine="480"/>
        <w:rPr>
          <w:rFonts w:ascii="宋体" w:hAnsi="宋体" w:eastAsia="宋体"/>
          <w:sz w:val="24"/>
          <w:szCs w:val="24"/>
        </w:rPr>
      </w:pPr>
      <w:r>
        <w:rPr>
          <w:rFonts w:hint="eastAsia" w:ascii="宋体" w:hAnsi="宋体" w:eastAsia="宋体"/>
          <w:sz w:val="24"/>
          <w:szCs w:val="24"/>
        </w:rPr>
        <w:t>在舆情热词旁添加说明，支持点击浮显舆情热词的释义：根据过去</w:t>
      </w:r>
      <w:r>
        <w:rPr>
          <w:rFonts w:ascii="宋体" w:hAnsi="宋体" w:eastAsia="宋体"/>
          <w:sz w:val="24"/>
          <w:szCs w:val="24"/>
        </w:rPr>
        <w:t>XXh</w:t>
      </w:r>
      <w:r>
        <w:rPr>
          <w:rFonts w:hint="eastAsia" w:ascii="宋体" w:hAnsi="宋体" w:eastAsia="宋体"/>
          <w:sz w:val="24"/>
          <w:szCs w:val="24"/>
        </w:rPr>
        <w:t>（具体时间与方案计算口径保持一致）</w:t>
      </w:r>
      <w:r>
        <w:rPr>
          <w:rFonts w:ascii="宋体" w:hAnsi="宋体" w:eastAsia="宋体"/>
          <w:sz w:val="24"/>
          <w:szCs w:val="24"/>
        </w:rPr>
        <w:t>内</w:t>
      </w:r>
      <w:r>
        <w:rPr>
          <w:rFonts w:hint="eastAsia" w:ascii="宋体" w:hAnsi="宋体" w:eastAsia="宋体"/>
          <w:sz w:val="24"/>
          <w:szCs w:val="24"/>
        </w:rPr>
        <w:t>主体</w:t>
      </w:r>
      <w:r>
        <w:rPr>
          <w:rFonts w:ascii="宋体" w:hAnsi="宋体" w:eastAsia="宋体"/>
          <w:sz w:val="24"/>
          <w:szCs w:val="24"/>
        </w:rPr>
        <w:t>新闻内容中的关键词词频权重排序，形成</w:t>
      </w:r>
      <w:r>
        <w:rPr>
          <w:rFonts w:hint="eastAsia" w:ascii="宋体" w:hAnsi="宋体" w:eastAsia="宋体"/>
          <w:sz w:val="24"/>
          <w:szCs w:val="24"/>
        </w:rPr>
        <w:t>舆情热词榜</w:t>
      </w:r>
      <w:r>
        <w:rPr>
          <w:rFonts w:ascii="宋体" w:hAnsi="宋体" w:eastAsia="宋体"/>
          <w:sz w:val="24"/>
          <w:szCs w:val="24"/>
        </w:rPr>
        <w:t>。</w:t>
      </w:r>
    </w:p>
    <w:p>
      <w:pPr>
        <w:pStyle w:val="19"/>
        <w:spacing w:line="360" w:lineRule="auto"/>
        <w:ind w:left="360" w:firstLine="480"/>
        <w:rPr>
          <w:rFonts w:ascii="宋体" w:hAnsi="宋体" w:eastAsia="宋体"/>
          <w:sz w:val="24"/>
          <w:szCs w:val="24"/>
        </w:rPr>
      </w:pPr>
      <w:r>
        <w:rPr>
          <w:rFonts w:hint="eastAsia" w:ascii="宋体" w:hAnsi="宋体" w:eastAsia="宋体"/>
          <w:sz w:val="24"/>
          <w:szCs w:val="24"/>
        </w:rPr>
        <w:t>支持点击热词，与下方舆情列表产生联动（展示层面提示可与舆情列表联动，此外对接违约预警提供的舆情热词与舆情i</w:t>
      </w:r>
      <w:r>
        <w:rPr>
          <w:rFonts w:ascii="宋体" w:hAnsi="宋体" w:eastAsia="宋体"/>
          <w:sz w:val="24"/>
          <w:szCs w:val="24"/>
        </w:rPr>
        <w:t>d</w:t>
      </w:r>
      <w:r>
        <w:rPr>
          <w:rFonts w:hint="eastAsia" w:ascii="宋体" w:hAnsi="宋体" w:eastAsia="宋体"/>
          <w:sz w:val="24"/>
          <w:szCs w:val="24"/>
        </w:rPr>
        <w:t>的映射关系来获取对应舆情信息），自动筛选展示同样时间范围内，与热词相关的舆情信息。违约预警会提供热词与舆情之间映射关系，以便根据热词提取对应舆情信息。</w:t>
      </w:r>
    </w:p>
    <w:p>
      <w:pPr>
        <w:pStyle w:val="19"/>
        <w:spacing w:line="360" w:lineRule="auto"/>
        <w:ind w:left="360" w:firstLine="0" w:firstLineChars="0"/>
        <w:rPr>
          <w:rFonts w:ascii="宋体" w:hAnsi="宋体" w:eastAsia="宋体"/>
          <w:sz w:val="24"/>
          <w:szCs w:val="24"/>
        </w:rPr>
      </w:pPr>
      <w:r>
        <w:rPr>
          <w:rFonts w:hint="eastAsia" w:ascii="宋体" w:hAnsi="宋体" w:eastAsia="宋体"/>
          <w:sz w:val="24"/>
          <w:szCs w:val="24"/>
        </w:rPr>
        <w:t xml:space="preserve">展示形式参考： </w:t>
      </w:r>
    </w:p>
    <w:p>
      <w:pPr>
        <w:pStyle w:val="19"/>
        <w:spacing w:line="360" w:lineRule="auto"/>
        <w:ind w:left="360" w:firstLine="0" w:firstLineChars="0"/>
        <w:rPr>
          <w:rFonts w:ascii="宋体" w:hAnsi="宋体" w:eastAsia="宋体"/>
          <w:sz w:val="24"/>
          <w:szCs w:val="24"/>
        </w:rPr>
      </w:pPr>
      <w:r>
        <w:rPr>
          <w:rFonts w:ascii="宋体" w:hAnsi="宋体" w:eastAsia="宋体"/>
          <w:sz w:val="24"/>
          <w:szCs w:val="24"/>
        </w:rPr>
        <w:drawing>
          <wp:inline distT="0" distB="0" distL="0" distR="0">
            <wp:extent cx="4118610" cy="2047875"/>
            <wp:effectExtent l="0" t="0" r="0" b="0"/>
            <wp:docPr id="7" name="图片 7" descr="C:\Users\caixx\AppData\Local\Temp\16545824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caixx\AppData\Local\Temp\165458243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29676" cy="2053318"/>
                    </a:xfrm>
                    <a:prstGeom prst="rect">
                      <a:avLst/>
                    </a:prstGeom>
                    <a:noFill/>
                    <a:ln>
                      <a:noFill/>
                    </a:ln>
                  </pic:spPr>
                </pic:pic>
              </a:graphicData>
            </a:graphic>
          </wp:inline>
        </w:drawing>
      </w:r>
    </w:p>
    <w:p>
      <w:pPr>
        <w:pStyle w:val="3"/>
        <w:numPr>
          <w:ilvl w:val="0"/>
          <w:numId w:val="1"/>
        </w:numPr>
        <w:rPr>
          <w:rFonts w:ascii="宋体" w:hAnsi="宋体" w:eastAsia="宋体"/>
          <w:sz w:val="30"/>
          <w:szCs w:val="30"/>
        </w:rPr>
      </w:pPr>
      <w:bookmarkStart w:id="7" w:name="_Toc109131013"/>
      <w:r>
        <w:rPr>
          <w:rFonts w:hint="eastAsia" w:ascii="宋体" w:hAnsi="宋体" w:eastAsia="宋体"/>
          <w:sz w:val="30"/>
          <w:szCs w:val="30"/>
        </w:rPr>
        <w:t>快讯、行业舆情、区域舆情</w:t>
      </w:r>
      <w:bookmarkEnd w:id="7"/>
    </w:p>
    <w:p>
      <w:pPr>
        <w:spacing w:line="360" w:lineRule="auto"/>
        <w:ind w:firstLine="480" w:firstLineChars="200"/>
        <w:rPr>
          <w:rFonts w:ascii="宋体" w:hAnsi="宋体" w:eastAsia="宋体"/>
          <w:sz w:val="24"/>
          <w:szCs w:val="24"/>
        </w:rPr>
      </w:pPr>
      <w:r>
        <w:rPr>
          <w:rFonts w:hint="eastAsia" w:ascii="宋体" w:hAnsi="宋体" w:eastAsia="宋体"/>
          <w:sz w:val="24"/>
          <w:szCs w:val="24"/>
        </w:rPr>
        <w:t>此模块展示包括3部分，支持切换t</w:t>
      </w:r>
      <w:r>
        <w:rPr>
          <w:rFonts w:ascii="宋体" w:hAnsi="宋体" w:eastAsia="宋体"/>
          <w:sz w:val="24"/>
          <w:szCs w:val="24"/>
        </w:rPr>
        <w:t>ab</w:t>
      </w:r>
      <w:r>
        <w:rPr>
          <w:rFonts w:hint="eastAsia" w:ascii="宋体" w:hAnsi="宋体" w:eastAsia="宋体"/>
          <w:sz w:val="24"/>
          <w:szCs w:val="24"/>
        </w:rPr>
        <w:t>查看对应内容：</w:t>
      </w:r>
    </w:p>
    <w:p>
      <w:pPr>
        <w:pStyle w:val="19"/>
        <w:numPr>
          <w:ilvl w:val="0"/>
          <w:numId w:val="2"/>
        </w:numPr>
        <w:spacing w:line="360" w:lineRule="auto"/>
        <w:ind w:firstLineChars="0"/>
        <w:rPr>
          <w:rFonts w:ascii="宋体" w:hAnsi="宋体" w:eastAsia="宋体"/>
          <w:sz w:val="24"/>
          <w:szCs w:val="24"/>
        </w:rPr>
      </w:pPr>
      <w:r>
        <w:rPr>
          <w:rFonts w:hint="eastAsia" w:ascii="宋体" w:hAnsi="宋体" w:eastAsia="宋体"/>
          <w:sz w:val="24"/>
          <w:szCs w:val="24"/>
        </w:rPr>
        <w:t>快讯：准实时展示快讯舆情（目前取自</w:t>
      </w:r>
      <w:r>
        <w:rPr>
          <w:rFonts w:ascii="宋体" w:hAnsi="宋体" w:eastAsia="宋体"/>
          <w:sz w:val="24"/>
          <w:szCs w:val="24"/>
        </w:rPr>
        <w:t>X_NEWS_TCRNW0003_ALL-</w:t>
      </w:r>
      <w:r>
        <w:rPr>
          <w:rFonts w:hint="eastAsia" w:ascii="宋体" w:hAnsi="宋体" w:eastAsia="宋体"/>
          <w:sz w:val="24"/>
          <w:szCs w:val="24"/>
        </w:rPr>
        <w:t>企业新闻表，限制数据类别为</w:t>
      </w:r>
      <w:commentRangeStart w:id="1"/>
      <w:r>
        <w:rPr>
          <w:rFonts w:hint="eastAsia" w:ascii="宋体" w:hAnsi="宋体" w:eastAsia="宋体"/>
          <w:sz w:val="24"/>
          <w:szCs w:val="24"/>
        </w:rPr>
        <w:t>快讯</w:t>
      </w:r>
      <w:commentRangeEnd w:id="1"/>
      <w:r>
        <w:rPr>
          <w:rStyle w:val="15"/>
        </w:rPr>
        <w:commentReference w:id="1"/>
      </w:r>
      <w:r>
        <w:rPr>
          <w:rFonts w:hint="eastAsia" w:ascii="宋体" w:hAnsi="宋体" w:eastAsia="宋体"/>
          <w:sz w:val="24"/>
          <w:szCs w:val="24"/>
        </w:rPr>
        <w:t>，限制重要性&lt;</w:t>
      </w:r>
      <w:r>
        <w:rPr>
          <w:rFonts w:ascii="宋体" w:hAnsi="宋体" w:eastAsia="宋体"/>
          <w:sz w:val="24"/>
          <w:szCs w:val="24"/>
        </w:rPr>
        <w:t>0</w:t>
      </w:r>
      <w:r>
        <w:rPr>
          <w:rFonts w:hint="eastAsia" w:ascii="宋体" w:hAnsi="宋体" w:eastAsia="宋体"/>
          <w:sz w:val="24"/>
          <w:szCs w:val="24"/>
        </w:rPr>
        <w:t>，即仅取负面快讯信息），默认展示最近一段时间范围（</w:t>
      </w:r>
      <w:r>
        <w:rPr>
          <w:rFonts w:hint="eastAsia" w:ascii="宋体" w:hAnsi="宋体" w:eastAsia="宋体"/>
          <w:color w:val="FF0000"/>
          <w:sz w:val="24"/>
          <w:szCs w:val="24"/>
        </w:rPr>
        <w:t>产品可结合版面情况确定能展示的最大数据条数，进而确认展示历史消息的时长，目前观测下来财汇快讯数据每天平均大概1</w:t>
      </w:r>
      <w:r>
        <w:rPr>
          <w:rFonts w:ascii="宋体" w:hAnsi="宋体" w:eastAsia="宋体"/>
          <w:color w:val="FF0000"/>
          <w:sz w:val="24"/>
          <w:szCs w:val="24"/>
        </w:rPr>
        <w:t>00</w:t>
      </w:r>
      <w:r>
        <w:rPr>
          <w:rFonts w:hint="eastAsia" w:ascii="宋体" w:hAnsi="宋体" w:eastAsia="宋体"/>
          <w:color w:val="FF0000"/>
          <w:sz w:val="24"/>
          <w:szCs w:val="24"/>
        </w:rPr>
        <w:t>条左右，每小时平均8条，即数据更新时间可能集中在白天；峰值情况一天可能会达到8</w:t>
      </w:r>
      <w:r>
        <w:rPr>
          <w:rFonts w:ascii="宋体" w:hAnsi="宋体" w:eastAsia="宋体"/>
          <w:color w:val="FF0000"/>
          <w:sz w:val="24"/>
          <w:szCs w:val="24"/>
        </w:rPr>
        <w:t>00</w:t>
      </w:r>
      <w:r>
        <w:rPr>
          <w:rFonts w:hint="eastAsia" w:ascii="宋体" w:hAnsi="宋体" w:eastAsia="宋体"/>
          <w:color w:val="FF0000"/>
          <w:sz w:val="24"/>
          <w:szCs w:val="24"/>
        </w:rPr>
        <w:t>条</w:t>
      </w:r>
      <w:r>
        <w:rPr>
          <w:rFonts w:hint="eastAsia" w:ascii="宋体" w:hAnsi="宋体" w:eastAsia="宋体"/>
          <w:sz w:val="24"/>
          <w:szCs w:val="24"/>
        </w:rPr>
        <w:t>）内持续新增的快讯信息，以时间倒序排列，支持点击查看快讯内容。结合快讯数据情况，展示快讯关联主体名称、严重程度标签（即财汇舆情的重要性字段，-</w:t>
      </w:r>
      <w:r>
        <w:rPr>
          <w:rFonts w:ascii="宋体" w:hAnsi="宋体" w:eastAsia="宋体"/>
          <w:sz w:val="24"/>
          <w:szCs w:val="24"/>
        </w:rPr>
        <w:t>1</w:t>
      </w:r>
      <w:r>
        <w:rPr>
          <w:rFonts w:hint="eastAsia" w:ascii="宋体" w:hAnsi="宋体" w:eastAsia="宋体"/>
          <w:sz w:val="24"/>
          <w:szCs w:val="24"/>
        </w:rPr>
        <w:t>对应一般负面、-</w:t>
      </w:r>
      <w:r>
        <w:rPr>
          <w:rFonts w:ascii="宋体" w:hAnsi="宋体" w:eastAsia="宋体"/>
          <w:sz w:val="24"/>
          <w:szCs w:val="24"/>
        </w:rPr>
        <w:t>2</w:t>
      </w:r>
      <w:r>
        <w:rPr>
          <w:rFonts w:hint="eastAsia" w:ascii="宋体" w:hAnsi="宋体" w:eastAsia="宋体"/>
          <w:sz w:val="24"/>
          <w:szCs w:val="24"/>
        </w:rPr>
        <w:t>对应重点负面、-</w:t>
      </w:r>
      <w:r>
        <w:rPr>
          <w:rFonts w:ascii="宋体" w:hAnsi="宋体" w:eastAsia="宋体"/>
          <w:sz w:val="24"/>
          <w:szCs w:val="24"/>
        </w:rPr>
        <w:t>3</w:t>
      </w:r>
      <w:r>
        <w:rPr>
          <w:rFonts w:hint="eastAsia" w:ascii="宋体" w:hAnsi="宋体" w:eastAsia="宋体"/>
          <w:sz w:val="24"/>
          <w:szCs w:val="24"/>
        </w:rPr>
        <w:t>对应严重负面，下方涉及展示舆情严重程度标签均按照此标准）、</w:t>
      </w:r>
      <w:r>
        <w:rPr>
          <w:rFonts w:hint="eastAsia" w:ascii="宋体" w:hAnsi="宋体" w:eastAsia="宋体"/>
          <w:b/>
          <w:bCs/>
          <w:sz w:val="24"/>
          <w:szCs w:val="24"/>
        </w:rPr>
        <w:t>风险事件标签（展示舆情对应的最细粒度的标签，下方涉及展示舆情风险事件标签均按照此标准）</w:t>
      </w:r>
      <w:r>
        <w:rPr>
          <w:rFonts w:hint="eastAsia" w:ascii="宋体" w:hAnsi="宋体" w:eastAsia="宋体"/>
          <w:sz w:val="24"/>
          <w:szCs w:val="24"/>
        </w:rPr>
        <w:t>等，其中当一条快讯涉及多个关联主体时，则在一行以标签形式并列展示多个主体名称，其他标签同理。同时，需支持风险事件标签（需要根据财汇舆情的三级、四级标签支持多层级风险事件标签的筛选，即当用户选择三级标签时，需筛选展示出标签为该三级事件标签以及标签为对应的四级标签的舆情信息，下方涉及筛选舆情风险事件标签均按照此标准）、严重程度标签的筛选。</w:t>
      </w:r>
    </w:p>
    <w:p>
      <w:pPr>
        <w:pStyle w:val="19"/>
        <w:spacing w:line="360" w:lineRule="auto"/>
        <w:ind w:left="900" w:firstLine="480"/>
        <w:rPr>
          <w:rFonts w:ascii="宋体" w:hAnsi="宋体" w:eastAsia="宋体"/>
          <w:sz w:val="24"/>
          <w:szCs w:val="24"/>
        </w:rPr>
      </w:pPr>
      <w:r>
        <w:rPr>
          <w:rFonts w:hint="eastAsia" w:ascii="宋体" w:hAnsi="宋体" w:eastAsia="宋体"/>
          <w:sz w:val="24"/>
          <w:szCs w:val="24"/>
        </w:rPr>
        <w:t>此外，增加页面顶部/底部滚动条支持在全局查看滚动提示的快讯信息，并支持点击查看快讯详情。</w:t>
      </w:r>
    </w:p>
    <w:p>
      <w:pPr>
        <w:pStyle w:val="19"/>
        <w:numPr>
          <w:ilvl w:val="0"/>
          <w:numId w:val="2"/>
        </w:numPr>
        <w:spacing w:line="360" w:lineRule="auto"/>
        <w:ind w:firstLineChars="0"/>
        <w:rPr>
          <w:rFonts w:ascii="宋体" w:hAnsi="宋体" w:eastAsia="宋体"/>
          <w:sz w:val="24"/>
          <w:szCs w:val="24"/>
        </w:rPr>
      </w:pPr>
      <w:r>
        <w:rPr>
          <w:rFonts w:hint="eastAsia" w:ascii="宋体" w:hAnsi="宋体" w:eastAsia="宋体"/>
          <w:sz w:val="24"/>
          <w:szCs w:val="24"/>
        </w:rPr>
        <w:t>行业舆情：提供</w:t>
      </w:r>
      <w:commentRangeStart w:id="2"/>
      <w:r>
        <w:rPr>
          <w:rFonts w:hint="eastAsia" w:ascii="宋体" w:hAnsi="宋体" w:eastAsia="宋体"/>
          <w:sz w:val="24"/>
          <w:szCs w:val="24"/>
        </w:rPr>
        <w:t>最新一段时间的行业舆情信息</w:t>
      </w:r>
      <w:commentRangeEnd w:id="2"/>
      <w:r>
        <w:rPr>
          <w:rStyle w:val="15"/>
        </w:rPr>
        <w:commentReference w:id="2"/>
      </w:r>
      <w:r>
        <w:rPr>
          <w:rFonts w:hint="eastAsia" w:ascii="宋体" w:hAnsi="宋体" w:eastAsia="宋体"/>
          <w:sz w:val="24"/>
          <w:szCs w:val="24"/>
        </w:rPr>
        <w:t>（取自</w:t>
      </w:r>
      <w:r>
        <w:rPr>
          <w:rFonts w:ascii="宋体" w:hAnsi="宋体" w:eastAsia="宋体"/>
          <w:sz w:val="24"/>
          <w:szCs w:val="24"/>
        </w:rPr>
        <w:t>X_NEWS_TCRNW0006-</w:t>
      </w:r>
      <w:r>
        <w:rPr>
          <w:rFonts w:hint="eastAsia" w:ascii="宋体" w:hAnsi="宋体" w:eastAsia="宋体"/>
          <w:sz w:val="24"/>
          <w:szCs w:val="24"/>
        </w:rPr>
        <w:t>企业新闻行业分类表），展示舆情标题（关联到</w:t>
      </w:r>
      <w:r>
        <w:rPr>
          <w:rFonts w:ascii="宋体" w:hAnsi="宋体" w:eastAsia="宋体"/>
          <w:sz w:val="24"/>
          <w:szCs w:val="24"/>
        </w:rPr>
        <w:t>X_NEWS_TCRNW0001-</w:t>
      </w:r>
      <w:r>
        <w:rPr>
          <w:rFonts w:hint="eastAsia" w:ascii="宋体" w:hAnsi="宋体" w:eastAsia="宋体"/>
          <w:sz w:val="24"/>
          <w:szCs w:val="24"/>
        </w:rPr>
        <w:t>新闻主表获取标题 来源 时间、</w:t>
      </w:r>
      <w:r>
        <w:rPr>
          <w:rFonts w:ascii="宋体" w:hAnsi="宋体" w:eastAsia="宋体"/>
          <w:sz w:val="24"/>
          <w:szCs w:val="24"/>
        </w:rPr>
        <w:t>X_NEWS_TCRNW0002-</w:t>
      </w:r>
      <w:r>
        <w:rPr>
          <w:rFonts w:hint="eastAsia" w:ascii="宋体" w:hAnsi="宋体" w:eastAsia="宋体"/>
          <w:sz w:val="24"/>
          <w:szCs w:val="24"/>
        </w:rPr>
        <w:t>新闻正文获取正文）、行业标签（列表展示一级行业分类，点击标题后的舆情详情抽屉中按照财汇行业舆情数据对应的</w:t>
      </w:r>
      <w:r>
        <w:rPr>
          <w:rFonts w:hint="eastAsia" w:ascii="宋体" w:hAnsi="宋体" w:eastAsia="宋体"/>
          <w:b/>
          <w:bCs/>
          <w:sz w:val="24"/>
          <w:szCs w:val="24"/>
        </w:rPr>
        <w:t>国标行业分类</w:t>
      </w:r>
      <w:r>
        <w:rPr>
          <w:rFonts w:hint="eastAsia" w:ascii="宋体" w:hAnsi="宋体" w:eastAsia="宋体"/>
          <w:sz w:val="24"/>
          <w:szCs w:val="24"/>
        </w:rPr>
        <w:t>进行展示，需关联到财汇的T</w:t>
      </w:r>
      <w:r>
        <w:rPr>
          <w:rFonts w:ascii="宋体" w:hAnsi="宋体" w:eastAsia="宋体"/>
          <w:sz w:val="24"/>
          <w:szCs w:val="24"/>
        </w:rPr>
        <w:t>Q_OA_INDUSTRYCLASS</w:t>
      </w:r>
      <w:r>
        <w:rPr>
          <w:rFonts w:hint="eastAsia" w:ascii="宋体" w:hAnsi="宋体" w:eastAsia="宋体"/>
          <w:sz w:val="24"/>
          <w:szCs w:val="24"/>
        </w:rPr>
        <w:t>表获取行业信息），</w:t>
      </w:r>
      <w:bookmarkStart w:id="13" w:name="_GoBack"/>
      <w:bookmarkEnd w:id="13"/>
      <w:r>
        <w:rPr>
          <w:rFonts w:hint="eastAsia" w:ascii="宋体" w:hAnsi="宋体" w:eastAsia="宋体"/>
          <w:sz w:val="24"/>
          <w:szCs w:val="24"/>
        </w:rPr>
        <w:t>并支持按照行业分类筛选，其中财汇行业舆情对应行业分类有可能是一级的或者二级、三级的，展示层面默认按照财汇舆情打到的行业分类层级对应行业名称进行展示，行业的筛选则需要支持多层级的筛选，即当用户选择某个一级行业分类时，展示出来的结果需包括打到该一级分类上以及打到该一级分类下所对应的二级、三级行业分类对应的行业舆情信息。</w:t>
      </w:r>
    </w:p>
    <w:p>
      <w:pPr>
        <w:pStyle w:val="19"/>
        <w:numPr>
          <w:ilvl w:val="0"/>
          <w:numId w:val="2"/>
        </w:numPr>
        <w:spacing w:line="360" w:lineRule="auto"/>
        <w:ind w:firstLineChars="0"/>
        <w:rPr>
          <w:rFonts w:ascii="宋体" w:hAnsi="宋体" w:eastAsia="宋体"/>
          <w:sz w:val="24"/>
          <w:szCs w:val="24"/>
        </w:rPr>
      </w:pPr>
      <w:r>
        <w:rPr>
          <w:rFonts w:hint="eastAsia" w:ascii="宋体" w:hAnsi="宋体" w:eastAsia="宋体"/>
          <w:sz w:val="24"/>
          <w:szCs w:val="24"/>
        </w:rPr>
        <w:t>区域舆情：提供最新一段时间的区域舆情信息（取自</w:t>
      </w:r>
      <w:r>
        <w:rPr>
          <w:rFonts w:ascii="宋体" w:hAnsi="宋体" w:eastAsia="宋体"/>
          <w:sz w:val="24"/>
          <w:szCs w:val="24"/>
        </w:rPr>
        <w:t>X_NEWS_TCRNW0003_ALL-</w:t>
      </w:r>
      <w:r>
        <w:rPr>
          <w:rFonts w:hint="eastAsia" w:ascii="宋体" w:hAnsi="宋体" w:eastAsia="宋体"/>
          <w:sz w:val="24"/>
          <w:szCs w:val="24"/>
        </w:rPr>
        <w:t>企业新闻表，限制三级风险事件标签为政府预警，且限制重要性&lt;</w:t>
      </w:r>
      <w:r>
        <w:rPr>
          <w:rFonts w:ascii="宋体" w:hAnsi="宋体" w:eastAsia="宋体"/>
          <w:sz w:val="24"/>
          <w:szCs w:val="24"/>
        </w:rPr>
        <w:t>0</w:t>
      </w:r>
      <w:r>
        <w:rPr>
          <w:rFonts w:hint="eastAsia" w:ascii="宋体" w:hAnsi="宋体" w:eastAsia="宋体"/>
          <w:sz w:val="24"/>
          <w:szCs w:val="24"/>
        </w:rPr>
        <w:t>，即取负面区域舆情数据），展示关联区域（通过政府预警舆情关联到的主体，再关联到财汇的</w:t>
      </w:r>
      <w:r>
        <w:rPr>
          <w:rFonts w:ascii="宋体" w:hAnsi="宋体" w:eastAsia="宋体"/>
          <w:sz w:val="24"/>
          <w:szCs w:val="24"/>
        </w:rPr>
        <w:t>TQ_COMP_CBOARDMA</w:t>
      </w:r>
      <w:r>
        <w:rPr>
          <w:rFonts w:hint="eastAsia" w:ascii="宋体" w:hAnsi="宋体" w:eastAsia="宋体"/>
          <w:sz w:val="24"/>
          <w:szCs w:val="24"/>
        </w:rPr>
        <w:t>表，获取主体的省、市信息，展示市级地区名称）、舆情标题、关联主体、严重程度标签、风险事件标签，并支持关联区域筛选（包括省、市级两个层级的区域筛选）、关联主体关键字搜索、严重程度筛选、风险事件筛选</w:t>
      </w:r>
      <w:r>
        <w:rPr>
          <w:rFonts w:hint="eastAsia" w:ascii="宋体" w:hAnsi="宋体" w:eastAsia="宋体"/>
          <w:sz w:val="24"/>
          <w:szCs w:val="24"/>
          <w:lang w:eastAsia="zh-CN"/>
        </w:rPr>
        <w:t>，</w:t>
      </w:r>
      <w:r>
        <w:rPr>
          <w:rFonts w:hint="eastAsia" w:ascii="宋体" w:hAnsi="宋体" w:eastAsia="宋体"/>
          <w:sz w:val="24"/>
          <w:szCs w:val="24"/>
          <w:lang w:val="en-US" w:eastAsia="zh-CN"/>
        </w:rPr>
        <w:t>新闻来源</w:t>
      </w:r>
      <w:r>
        <w:rPr>
          <w:rFonts w:hint="eastAsia" w:ascii="宋体" w:hAnsi="宋体" w:eastAsia="宋体"/>
          <w:sz w:val="24"/>
          <w:szCs w:val="24"/>
        </w:rPr>
        <w:t>。</w:t>
      </w:r>
    </w:p>
    <w:p>
      <w:pPr>
        <w:pStyle w:val="3"/>
        <w:numPr>
          <w:ilvl w:val="0"/>
          <w:numId w:val="1"/>
        </w:numPr>
        <w:rPr>
          <w:rFonts w:ascii="宋体" w:hAnsi="宋体" w:eastAsia="宋体"/>
          <w:sz w:val="30"/>
          <w:szCs w:val="30"/>
        </w:rPr>
      </w:pPr>
      <w:bookmarkStart w:id="8" w:name="_Toc109131014"/>
      <w:r>
        <w:rPr>
          <w:rFonts w:hint="eastAsia" w:ascii="宋体" w:hAnsi="宋体" w:eastAsia="宋体"/>
          <w:sz w:val="30"/>
          <w:szCs w:val="30"/>
        </w:rPr>
        <w:t>舆情统计</w:t>
      </w:r>
      <w:bookmarkEnd w:id="8"/>
    </w:p>
    <w:p>
      <w:pPr>
        <w:pStyle w:val="19"/>
        <w:spacing w:line="360" w:lineRule="auto"/>
        <w:ind w:left="360" w:firstLine="480"/>
        <w:rPr>
          <w:rFonts w:ascii="宋体" w:hAnsi="宋体" w:eastAsia="宋体"/>
          <w:sz w:val="24"/>
          <w:szCs w:val="24"/>
        </w:rPr>
      </w:pPr>
      <w:r>
        <w:rPr>
          <w:rFonts w:hint="eastAsia" w:ascii="宋体" w:hAnsi="宋体" w:eastAsia="宋体"/>
          <w:sz w:val="24"/>
          <w:szCs w:val="24"/>
        </w:rPr>
        <w:t>该模块主要统计主体舆情的数量及分布情况，包括主体舆情（剔除快讯、区域舆情，同时限制重要性&lt;</w:t>
      </w:r>
      <w:r>
        <w:rPr>
          <w:rFonts w:ascii="宋体" w:hAnsi="宋体" w:eastAsia="宋体"/>
          <w:sz w:val="24"/>
          <w:szCs w:val="24"/>
        </w:rPr>
        <w:t>0</w:t>
      </w:r>
      <w:r>
        <w:rPr>
          <w:rFonts w:hint="eastAsia" w:ascii="宋体" w:hAnsi="宋体" w:eastAsia="宋体"/>
          <w:sz w:val="24"/>
          <w:szCs w:val="24"/>
        </w:rPr>
        <w:t>，仅取负面舆情）以及司法诚信规则（对接违约预警舆情分加工好的司法诚信规则数据）。</w:t>
      </w:r>
    </w:p>
    <w:p>
      <w:pPr>
        <w:pStyle w:val="19"/>
        <w:spacing w:line="360" w:lineRule="auto"/>
        <w:ind w:left="360" w:firstLine="480"/>
        <w:rPr>
          <w:rFonts w:ascii="宋体" w:hAnsi="宋体" w:eastAsia="宋体"/>
          <w:sz w:val="24"/>
          <w:szCs w:val="24"/>
        </w:rPr>
      </w:pPr>
      <w:r>
        <w:rPr>
          <w:rFonts w:hint="eastAsia" w:ascii="宋体" w:hAnsi="宋体" w:eastAsia="宋体"/>
          <w:sz w:val="24"/>
          <w:szCs w:val="24"/>
        </w:rPr>
        <w:t>首先需提供总舆情数量统计信息，即统计近1日所有主体范围的负面舆情数量，当用户选择其他时间范围时该统计范围需同步变更，可在统计分布图上以一句话方式进行展现。</w:t>
      </w:r>
    </w:p>
    <w:p>
      <w:pPr>
        <w:pStyle w:val="19"/>
        <w:spacing w:line="360" w:lineRule="auto"/>
        <w:ind w:left="360" w:firstLine="480"/>
        <w:rPr>
          <w:rFonts w:ascii="宋体" w:hAnsi="宋体" w:eastAsia="宋体"/>
          <w:sz w:val="24"/>
          <w:szCs w:val="24"/>
        </w:rPr>
      </w:pPr>
      <w:r>
        <w:rPr>
          <w:rFonts w:hint="eastAsia" w:ascii="宋体" w:hAnsi="宋体" w:eastAsia="宋体"/>
          <w:sz w:val="24"/>
          <w:szCs w:val="24"/>
        </w:rPr>
        <w:t>其次，支持按照行业、地区分别进行主体舆情数量分布的统计。其中，行业支持选择不同行业标准（需支持w</w:t>
      </w:r>
      <w:r>
        <w:rPr>
          <w:rFonts w:ascii="宋体" w:hAnsi="宋体" w:eastAsia="宋体"/>
          <w:sz w:val="24"/>
          <w:szCs w:val="24"/>
        </w:rPr>
        <w:t>ind</w:t>
      </w:r>
      <w:r>
        <w:rPr>
          <w:rFonts w:hint="eastAsia" w:ascii="宋体" w:hAnsi="宋体" w:eastAsia="宋体"/>
          <w:sz w:val="24"/>
          <w:szCs w:val="24"/>
        </w:rPr>
        <w:t>、证监会、申万、国标4个行业标准），查看对应行业标准下 一级行业分类对应的主体舆情数量（即通过舆情关联主体，再关联到主体行业表获取不同行业标准的一级行业分类信息）分布。默认展示按照w</w:t>
      </w:r>
      <w:r>
        <w:rPr>
          <w:rFonts w:ascii="宋体" w:hAnsi="宋体" w:eastAsia="宋体"/>
          <w:sz w:val="24"/>
          <w:szCs w:val="24"/>
        </w:rPr>
        <w:t>ind</w:t>
      </w:r>
      <w:r>
        <w:rPr>
          <w:rFonts w:hint="eastAsia" w:ascii="宋体" w:hAnsi="宋体" w:eastAsia="宋体"/>
          <w:sz w:val="24"/>
          <w:szCs w:val="24"/>
        </w:rPr>
        <w:t>一级行业分类的主体舆情数量统计分布情况。地区则按照不同的区域（到省级）展示主体舆情数量统计分布情况。</w:t>
      </w:r>
    </w:p>
    <w:p>
      <w:pPr>
        <w:pStyle w:val="19"/>
        <w:spacing w:line="360" w:lineRule="auto"/>
        <w:ind w:left="360" w:firstLine="480"/>
        <w:rPr>
          <w:rFonts w:ascii="宋体" w:hAnsi="宋体" w:eastAsia="宋体"/>
          <w:sz w:val="24"/>
          <w:szCs w:val="24"/>
        </w:rPr>
      </w:pPr>
      <w:r>
        <w:rPr>
          <w:rFonts w:hint="eastAsia" w:ascii="宋体" w:hAnsi="宋体" w:eastAsia="宋体"/>
          <w:sz w:val="24"/>
          <w:szCs w:val="24"/>
        </w:rPr>
        <w:t>此外可对舆情的严重程度、时间范围（默认为近</w:t>
      </w:r>
      <w:r>
        <w:rPr>
          <w:rFonts w:ascii="宋体" w:hAnsi="宋体" w:eastAsia="宋体"/>
          <w:sz w:val="24"/>
          <w:szCs w:val="24"/>
        </w:rPr>
        <w:t>1</w:t>
      </w:r>
      <w:r>
        <w:rPr>
          <w:rFonts w:hint="eastAsia" w:ascii="宋体" w:hAnsi="宋体" w:eastAsia="宋体"/>
          <w:sz w:val="24"/>
          <w:szCs w:val="24"/>
        </w:rPr>
        <w:t>日，另外提供近3日、近7日、近1月、近3月选项</w:t>
      </w:r>
      <w:r>
        <w:rPr>
          <w:rFonts w:ascii="宋体" w:hAnsi="宋体" w:eastAsia="宋体"/>
          <w:sz w:val="24"/>
          <w:szCs w:val="24"/>
        </w:rPr>
        <w:t>）</w:t>
      </w:r>
      <w:r>
        <w:rPr>
          <w:rFonts w:hint="eastAsia" w:ascii="宋体" w:hAnsi="宋体" w:eastAsia="宋体"/>
          <w:sz w:val="24"/>
          <w:szCs w:val="24"/>
        </w:rPr>
        <w:t>、上市（支持下钻筛选上市板块，板块主要包括主板、中小板、创业板等）/发债（支持下钻筛选城投/产业）进行待统计舆情总体范围的筛选。</w:t>
      </w:r>
    </w:p>
    <w:p>
      <w:pPr>
        <w:pStyle w:val="19"/>
        <w:spacing w:line="360" w:lineRule="auto"/>
        <w:ind w:left="360" w:firstLine="480"/>
        <w:rPr>
          <w:rFonts w:ascii="宋体" w:hAnsi="宋体" w:eastAsia="宋体"/>
          <w:sz w:val="24"/>
          <w:szCs w:val="24"/>
        </w:rPr>
      </w:pPr>
      <w:r>
        <w:rPr>
          <w:rFonts w:hint="eastAsia" w:ascii="宋体" w:hAnsi="宋体" w:eastAsia="宋体"/>
          <w:sz w:val="24"/>
          <w:szCs w:val="24"/>
        </w:rPr>
        <w:t>最后，支持点击色块与舆情列表联动（展示层面提示可与舆情列表联动），自动筛选展示相应筛选条件下的舆情信息。</w:t>
      </w:r>
    </w:p>
    <w:p>
      <w:pPr>
        <w:pStyle w:val="3"/>
        <w:numPr>
          <w:ilvl w:val="0"/>
          <w:numId w:val="1"/>
        </w:numPr>
        <w:rPr>
          <w:rFonts w:ascii="宋体" w:hAnsi="宋体" w:eastAsia="宋体"/>
          <w:sz w:val="30"/>
          <w:szCs w:val="30"/>
        </w:rPr>
      </w:pPr>
      <w:bookmarkStart w:id="9" w:name="_Toc109131015"/>
      <w:r>
        <w:rPr>
          <w:rFonts w:hint="eastAsia" w:ascii="宋体" w:hAnsi="宋体" w:eastAsia="宋体"/>
          <w:sz w:val="30"/>
          <w:szCs w:val="30"/>
        </w:rPr>
        <w:t>舆情列表</w:t>
      </w:r>
      <w:bookmarkEnd w:id="9"/>
    </w:p>
    <w:p>
      <w:pPr>
        <w:pStyle w:val="19"/>
        <w:spacing w:line="360" w:lineRule="auto"/>
        <w:ind w:left="360" w:firstLine="480"/>
        <w:rPr>
          <w:rFonts w:ascii="宋体" w:hAnsi="宋体" w:eastAsia="宋体"/>
          <w:sz w:val="24"/>
          <w:szCs w:val="24"/>
        </w:rPr>
      </w:pPr>
      <w:r>
        <w:rPr>
          <w:rFonts w:hint="eastAsia" w:ascii="宋体" w:hAnsi="宋体" w:eastAsia="宋体"/>
          <w:sz w:val="24"/>
          <w:szCs w:val="24"/>
        </w:rPr>
        <w:t>考虑以表格形态展示舆情信息，展现的数据范围与舆情统计相同，即包含主体舆情（剔除快讯、区域舆情，且重要性&lt;</w:t>
      </w:r>
      <w:r>
        <w:rPr>
          <w:rFonts w:ascii="宋体" w:hAnsi="宋体" w:eastAsia="宋体"/>
          <w:sz w:val="24"/>
          <w:szCs w:val="24"/>
        </w:rPr>
        <w:t>0</w:t>
      </w:r>
      <w:r>
        <w:rPr>
          <w:rFonts w:hint="eastAsia" w:ascii="宋体" w:hAnsi="宋体" w:eastAsia="宋体"/>
          <w:sz w:val="24"/>
          <w:szCs w:val="24"/>
        </w:rPr>
        <w:t>）以及司法诚信规则。提供主体展台跳转、列表下载导出等功能。</w:t>
      </w:r>
    </w:p>
    <w:p>
      <w:pPr>
        <w:pStyle w:val="19"/>
        <w:spacing w:line="360" w:lineRule="auto"/>
        <w:ind w:left="360" w:firstLine="480"/>
        <w:rPr>
          <w:rFonts w:ascii="宋体" w:hAnsi="宋体" w:eastAsia="宋体"/>
          <w:sz w:val="24"/>
          <w:szCs w:val="24"/>
        </w:rPr>
      </w:pPr>
      <w:r>
        <w:rPr>
          <w:rFonts w:hint="eastAsia" w:ascii="宋体" w:hAnsi="宋体" w:eastAsia="宋体"/>
          <w:sz w:val="24"/>
          <w:szCs w:val="24"/>
        </w:rPr>
        <w:t>表格列包括：企业名称、舆情标题、时间、舆情类型（舆情、司法、诚信）、风险标签、严重程度。</w:t>
      </w:r>
    </w:p>
    <w:p>
      <w:pPr>
        <w:pStyle w:val="19"/>
        <w:spacing w:line="360" w:lineRule="auto"/>
        <w:ind w:left="360" w:firstLine="480"/>
        <w:rPr>
          <w:rFonts w:ascii="宋体" w:hAnsi="宋体" w:eastAsia="宋体"/>
          <w:sz w:val="24"/>
          <w:szCs w:val="24"/>
        </w:rPr>
      </w:pPr>
      <w:r>
        <w:rPr>
          <w:rFonts w:hint="eastAsia" w:ascii="宋体" w:hAnsi="宋体" w:eastAsia="宋体"/>
          <w:sz w:val="24"/>
          <w:szCs w:val="24"/>
        </w:rPr>
        <w:t>高级筛选条件包括：持仓/组合筛选（置于列表左侧，支持展开收起）、企业名称关键词搜索、舆情标题关键词搜索、舆情时间区间（默认为近</w:t>
      </w:r>
      <w:r>
        <w:rPr>
          <w:rFonts w:ascii="宋体" w:hAnsi="宋体" w:eastAsia="宋体"/>
          <w:sz w:val="24"/>
          <w:szCs w:val="24"/>
        </w:rPr>
        <w:t>1</w:t>
      </w:r>
      <w:r>
        <w:rPr>
          <w:rFonts w:hint="eastAsia" w:ascii="宋体" w:hAnsi="宋体" w:eastAsia="宋体"/>
          <w:sz w:val="24"/>
          <w:szCs w:val="24"/>
        </w:rPr>
        <w:t>日）、风险标签、严重程度、行业（需支持选择不同行业标准下的多级行业分类，默认为w</w:t>
      </w:r>
      <w:r>
        <w:rPr>
          <w:rFonts w:ascii="宋体" w:hAnsi="宋体" w:eastAsia="宋体"/>
          <w:sz w:val="24"/>
          <w:szCs w:val="24"/>
        </w:rPr>
        <w:t>ind</w:t>
      </w:r>
      <w:r>
        <w:rPr>
          <w:rFonts w:hint="eastAsia" w:ascii="宋体" w:hAnsi="宋体" w:eastAsia="宋体"/>
          <w:sz w:val="24"/>
          <w:szCs w:val="24"/>
        </w:rPr>
        <w:t>行业分类标准，支持w</w:t>
      </w:r>
      <w:r>
        <w:rPr>
          <w:rFonts w:ascii="宋体" w:hAnsi="宋体" w:eastAsia="宋体"/>
          <w:sz w:val="24"/>
          <w:szCs w:val="24"/>
        </w:rPr>
        <w:t>ind</w:t>
      </w:r>
      <w:r>
        <w:rPr>
          <w:rFonts w:hint="eastAsia" w:ascii="宋体" w:hAnsi="宋体" w:eastAsia="宋体"/>
          <w:sz w:val="24"/>
          <w:szCs w:val="24"/>
        </w:rPr>
        <w:t>、证监会、申万、国标4个行业标准）、地区（包括省、市、区县）、上市（支持下钻进行上市板块的筛选）/发债（支持下钻筛选城投/产业）、舆情类型、是否重大风险事件（对接违约预警输出的重大风险事件标签表，对应获取舆情、司法诚信规则中的重大风险事件范围）。</w:t>
      </w:r>
    </w:p>
    <w:p>
      <w:pPr>
        <w:pStyle w:val="19"/>
        <w:spacing w:line="360" w:lineRule="auto"/>
        <w:ind w:left="360" w:firstLine="480"/>
        <w:rPr>
          <w:rFonts w:ascii="宋体" w:hAnsi="宋体" w:eastAsia="宋体"/>
          <w:sz w:val="24"/>
          <w:szCs w:val="24"/>
        </w:rPr>
      </w:pPr>
      <w:r>
        <w:rPr>
          <w:rFonts w:hint="eastAsia" w:ascii="宋体" w:hAnsi="宋体" w:eastAsia="宋体"/>
          <w:sz w:val="24"/>
          <w:szCs w:val="24"/>
        </w:rPr>
        <w:t>此外提供表格导出按钮、列设置按钮。</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附：舆情大屏接口字段清单</w:t>
      </w:r>
    </w:p>
    <w:p>
      <w:pPr>
        <w:spacing w:line="360" w:lineRule="auto"/>
        <w:rPr>
          <w:rFonts w:ascii="宋体" w:hAnsi="宋体" w:eastAsia="宋体"/>
          <w:sz w:val="24"/>
          <w:szCs w:val="24"/>
        </w:rPr>
      </w:pPr>
      <w:r>
        <w:rPr>
          <w:rFonts w:ascii="宋体" w:hAnsi="宋体" w:eastAsia="宋体"/>
          <w:sz w:val="24"/>
          <w:szCs w:val="24"/>
        </w:rPr>
        <w:object>
          <v:shape id="_x0000_i1025" o:spt="75" type="#_x0000_t75" style="height:55pt;width:76.1pt;" o:ole="t" filled="f" o:preferrelative="t" stroked="f" coordsize="21600,21600">
            <v:path/>
            <v:fill on="f" focussize="0,0"/>
            <v:stroke on="f" joinstyle="miter"/>
            <v:imagedata r:id="rId11" o:title=""/>
            <o:lock v:ext="edit" aspectratio="t"/>
            <w10:wrap type="none"/>
            <w10:anchorlock/>
          </v:shape>
          <o:OLEObject Type="Embed" ProgID="Excel.Sheet.12" ShapeID="_x0000_i1025" DrawAspect="Icon" ObjectID="_1468075725" r:id="rId10">
            <o:LockedField>false</o:LockedField>
          </o:OLEObject>
        </w:object>
      </w:r>
    </w:p>
    <w:p>
      <w:pPr>
        <w:pStyle w:val="2"/>
        <w:rPr>
          <w:rFonts w:ascii="宋体" w:hAnsi="宋体" w:eastAsia="宋体"/>
          <w:sz w:val="32"/>
          <w:szCs w:val="32"/>
        </w:rPr>
      </w:pPr>
      <w:bookmarkStart w:id="10" w:name="_Toc109131016"/>
      <w:r>
        <w:rPr>
          <w:rFonts w:hint="eastAsia" w:ascii="宋体" w:hAnsi="宋体" w:eastAsia="宋体"/>
          <w:sz w:val="32"/>
          <w:szCs w:val="32"/>
        </w:rPr>
        <w:t>四、舆情分排行榜</w:t>
      </w:r>
      <w:bookmarkEnd w:id="10"/>
    </w:p>
    <w:p>
      <w:pPr>
        <w:spacing w:line="360" w:lineRule="auto"/>
        <w:ind w:firstLine="480" w:firstLineChars="200"/>
        <w:rPr>
          <w:rFonts w:ascii="宋体" w:hAnsi="宋体" w:eastAsia="宋体"/>
          <w:sz w:val="24"/>
          <w:szCs w:val="24"/>
        </w:rPr>
      </w:pPr>
      <w:r>
        <w:rPr>
          <w:rFonts w:hint="eastAsia" w:ascii="宋体" w:hAnsi="宋体" w:eastAsia="宋体"/>
          <w:sz w:val="24"/>
          <w:szCs w:val="24"/>
        </w:rPr>
        <w:t>在舆情监测大屏外，考虑舆情分的定位与之平行、互补，可作为舆情大屏的延续。因此项目将对接违约预警产出的舆情分排行榜页面，与舆情监测大屏并列，支持点击不同t</w:t>
      </w:r>
      <w:r>
        <w:rPr>
          <w:rFonts w:ascii="宋体" w:hAnsi="宋体" w:eastAsia="宋体"/>
          <w:sz w:val="24"/>
          <w:szCs w:val="24"/>
        </w:rPr>
        <w:t>ab</w:t>
      </w:r>
      <w:r>
        <w:rPr>
          <w:rFonts w:hint="eastAsia" w:ascii="宋体" w:hAnsi="宋体" w:eastAsia="宋体"/>
          <w:sz w:val="24"/>
          <w:szCs w:val="24"/>
        </w:rPr>
        <w:t>切换页面，并在舆情分排行榜原有的设计基础上对接业务数据。</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基于违约预警已完成的舆情分排行榜页面设计内容，预警中心将新增以下功能项：</w:t>
      </w:r>
    </w:p>
    <w:p>
      <w:pPr>
        <w:pStyle w:val="19"/>
        <w:numPr>
          <w:ilvl w:val="0"/>
          <w:numId w:val="3"/>
        </w:numPr>
        <w:spacing w:line="360" w:lineRule="auto"/>
        <w:ind w:firstLineChars="0"/>
        <w:rPr>
          <w:rFonts w:ascii="宋体" w:hAnsi="宋体" w:eastAsia="宋体"/>
          <w:sz w:val="24"/>
          <w:szCs w:val="24"/>
        </w:rPr>
      </w:pPr>
      <w:r>
        <w:rPr>
          <w:rFonts w:hint="eastAsia" w:ascii="宋体" w:hAnsi="宋体" w:eastAsia="宋体"/>
          <w:sz w:val="24"/>
          <w:szCs w:val="24"/>
        </w:rPr>
        <w:t>持仓/组合对接：支持在舆情分排行榜进行持仓/组合的主体范围筛选，持仓/组合筛选条件置于排行榜左侧，并支持展开、收起。</w:t>
      </w:r>
    </w:p>
    <w:p>
      <w:pPr>
        <w:pStyle w:val="19"/>
        <w:numPr>
          <w:ilvl w:val="0"/>
          <w:numId w:val="3"/>
        </w:numPr>
        <w:spacing w:line="360" w:lineRule="auto"/>
        <w:ind w:firstLineChars="0"/>
        <w:rPr>
          <w:rFonts w:ascii="宋体" w:hAnsi="宋体" w:eastAsia="宋体"/>
          <w:sz w:val="24"/>
          <w:szCs w:val="24"/>
        </w:rPr>
      </w:pPr>
      <w:r>
        <w:rPr>
          <w:rFonts w:hint="eastAsia" w:ascii="宋体" w:hAnsi="宋体" w:eastAsia="宋体"/>
          <w:sz w:val="24"/>
          <w:szCs w:val="24"/>
        </w:rPr>
        <w:t>增加业务信息展示</w:t>
      </w:r>
    </w:p>
    <w:p>
      <w:pPr>
        <w:pStyle w:val="19"/>
        <w:numPr>
          <w:ilvl w:val="1"/>
          <w:numId w:val="3"/>
        </w:numPr>
        <w:spacing w:line="360" w:lineRule="auto"/>
        <w:ind w:firstLineChars="0"/>
        <w:rPr>
          <w:rFonts w:ascii="宋体" w:hAnsi="宋体" w:eastAsia="宋体"/>
          <w:sz w:val="24"/>
          <w:szCs w:val="24"/>
        </w:rPr>
      </w:pPr>
      <w:r>
        <w:rPr>
          <w:rFonts w:hint="eastAsia" w:ascii="宋体" w:hAnsi="宋体" w:eastAsia="宋体"/>
          <w:sz w:val="24"/>
          <w:szCs w:val="24"/>
        </w:rPr>
        <w:t>业务规模：提供业务规模（本期股质、两融、约购暂不对接融资人数据，但逻辑需考虑，以便后续用户新增对接相关数据时可自动计算，下方涉及此三类业务融资人的字段均需在逻辑上考虑，但本期暂无此类数据）、担保品市值（该列仅对股质、两融、约购业务线展示）两列。其中对于股质、两融、约购业务线，业务规模列提供主体作为融资方的业务金额加总，担保品市值提供主体作为担保品发行人的对应业务金额加总。支持点击业务规模、担保品市值金额数字，浮窗显示具体涉及的资产种类（取</w:t>
      </w:r>
      <w:r>
        <w:rPr>
          <w:rFonts w:ascii="宋体" w:hAnsi="宋体" w:eastAsia="宋体"/>
          <w:sz w:val="24"/>
          <w:szCs w:val="24"/>
        </w:rPr>
        <w:t>ASSET_TYPE_III</w:t>
      </w:r>
      <w:r>
        <w:rPr>
          <w:rFonts w:hint="eastAsia" w:ascii="宋体" w:hAnsi="宋体" w:eastAsia="宋体"/>
          <w:sz w:val="24"/>
          <w:szCs w:val="24"/>
        </w:rPr>
        <w:t>对应的</w:t>
      </w:r>
      <w:commentRangeStart w:id="3"/>
      <w:r>
        <w:rPr>
          <w:rFonts w:hint="eastAsia" w:ascii="宋体" w:hAnsi="宋体" w:eastAsia="宋体"/>
          <w:sz w:val="24"/>
          <w:szCs w:val="24"/>
        </w:rPr>
        <w:t>资产种类中文名称</w:t>
      </w:r>
      <w:commentRangeEnd w:id="3"/>
      <w:r>
        <w:rPr>
          <w:rStyle w:val="15"/>
        </w:rPr>
        <w:commentReference w:id="3"/>
      </w:r>
      <w:r>
        <w:rPr>
          <w:rFonts w:hint="eastAsia" w:ascii="宋体" w:hAnsi="宋体" w:eastAsia="宋体"/>
          <w:sz w:val="24"/>
          <w:szCs w:val="24"/>
        </w:rPr>
        <w:t>）、业务金额（</w:t>
      </w:r>
      <w:r>
        <w:rPr>
          <w:rFonts w:ascii="宋体" w:hAnsi="宋体" w:eastAsia="宋体"/>
          <w:sz w:val="24"/>
          <w:szCs w:val="24"/>
        </w:rPr>
        <w:t>BUSI_BALANCE</w:t>
      </w:r>
      <w:r>
        <w:rPr>
          <w:rFonts w:hint="eastAsia" w:ascii="宋体" w:hAnsi="宋体" w:eastAsia="宋体"/>
          <w:sz w:val="24"/>
          <w:szCs w:val="24"/>
        </w:rPr>
        <w:t>字段，对于股质、两融、约购业务，根据</w:t>
      </w:r>
      <w:r>
        <w:rPr>
          <w:rFonts w:ascii="宋体" w:hAnsi="宋体" w:eastAsia="宋体"/>
          <w:sz w:val="24"/>
          <w:szCs w:val="24"/>
        </w:rPr>
        <w:t>EQUITY_CUSTOMERS_TYPE</w:t>
      </w:r>
      <w:r>
        <w:rPr>
          <w:rFonts w:hint="eastAsia" w:ascii="宋体" w:hAnsi="宋体" w:eastAsia="宋体"/>
          <w:sz w:val="24"/>
          <w:szCs w:val="24"/>
        </w:rPr>
        <w:t>字段区分是融资人的业务规模还是担保品发行人对应的担保品市值，其中</w:t>
      </w:r>
      <w:r>
        <w:rPr>
          <w:rFonts w:ascii="宋体" w:hAnsi="宋体" w:eastAsia="宋体"/>
          <w:sz w:val="24"/>
          <w:szCs w:val="24"/>
        </w:rPr>
        <w:t>EQUITY_CUSTOMERS_TYPE</w:t>
      </w:r>
      <w:r>
        <w:rPr>
          <w:rFonts w:hint="eastAsia" w:ascii="宋体" w:hAnsi="宋体" w:eastAsia="宋体"/>
          <w:sz w:val="24"/>
          <w:szCs w:val="24"/>
        </w:rPr>
        <w:t>下三个标的券发行人类型均对应到担保品发行人上）、交易单位（取</w:t>
      </w:r>
      <w:commentRangeStart w:id="4"/>
      <w:r>
        <w:rPr>
          <w:rFonts w:ascii="宋体" w:hAnsi="宋体" w:eastAsia="宋体"/>
          <w:sz w:val="24"/>
          <w:szCs w:val="24"/>
        </w:rPr>
        <w:t>BUSINESS_UNIT</w:t>
      </w:r>
      <w:commentRangeEnd w:id="4"/>
      <w:r>
        <w:rPr>
          <w:rStyle w:val="15"/>
        </w:rPr>
        <w:commentReference w:id="4"/>
      </w:r>
      <w:r>
        <w:rPr>
          <w:rFonts w:hint="eastAsia" w:ascii="宋体" w:hAnsi="宋体" w:eastAsia="宋体"/>
          <w:sz w:val="24"/>
          <w:szCs w:val="24"/>
        </w:rPr>
        <w:t>字段对应交易单位名称）、所属部门信息（取</w:t>
      </w:r>
      <w:commentRangeStart w:id="5"/>
      <w:r>
        <w:rPr>
          <w:rFonts w:ascii="宋体" w:hAnsi="宋体" w:eastAsia="宋体"/>
          <w:sz w:val="24"/>
          <w:szCs w:val="24"/>
        </w:rPr>
        <w:t>BUSI_ENTITY_ID</w:t>
      </w:r>
      <w:commentRangeEnd w:id="5"/>
      <w:r>
        <w:rPr>
          <w:rStyle w:val="15"/>
        </w:rPr>
        <w:commentReference w:id="5"/>
      </w:r>
      <w:r>
        <w:rPr>
          <w:rFonts w:hint="eastAsia" w:ascii="宋体" w:hAnsi="宋体" w:eastAsia="宋体"/>
          <w:sz w:val="24"/>
          <w:szCs w:val="24"/>
        </w:rPr>
        <w:t>字段对应部门名称）、项目信息（取</w:t>
      </w:r>
      <w:r>
        <w:rPr>
          <w:rFonts w:ascii="宋体" w:hAnsi="宋体" w:eastAsia="宋体"/>
          <w:sz w:val="24"/>
          <w:szCs w:val="24"/>
        </w:rPr>
        <w:t>COLS_VALUE</w:t>
      </w:r>
      <w:r>
        <w:rPr>
          <w:rFonts w:hint="eastAsia" w:ascii="宋体" w:hAnsi="宋体" w:eastAsia="宋体"/>
          <w:sz w:val="24"/>
          <w:szCs w:val="24"/>
        </w:rPr>
        <w:t>字段值，当</w:t>
      </w:r>
      <w:r>
        <w:rPr>
          <w:rFonts w:ascii="宋体" w:hAnsi="宋体" w:eastAsia="宋体"/>
          <w:sz w:val="24"/>
          <w:szCs w:val="24"/>
        </w:rPr>
        <w:t>EQUITY_CUSTOMERS_TYPE</w:t>
      </w:r>
      <w:r>
        <w:rPr>
          <w:rFonts w:hint="eastAsia" w:ascii="宋体" w:hAnsi="宋体" w:eastAsia="宋体"/>
          <w:sz w:val="24"/>
          <w:szCs w:val="24"/>
        </w:rPr>
        <w:t>字段为“融资人”时，对应数据的该字段值置空）；相关字段信息按照不同的项目信息拆分成多行展示。此外，业务金额、押品市值将按照不同部门的查看权限按照不同业务范围对应展示，例如风控可看到全业务线的业务汇总信息，业务部门则仅能看到对应业务线下的业务汇总信息。</w:t>
      </w:r>
    </w:p>
    <w:p>
      <w:pPr>
        <w:pStyle w:val="19"/>
        <w:numPr>
          <w:ilvl w:val="1"/>
          <w:numId w:val="3"/>
        </w:numPr>
        <w:spacing w:line="360" w:lineRule="auto"/>
        <w:ind w:firstLineChars="0"/>
        <w:rPr>
          <w:rFonts w:ascii="宋体" w:hAnsi="宋体" w:eastAsia="宋体"/>
          <w:sz w:val="24"/>
          <w:szCs w:val="24"/>
        </w:rPr>
      </w:pPr>
      <w:r>
        <w:rPr>
          <w:rFonts w:hint="eastAsia" w:ascii="宋体" w:hAnsi="宋体" w:eastAsia="宋体"/>
          <w:sz w:val="24"/>
          <w:szCs w:val="24"/>
        </w:rPr>
        <w:t>客户类型的高级筛选：担保品发行人，对应股质、两融、约购业务线中</w:t>
      </w:r>
      <w:r>
        <w:rPr>
          <w:rFonts w:ascii="宋体" w:hAnsi="宋体" w:eastAsia="宋体"/>
          <w:sz w:val="24"/>
          <w:szCs w:val="24"/>
        </w:rPr>
        <w:t>EQUITY_CUSTOMERS_TYPE</w:t>
      </w:r>
      <w:r>
        <w:rPr>
          <w:rFonts w:hint="eastAsia" w:ascii="宋体" w:hAnsi="宋体" w:eastAsia="宋体"/>
          <w:sz w:val="24"/>
          <w:szCs w:val="24"/>
        </w:rPr>
        <w:t>字段包含“标的券发行人”的对应主体（主体通过</w:t>
      </w:r>
      <w:r>
        <w:rPr>
          <w:rFonts w:ascii="宋体" w:hAnsi="宋体" w:eastAsia="宋体"/>
          <w:sz w:val="24"/>
          <w:szCs w:val="24"/>
        </w:rPr>
        <w:t>CRET_NO</w:t>
      </w:r>
      <w:r>
        <w:rPr>
          <w:rFonts w:hint="eastAsia" w:ascii="宋体" w:hAnsi="宋体" w:eastAsia="宋体"/>
          <w:sz w:val="24"/>
          <w:szCs w:val="24"/>
        </w:rPr>
        <w:t>关联机构统一社会信用代码来获取）；客户，在本期对应除股质、两融、约购业务外其他业务线的主体。</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附：海通对接业务数据样例（目前的样例数据非最终数据形态，海通内部还在清洗相关数据）</w:t>
      </w:r>
    </w:p>
    <w:p>
      <w:pPr>
        <w:spacing w:line="360" w:lineRule="auto"/>
        <w:rPr>
          <w:rFonts w:ascii="宋体" w:hAnsi="宋体" w:eastAsia="宋体"/>
          <w:sz w:val="24"/>
          <w:szCs w:val="24"/>
        </w:rPr>
      </w:pPr>
      <w:r>
        <w:rPr>
          <w:rFonts w:ascii="宋体" w:hAnsi="宋体" w:eastAsia="宋体"/>
          <w:sz w:val="24"/>
          <w:szCs w:val="24"/>
        </w:rPr>
        <w:object>
          <v:shape id="_x0000_i1026" o:spt="75" type="#_x0000_t75" style="height:55pt;width:76.1pt;" o:ole="t" filled="f" o:preferrelative="t" stroked="f" coordsize="21600,21600">
            <v:path/>
            <v:fill on="f" focussize="0,0"/>
            <v:stroke on="f" joinstyle="miter"/>
            <v:imagedata r:id="rId13" o:title=""/>
            <o:lock v:ext="edit" aspectratio="t"/>
            <w10:wrap type="none"/>
            <w10:anchorlock/>
          </v:shape>
          <o:OLEObject Type="Embed" ProgID="Excel.Sheet.12" ShapeID="_x0000_i1026" DrawAspect="Icon" ObjectID="_1468075726" r:id="rId12">
            <o:LockedField>false</o:LockedField>
          </o:OLEObject>
        </w:object>
      </w:r>
    </w:p>
    <w:p>
      <w:r>
        <w:br w:type="page"/>
      </w:r>
    </w:p>
    <w:p>
      <w:pPr>
        <w:outlineLvl w:val="0"/>
        <w:rPr>
          <w:rFonts w:ascii="宋体" w:hAnsi="宋体" w:eastAsia="宋体"/>
          <w:b/>
          <w:sz w:val="32"/>
          <w:szCs w:val="24"/>
        </w:rPr>
      </w:pPr>
      <w:bookmarkStart w:id="11" w:name="_Toc100331410"/>
      <w:bookmarkStart w:id="12" w:name="_Toc109131017"/>
      <w:r>
        <w:rPr>
          <w:rFonts w:hint="eastAsia" w:ascii="宋体" w:hAnsi="宋体" w:eastAsia="宋体"/>
          <w:b/>
          <w:sz w:val="32"/>
          <w:szCs w:val="24"/>
        </w:rPr>
        <w:t>免责说明</w:t>
      </w:r>
      <w:bookmarkEnd w:id="11"/>
      <w:bookmarkEnd w:id="12"/>
      <w:r>
        <w:rPr>
          <w:rFonts w:ascii="宋体" w:hAnsi="宋体" w:eastAsia="宋体"/>
          <w:b/>
          <w:sz w:val="32"/>
          <w:szCs w:val="24"/>
        </w:rPr>
        <w:t xml:space="preserve"> </w:t>
      </w:r>
    </w:p>
    <w:p>
      <w:pPr>
        <w:autoSpaceDE w:val="0"/>
        <w:autoSpaceDN w:val="0"/>
        <w:adjustRightInd w:val="0"/>
        <w:rPr>
          <w:rFonts w:ascii="宋体" w:hAnsi="宋体" w:eastAsia="宋体" w:cs="宋体"/>
          <w:kern w:val="0"/>
          <w:sz w:val="32"/>
          <w:szCs w:val="32"/>
        </w:rPr>
      </w:pPr>
    </w:p>
    <w:p>
      <w:pPr>
        <w:pStyle w:val="19"/>
        <w:spacing w:line="360" w:lineRule="auto"/>
        <w:ind w:firstLine="0" w:firstLineChars="0"/>
        <w:rPr>
          <w:rFonts w:ascii="宋体" w:hAnsi="宋体" w:eastAsia="宋体"/>
          <w:b/>
        </w:rPr>
      </w:pPr>
      <w:r>
        <w:rPr>
          <w:rFonts w:hint="eastAsia" w:ascii="宋体" w:hAnsi="宋体" w:eastAsia="宋体" w:cs="宋体"/>
          <w:kern w:val="0"/>
          <w:sz w:val="23"/>
          <w:szCs w:val="23"/>
        </w:rPr>
        <w:t>本报告仅发送给指定的个人或机构。其内容可能包含某些享有专有法律权利或需要保密的信息。任何未经中证数智科技（深圳）有限公司同意或授权而对该邮件所载内容进行使用、披露、分发、复制的行为均被严格禁止。任何情况下，对于使用该报告所包含的信息所引起的损失、损害等后果，中证数智科技（深圳）有限公司概不承担任何责任。如您非指定收件人，请立即销毁此报告。</w:t>
      </w:r>
    </w:p>
    <w:p>
      <w:pPr>
        <w:spacing w:line="360" w:lineRule="auto"/>
        <w:rPr>
          <w:rFonts w:ascii="宋体" w:hAnsi="宋体" w:eastAsia="宋体"/>
          <w:sz w:val="24"/>
          <w:szCs w:val="24"/>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蔡晓旭" w:date="2022-07-19T14:08:00Z" w:initials="蔡晓旭">
    <w:p w14:paraId="082C5B4E">
      <w:pPr>
        <w:pStyle w:val="4"/>
      </w:pPr>
      <w:r>
        <w:rPr>
          <w:rFonts w:hint="eastAsia"/>
        </w:rPr>
        <w:t>违约预警、预警中心几个模块中涉及到上市、发债企业的取值逻辑需要保持一致；</w:t>
      </w:r>
    </w:p>
    <w:p w14:paraId="483A0AB0">
      <w:pPr>
        <w:pStyle w:val="4"/>
        <w:rPr>
          <w:rFonts w:hint="eastAsia"/>
        </w:rPr>
      </w:pPr>
      <w:r>
        <w:rPr>
          <w:rFonts w:hint="eastAsia"/>
        </w:rPr>
        <w:t>发债的城投取中证的还是K</w:t>
      </w:r>
      <w:r>
        <w:t>P</w:t>
      </w:r>
      <w:r>
        <w:rPr>
          <w:rFonts w:hint="eastAsia"/>
        </w:rPr>
        <w:t>的？</w:t>
      </w:r>
    </w:p>
  </w:comment>
  <w:comment w:id="1" w:author="蔡晓旭" w:date="2022-07-19T14:10:00Z" w:initials="蔡晓旭">
    <w:p w14:paraId="105D5F05">
      <w:pPr>
        <w:pStyle w:val="4"/>
      </w:pPr>
      <w:r>
        <w:rPr>
          <w:rFonts w:hint="eastAsia"/>
        </w:rPr>
        <w:t>快讯取值方式待与财汇明确</w:t>
      </w:r>
    </w:p>
  </w:comment>
  <w:comment w:id="2" w:author="蔡晓旭" w:date="2022-07-19T14:15:00Z" w:initials="蔡晓旭">
    <w:p w14:paraId="3CA82F60">
      <w:pPr>
        <w:pStyle w:val="4"/>
      </w:pPr>
      <w:r>
        <w:rPr>
          <w:rFonts w:hint="eastAsia"/>
        </w:rPr>
        <w:t>使用场景上会存在需要查看历史行业舆情信息的需求，例如查看近1年的，需要在产品设计上考虑如何满足@晓玲</w:t>
      </w:r>
    </w:p>
  </w:comment>
  <w:comment w:id="3" w:author="蔡晓旭" w:date="2022-07-19T13:34:00Z" w:initials="蔡晓旭">
    <w:p w14:paraId="59A20B8B">
      <w:pPr>
        <w:pStyle w:val="4"/>
      </w:pPr>
      <w:r>
        <w:rPr>
          <w:rFonts w:hint="eastAsia"/>
        </w:rPr>
        <w:t>需海通提供资产种类的字典</w:t>
      </w:r>
    </w:p>
  </w:comment>
  <w:comment w:id="4" w:author="蔡晓旭" w:date="2022-07-19T13:37:00Z" w:initials="蔡晓旭">
    <w:p w14:paraId="45DD224F">
      <w:pPr>
        <w:pStyle w:val="4"/>
      </w:pPr>
      <w:r>
        <w:rPr>
          <w:rFonts w:hint="eastAsia"/>
        </w:rPr>
        <w:t>需海通提供交易单位字典</w:t>
      </w:r>
    </w:p>
  </w:comment>
  <w:comment w:id="5" w:author="蔡晓旭" w:date="2022-07-19T13:38:00Z" w:initials="蔡晓旭">
    <w:p w14:paraId="51915F1D">
      <w:pPr>
        <w:pStyle w:val="4"/>
      </w:pPr>
      <w:r>
        <w:rPr>
          <w:rFonts w:hint="eastAsia"/>
        </w:rPr>
        <w:t>需海通提供业务部门字典</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83A0AB0" w15:done="0"/>
  <w15:commentEx w15:paraId="105D5F05" w15:done="0"/>
  <w15:commentEx w15:paraId="3CA82F60" w15:done="0"/>
  <w15:commentEx w15:paraId="59A20B8B" w15:done="0"/>
  <w15:commentEx w15:paraId="45DD224F" w15:done="0"/>
  <w15:commentEx w15:paraId="51915F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65973413"/>
      <w:docPartObj>
        <w:docPartGallery w:val="AutoText"/>
      </w:docPartObj>
    </w:sdtPr>
    <w:sdtContent>
      <w:p>
        <w:pPr>
          <w:pStyle w:val="6"/>
          <w:jc w:val="center"/>
        </w:pPr>
        <w:r>
          <w:fldChar w:fldCharType="begin"/>
        </w:r>
        <w:r>
          <w:instrText xml:space="preserve">PAGE   \* MERGEFORMAT</w:instrText>
        </w:r>
        <w:r>
          <w:fldChar w:fldCharType="separate"/>
        </w:r>
        <w:r>
          <w:rPr>
            <w:lang w:val="zh-CN"/>
          </w:rPr>
          <w:t>10</w:t>
        </w:r>
        <w:r>
          <w:fldChar w:fldCharType="end"/>
        </w:r>
      </w:p>
    </w:sdtContent>
  </w:sdt>
  <w:p>
    <w:pPr>
      <w:pStyle w:val="6"/>
      <w:jc w:val="center"/>
    </w:pPr>
    <w:r>
      <w:rPr>
        <w:rFonts w:hint="eastAsia"/>
      </w:rPr>
      <w:t>此文档为内部资料，仅限海通证券内部查看，不得外发</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drawing>
        <wp:inline distT="0" distB="0" distL="0" distR="0">
          <wp:extent cx="942340" cy="298450"/>
          <wp:effectExtent l="0" t="0" r="0" b="6350"/>
          <wp:docPr id="5" name="图片 5" descr="C:\Users\dingyy\Desktop\中证数智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dingyy\Desktop\中证数智logo.png"/>
                  <pic:cNvPicPr>
                    <a:picLocks noChangeAspect="1" noChangeArrowheads="1"/>
                  </pic:cNvPicPr>
                </pic:nvPicPr>
                <pic:blipFill>
                  <a:blip r:embed="rId1">
                    <a:extLst>
                      <a:ext uri="{28A0092B-C50C-407E-A947-70E740481C1C}">
                        <a14:useLocalDpi xmlns:a14="http://schemas.microsoft.com/office/drawing/2010/main" val="0"/>
                      </a:ext>
                    </a:extLst>
                  </a:blip>
                  <a:srcRect t="1" b="22687"/>
                  <a:stretch>
                    <a:fillRect/>
                  </a:stretch>
                </pic:blipFill>
                <pic:spPr>
                  <a:xfrm>
                    <a:off x="0" y="0"/>
                    <a:ext cx="963225" cy="305484"/>
                  </a:xfrm>
                  <a:prstGeom prst="rect">
                    <a:avLst/>
                  </a:prstGeom>
                  <a:noFill/>
                  <a:ln>
                    <a:noFill/>
                  </a:ln>
                </pic:spPr>
              </pic:pic>
            </a:graphicData>
          </a:graphic>
        </wp:inline>
      </w:drawing>
    </w:r>
    <w:r>
      <w:ptab w:relativeTo="margin" w:alignment="center" w:leader="none"/>
    </w:r>
    <w:r>
      <w:ptab w:relativeTo="margin" w:alignment="right" w:leader="none"/>
    </w:r>
    <w:r>
      <w:rPr>
        <w:rFonts w:hint="eastAsia"/>
      </w:rPr>
      <w:t>【海通证券】舆情监测大屏方案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0D6220"/>
    <w:multiLevelType w:val="multilevel"/>
    <w:tmpl w:val="0D0D6220"/>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0F5F5375"/>
    <w:multiLevelType w:val="multilevel"/>
    <w:tmpl w:val="0F5F537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
    <w:nsid w:val="7F06587D"/>
    <w:multiLevelType w:val="multilevel"/>
    <w:tmpl w:val="7F06587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蔡晓旭">
    <w15:presenceInfo w15:providerId="AD" w15:userId="S-1-5-21-2566315323-1018070883-673425335-30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JiYjQ0MjY3ZmI2YTI2MjM5MjMwZTgzYWFjZGFjOTkifQ=="/>
  </w:docVars>
  <w:rsids>
    <w:rsidRoot w:val="007D1743"/>
    <w:rsid w:val="00024D46"/>
    <w:rsid w:val="0002797C"/>
    <w:rsid w:val="00044BCD"/>
    <w:rsid w:val="00047C08"/>
    <w:rsid w:val="000548AE"/>
    <w:rsid w:val="0007717D"/>
    <w:rsid w:val="000776A7"/>
    <w:rsid w:val="0008747E"/>
    <w:rsid w:val="00094C80"/>
    <w:rsid w:val="000A5551"/>
    <w:rsid w:val="000C52ED"/>
    <w:rsid w:val="000D7F78"/>
    <w:rsid w:val="000E6195"/>
    <w:rsid w:val="00114D5F"/>
    <w:rsid w:val="00134037"/>
    <w:rsid w:val="00134FF0"/>
    <w:rsid w:val="001360C6"/>
    <w:rsid w:val="00161991"/>
    <w:rsid w:val="001745A3"/>
    <w:rsid w:val="001767B9"/>
    <w:rsid w:val="00181909"/>
    <w:rsid w:val="001936FA"/>
    <w:rsid w:val="00197FCF"/>
    <w:rsid w:val="001B07FE"/>
    <w:rsid w:val="001B2036"/>
    <w:rsid w:val="001B2BA4"/>
    <w:rsid w:val="001B3C8B"/>
    <w:rsid w:val="001E1D45"/>
    <w:rsid w:val="001E73FF"/>
    <w:rsid w:val="002016A2"/>
    <w:rsid w:val="00201A31"/>
    <w:rsid w:val="0020200A"/>
    <w:rsid w:val="00204C7E"/>
    <w:rsid w:val="002202AB"/>
    <w:rsid w:val="002473E0"/>
    <w:rsid w:val="002539C8"/>
    <w:rsid w:val="00262B5C"/>
    <w:rsid w:val="00275FFE"/>
    <w:rsid w:val="00281B69"/>
    <w:rsid w:val="00282D1B"/>
    <w:rsid w:val="00285159"/>
    <w:rsid w:val="002876BE"/>
    <w:rsid w:val="00295704"/>
    <w:rsid w:val="002A7D70"/>
    <w:rsid w:val="002C6EF8"/>
    <w:rsid w:val="00302259"/>
    <w:rsid w:val="00303391"/>
    <w:rsid w:val="00314110"/>
    <w:rsid w:val="003247F9"/>
    <w:rsid w:val="00325C06"/>
    <w:rsid w:val="00333E1E"/>
    <w:rsid w:val="00336431"/>
    <w:rsid w:val="00347879"/>
    <w:rsid w:val="0036120C"/>
    <w:rsid w:val="003664F1"/>
    <w:rsid w:val="00374A63"/>
    <w:rsid w:val="00376E94"/>
    <w:rsid w:val="0038223D"/>
    <w:rsid w:val="0039345C"/>
    <w:rsid w:val="003A3183"/>
    <w:rsid w:val="003B15AE"/>
    <w:rsid w:val="003B3376"/>
    <w:rsid w:val="003C252E"/>
    <w:rsid w:val="003D1AD8"/>
    <w:rsid w:val="003D75EB"/>
    <w:rsid w:val="003E30A0"/>
    <w:rsid w:val="003E3B6C"/>
    <w:rsid w:val="003F0DBD"/>
    <w:rsid w:val="0040323E"/>
    <w:rsid w:val="004125EB"/>
    <w:rsid w:val="00442653"/>
    <w:rsid w:val="00494FBA"/>
    <w:rsid w:val="004958FC"/>
    <w:rsid w:val="00497C5D"/>
    <w:rsid w:val="004A55EB"/>
    <w:rsid w:val="004B3EAA"/>
    <w:rsid w:val="004F17DB"/>
    <w:rsid w:val="00504C85"/>
    <w:rsid w:val="005162AB"/>
    <w:rsid w:val="00536BEF"/>
    <w:rsid w:val="005652D5"/>
    <w:rsid w:val="005720E9"/>
    <w:rsid w:val="005911D8"/>
    <w:rsid w:val="00592823"/>
    <w:rsid w:val="00593B4F"/>
    <w:rsid w:val="00594EA1"/>
    <w:rsid w:val="005A5391"/>
    <w:rsid w:val="005A7319"/>
    <w:rsid w:val="005B1C36"/>
    <w:rsid w:val="005B41BD"/>
    <w:rsid w:val="005C2D65"/>
    <w:rsid w:val="005D42CA"/>
    <w:rsid w:val="005D46A6"/>
    <w:rsid w:val="005E3E71"/>
    <w:rsid w:val="00602316"/>
    <w:rsid w:val="006079F8"/>
    <w:rsid w:val="00617149"/>
    <w:rsid w:val="00623D05"/>
    <w:rsid w:val="00630B97"/>
    <w:rsid w:val="00631953"/>
    <w:rsid w:val="00637E21"/>
    <w:rsid w:val="00647D0E"/>
    <w:rsid w:val="006528B5"/>
    <w:rsid w:val="006616D8"/>
    <w:rsid w:val="00662F7D"/>
    <w:rsid w:val="00666F05"/>
    <w:rsid w:val="00670AE1"/>
    <w:rsid w:val="00685B63"/>
    <w:rsid w:val="00696646"/>
    <w:rsid w:val="006B7D84"/>
    <w:rsid w:val="006C1271"/>
    <w:rsid w:val="006F23DF"/>
    <w:rsid w:val="00705FC4"/>
    <w:rsid w:val="00707133"/>
    <w:rsid w:val="00714121"/>
    <w:rsid w:val="007167EE"/>
    <w:rsid w:val="0071799A"/>
    <w:rsid w:val="00717DA5"/>
    <w:rsid w:val="00742F9E"/>
    <w:rsid w:val="007451E1"/>
    <w:rsid w:val="00752C23"/>
    <w:rsid w:val="00764FA8"/>
    <w:rsid w:val="00770CD9"/>
    <w:rsid w:val="007772C4"/>
    <w:rsid w:val="00795B08"/>
    <w:rsid w:val="007B0997"/>
    <w:rsid w:val="007B46C7"/>
    <w:rsid w:val="007B61F3"/>
    <w:rsid w:val="007B6C9B"/>
    <w:rsid w:val="007D1743"/>
    <w:rsid w:val="007D22A6"/>
    <w:rsid w:val="007D4D4E"/>
    <w:rsid w:val="007D6C4B"/>
    <w:rsid w:val="007E7F26"/>
    <w:rsid w:val="0080447A"/>
    <w:rsid w:val="00815913"/>
    <w:rsid w:val="0081766E"/>
    <w:rsid w:val="00820CF5"/>
    <w:rsid w:val="008275EE"/>
    <w:rsid w:val="00835A98"/>
    <w:rsid w:val="008625EB"/>
    <w:rsid w:val="008656CF"/>
    <w:rsid w:val="00874351"/>
    <w:rsid w:val="00876788"/>
    <w:rsid w:val="0088123A"/>
    <w:rsid w:val="0088175B"/>
    <w:rsid w:val="008939E6"/>
    <w:rsid w:val="00896B3B"/>
    <w:rsid w:val="008A0F08"/>
    <w:rsid w:val="008B03B3"/>
    <w:rsid w:val="008B53F1"/>
    <w:rsid w:val="008D2649"/>
    <w:rsid w:val="008D79FA"/>
    <w:rsid w:val="008E44AB"/>
    <w:rsid w:val="008E5323"/>
    <w:rsid w:val="00901213"/>
    <w:rsid w:val="00905859"/>
    <w:rsid w:val="00922A82"/>
    <w:rsid w:val="0092456B"/>
    <w:rsid w:val="00925AC7"/>
    <w:rsid w:val="00925C98"/>
    <w:rsid w:val="00926FDA"/>
    <w:rsid w:val="009360F6"/>
    <w:rsid w:val="00936157"/>
    <w:rsid w:val="00942593"/>
    <w:rsid w:val="00947347"/>
    <w:rsid w:val="00962271"/>
    <w:rsid w:val="00965454"/>
    <w:rsid w:val="0097109C"/>
    <w:rsid w:val="00987F74"/>
    <w:rsid w:val="009A3A9D"/>
    <w:rsid w:val="009C1E25"/>
    <w:rsid w:val="009D02D8"/>
    <w:rsid w:val="009F3088"/>
    <w:rsid w:val="00A0375D"/>
    <w:rsid w:val="00A153CF"/>
    <w:rsid w:val="00A17242"/>
    <w:rsid w:val="00A253C4"/>
    <w:rsid w:val="00A2595E"/>
    <w:rsid w:val="00A26552"/>
    <w:rsid w:val="00A3099F"/>
    <w:rsid w:val="00A36D42"/>
    <w:rsid w:val="00A56E9D"/>
    <w:rsid w:val="00A671C9"/>
    <w:rsid w:val="00A710DC"/>
    <w:rsid w:val="00A74C1A"/>
    <w:rsid w:val="00A7666D"/>
    <w:rsid w:val="00A87E38"/>
    <w:rsid w:val="00A902EB"/>
    <w:rsid w:val="00A92C9A"/>
    <w:rsid w:val="00AA4FAE"/>
    <w:rsid w:val="00AA5760"/>
    <w:rsid w:val="00AB0D45"/>
    <w:rsid w:val="00AB53E0"/>
    <w:rsid w:val="00AB6F69"/>
    <w:rsid w:val="00AC2734"/>
    <w:rsid w:val="00AC282F"/>
    <w:rsid w:val="00AD2A40"/>
    <w:rsid w:val="00AE2EFB"/>
    <w:rsid w:val="00B01CA6"/>
    <w:rsid w:val="00B031AC"/>
    <w:rsid w:val="00B06F88"/>
    <w:rsid w:val="00B209E7"/>
    <w:rsid w:val="00B30C5B"/>
    <w:rsid w:val="00B32314"/>
    <w:rsid w:val="00B3756E"/>
    <w:rsid w:val="00B50F9D"/>
    <w:rsid w:val="00B612E9"/>
    <w:rsid w:val="00B6248D"/>
    <w:rsid w:val="00B900E1"/>
    <w:rsid w:val="00BB050F"/>
    <w:rsid w:val="00BC3337"/>
    <w:rsid w:val="00BD2402"/>
    <w:rsid w:val="00BF1E79"/>
    <w:rsid w:val="00C166B2"/>
    <w:rsid w:val="00C16EB4"/>
    <w:rsid w:val="00C20893"/>
    <w:rsid w:val="00C232B8"/>
    <w:rsid w:val="00C25228"/>
    <w:rsid w:val="00C40080"/>
    <w:rsid w:val="00C532AE"/>
    <w:rsid w:val="00C540B5"/>
    <w:rsid w:val="00C61411"/>
    <w:rsid w:val="00C71B7F"/>
    <w:rsid w:val="00C7621A"/>
    <w:rsid w:val="00CB5FD6"/>
    <w:rsid w:val="00CB6D83"/>
    <w:rsid w:val="00CC01AD"/>
    <w:rsid w:val="00CC131C"/>
    <w:rsid w:val="00CC5928"/>
    <w:rsid w:val="00CE73CA"/>
    <w:rsid w:val="00CF1D5C"/>
    <w:rsid w:val="00D0533A"/>
    <w:rsid w:val="00D24837"/>
    <w:rsid w:val="00D24931"/>
    <w:rsid w:val="00D326B2"/>
    <w:rsid w:val="00D46CAC"/>
    <w:rsid w:val="00D51355"/>
    <w:rsid w:val="00D60779"/>
    <w:rsid w:val="00D717D2"/>
    <w:rsid w:val="00D731A3"/>
    <w:rsid w:val="00D76263"/>
    <w:rsid w:val="00D812D4"/>
    <w:rsid w:val="00D971BC"/>
    <w:rsid w:val="00DB00C0"/>
    <w:rsid w:val="00DB1FBF"/>
    <w:rsid w:val="00DF18F3"/>
    <w:rsid w:val="00E211EA"/>
    <w:rsid w:val="00E24023"/>
    <w:rsid w:val="00E31090"/>
    <w:rsid w:val="00E61835"/>
    <w:rsid w:val="00E72FF3"/>
    <w:rsid w:val="00E802EA"/>
    <w:rsid w:val="00E82D1D"/>
    <w:rsid w:val="00E855A4"/>
    <w:rsid w:val="00E92F5F"/>
    <w:rsid w:val="00E93034"/>
    <w:rsid w:val="00E967B9"/>
    <w:rsid w:val="00EA1B67"/>
    <w:rsid w:val="00EB4A9C"/>
    <w:rsid w:val="00EB6B74"/>
    <w:rsid w:val="00EC130C"/>
    <w:rsid w:val="00EC79AF"/>
    <w:rsid w:val="00ED142F"/>
    <w:rsid w:val="00EF0C85"/>
    <w:rsid w:val="00EF2D52"/>
    <w:rsid w:val="00F0269C"/>
    <w:rsid w:val="00F03E1E"/>
    <w:rsid w:val="00F07868"/>
    <w:rsid w:val="00F07A8E"/>
    <w:rsid w:val="00F1744F"/>
    <w:rsid w:val="00F206D3"/>
    <w:rsid w:val="00F36134"/>
    <w:rsid w:val="00F37FF7"/>
    <w:rsid w:val="00F54283"/>
    <w:rsid w:val="00F55D18"/>
    <w:rsid w:val="00F84B6A"/>
    <w:rsid w:val="00F966B9"/>
    <w:rsid w:val="00FA026E"/>
    <w:rsid w:val="00FB20A5"/>
    <w:rsid w:val="00FB71AB"/>
    <w:rsid w:val="00FB7BDF"/>
    <w:rsid w:val="00FE24E0"/>
    <w:rsid w:val="164A23AF"/>
    <w:rsid w:val="4C1C659D"/>
    <w:rsid w:val="50114A8F"/>
    <w:rsid w:val="6B265DD6"/>
    <w:rsid w:val="71217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24"/>
    <w:semiHidden/>
    <w:unhideWhenUsed/>
    <w:uiPriority w:val="99"/>
    <w:pPr>
      <w:jc w:val="left"/>
    </w:pPr>
  </w:style>
  <w:style w:type="paragraph" w:styleId="5">
    <w:name w:val="Balloon Text"/>
    <w:basedOn w:val="1"/>
    <w:link w:val="26"/>
    <w:semiHidden/>
    <w:unhideWhenUsed/>
    <w:uiPriority w:val="99"/>
    <w:rPr>
      <w:sz w:val="18"/>
      <w:szCs w:val="18"/>
    </w:r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paragraph" w:styleId="10">
    <w:name w:val="Title"/>
    <w:basedOn w:val="1"/>
    <w:next w:val="1"/>
    <w:link w:val="18"/>
    <w:qFormat/>
    <w:uiPriority w:val="10"/>
    <w:pPr>
      <w:spacing w:before="240" w:after="60"/>
      <w:jc w:val="center"/>
      <w:outlineLvl w:val="0"/>
    </w:pPr>
    <w:rPr>
      <w:rFonts w:asciiTheme="majorHAnsi" w:hAnsiTheme="majorHAnsi" w:eastAsiaTheme="majorEastAsia" w:cstheme="majorBidi"/>
      <w:b/>
      <w:bCs/>
      <w:sz w:val="32"/>
      <w:szCs w:val="32"/>
    </w:rPr>
  </w:style>
  <w:style w:type="paragraph" w:styleId="11">
    <w:name w:val="annotation subject"/>
    <w:basedOn w:val="4"/>
    <w:next w:val="4"/>
    <w:link w:val="25"/>
    <w:semiHidden/>
    <w:unhideWhenUsed/>
    <w:uiPriority w:val="99"/>
    <w:rPr>
      <w:b/>
      <w:bCs/>
    </w:rPr>
  </w:style>
  <w:style w:type="character" w:styleId="14">
    <w:name w:val="Hyperlink"/>
    <w:basedOn w:val="13"/>
    <w:unhideWhenUsed/>
    <w:uiPriority w:val="99"/>
    <w:rPr>
      <w:color w:val="0563C1" w:themeColor="hyperlink"/>
      <w:u w:val="single"/>
      <w14:textFill>
        <w14:solidFill>
          <w14:schemeClr w14:val="hlink"/>
        </w14:solidFill>
      </w14:textFill>
    </w:rPr>
  </w:style>
  <w:style w:type="character" w:styleId="15">
    <w:name w:val="annotation reference"/>
    <w:basedOn w:val="13"/>
    <w:semiHidden/>
    <w:unhideWhenUsed/>
    <w:uiPriority w:val="99"/>
    <w:rPr>
      <w:sz w:val="21"/>
      <w:szCs w:val="21"/>
    </w:rPr>
  </w:style>
  <w:style w:type="character" w:customStyle="1" w:styleId="16">
    <w:name w:val="页眉 字符"/>
    <w:basedOn w:val="13"/>
    <w:link w:val="7"/>
    <w:uiPriority w:val="99"/>
    <w:rPr>
      <w:sz w:val="18"/>
      <w:szCs w:val="18"/>
    </w:rPr>
  </w:style>
  <w:style w:type="character" w:customStyle="1" w:styleId="17">
    <w:name w:val="页脚 字符"/>
    <w:basedOn w:val="13"/>
    <w:link w:val="6"/>
    <w:uiPriority w:val="99"/>
    <w:rPr>
      <w:sz w:val="18"/>
      <w:szCs w:val="18"/>
    </w:rPr>
  </w:style>
  <w:style w:type="character" w:customStyle="1" w:styleId="18">
    <w:name w:val="标题 字符"/>
    <w:basedOn w:val="13"/>
    <w:link w:val="10"/>
    <w:uiPriority w:val="10"/>
    <w:rPr>
      <w:rFonts w:asciiTheme="majorHAnsi" w:hAnsiTheme="majorHAnsi" w:eastAsiaTheme="majorEastAsia" w:cstheme="majorBidi"/>
      <w:b/>
      <w:bCs/>
      <w:sz w:val="32"/>
      <w:szCs w:val="32"/>
    </w:rPr>
  </w:style>
  <w:style w:type="paragraph" w:styleId="19">
    <w:name w:val="List Paragraph"/>
    <w:basedOn w:val="1"/>
    <w:link w:val="23"/>
    <w:qFormat/>
    <w:uiPriority w:val="34"/>
    <w:pPr>
      <w:ind w:firstLine="420" w:firstLineChars="200"/>
    </w:pPr>
  </w:style>
  <w:style w:type="character" w:customStyle="1" w:styleId="20">
    <w:name w:val="标题 1 字符"/>
    <w:basedOn w:val="13"/>
    <w:link w:val="2"/>
    <w:uiPriority w:val="9"/>
    <w:rPr>
      <w:b/>
      <w:bCs/>
      <w:kern w:val="44"/>
      <w:sz w:val="44"/>
      <w:szCs w:val="44"/>
    </w:rPr>
  </w:style>
  <w:style w:type="character" w:customStyle="1" w:styleId="21">
    <w:name w:val="标题 2 字符"/>
    <w:basedOn w:val="13"/>
    <w:link w:val="3"/>
    <w:uiPriority w:val="9"/>
    <w:rPr>
      <w:rFonts w:asciiTheme="majorHAnsi" w:hAnsiTheme="majorHAnsi" w:eastAsiaTheme="majorEastAsia" w:cstheme="majorBidi"/>
      <w:b/>
      <w:bCs/>
      <w:sz w:val="32"/>
      <w:szCs w:val="32"/>
    </w:rPr>
  </w:style>
  <w:style w:type="paragraph" w:customStyle="1" w:styleId="2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3">
    <w:name w:val="列出段落 字符"/>
    <w:link w:val="19"/>
    <w:qFormat/>
    <w:uiPriority w:val="34"/>
  </w:style>
  <w:style w:type="character" w:customStyle="1" w:styleId="24">
    <w:name w:val="批注文字 字符"/>
    <w:basedOn w:val="13"/>
    <w:link w:val="4"/>
    <w:semiHidden/>
    <w:qFormat/>
    <w:uiPriority w:val="99"/>
  </w:style>
  <w:style w:type="character" w:customStyle="1" w:styleId="25">
    <w:name w:val="批注主题 字符"/>
    <w:basedOn w:val="24"/>
    <w:link w:val="11"/>
    <w:semiHidden/>
    <w:uiPriority w:val="99"/>
    <w:rPr>
      <w:b/>
      <w:bCs/>
    </w:rPr>
  </w:style>
  <w:style w:type="character" w:customStyle="1" w:styleId="26">
    <w:name w:val="批注框文本 字符"/>
    <w:basedOn w:val="13"/>
    <w:link w:val="5"/>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5.emf"/><Relationship Id="rId12" Type="http://schemas.openxmlformats.org/officeDocument/2006/relationships/package" Target="embeddings/Workbook2.xlsx"/><Relationship Id="rId11" Type="http://schemas.openxmlformats.org/officeDocument/2006/relationships/image" Target="media/image4.emf"/><Relationship Id="rId10" Type="http://schemas.openxmlformats.org/officeDocument/2006/relationships/package" Target="embeddings/Workbook1.xlsx"/><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798FE-3D5B-4D39-B23B-FC7C061522D7}">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5129</Words>
  <Characters>5490</Characters>
  <Lines>46</Lines>
  <Paragraphs>13</Paragraphs>
  <TotalTime>1880</TotalTime>
  <ScaleCrop>false</ScaleCrop>
  <LinksUpToDate>false</LinksUpToDate>
  <CharactersWithSpaces>5545</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2022-07-15T06:56:00Z</dcterms:created>
  <dc:creator>蔡晓旭</dc:creator>
  <cp:lastModifiedBy>华仔</cp:lastModifiedBy>
  <dcterms:modified xsi:type="dcterms:W3CDTF">2022-08-22T12:15:44Z</dcterms:modified>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11BCC12A963F44AEB8FA4ECEAEAB3F76</vt:lpwstr>
  </property>
</Properties>
</file>