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Mono" w:hAnsi="Liberation Mono"/>
          <w:b/>
          <w:sz w:val="26"/>
        </w:rPr>
        <w:t>QA TOOLS</w:t>
      </w:r>
    </w:p>
    <w:p>
      <w:pPr>
        <w:spacing w:before="240"/>
        <w:jc w:val="center"/>
      </w:pPr>
      <w:r>
        <w:t>Master Blueprint</w:t>
      </w:r>
    </w:p>
    <w:p>
      <w:pPr>
        <w:jc w:val="center"/>
      </w:pPr>
      <w:r>
        <w:t>Checkpoint 02 — Product + Technical Architecture</w:t>
      </w:r>
    </w:p>
    <w:p>
      <w:pPr>
        <w:spacing w:before="360"/>
        <w:jc w:val="center"/>
      </w:pPr>
      <w:r>
        <w:rPr>
          <w:rFonts w:ascii="Liberation Mono" w:hAnsi="Liberation Mono"/>
          <w:sz w:val="22"/>
        </w:rPr>
        <w:t>qatools.studio</w:t>
      </w:r>
    </w:p>
    <w:p>
      <w:pPr>
        <w:spacing w:before="2200"/>
        <w:jc w:val="center"/>
      </w:pPr>
      <w:r>
        <w:t>Living source-of-truth • Checkpoint 02 • 30 September 2026</w:t>
      </w:r>
    </w:p>
    <w:p>
      <w:r>
        <w:br w:type="page"/>
      </w:r>
    </w:p>
    <w:p>
      <w:pPr>
        <w:pStyle w:val="Heading1"/>
      </w:pPr>
      <w:r>
        <w:t>1. Purpose of this checkpoint</w:t>
      </w:r>
    </w:p>
    <w:p>
      <w:r>
        <w:t>This document captures the product, marketplace, customer-account, commerce, versioning, visual-design and licensing decisions agreed for QA Tools before technology selection begins. It is intended to be a stable checkpoint: future technical decisions may extend it, but should not silently contradict it.</w:t>
      </w:r>
    </w:p>
    <w:tbl>
      <w:tblPr>
        <w:tblW w:type="auto" w:w="0"/>
        <w:jc w:val="center"/>
        <w:tblLook w:firstColumn="1" w:firstRow="1" w:lastColumn="0" w:lastRow="0" w:noHBand="0" w:noVBand="1" w:val="04A0"/>
      </w:tblPr>
      <w:tblGrid>
        <w:gridCol w:w="9936"/>
      </w:tblGrid>
      <w:tr>
        <w:tc>
          <w:tcPr>
            <w:tcW w:type="dxa" w:w="9936"/>
            <w:shd w:fill="F1F1F1"/>
            <w:tcMar>
              <w:top w:w="120" w:type="dxa"/>
              <w:start w:w="150" w:type="dxa"/>
              <w:bottom w:w="120" w:type="dxa"/>
              <w:end w:w="150" w:type="dxa"/>
            </w:tcMar>
          </w:tcPr>
          <w:p>
            <w:r>
              <w:rPr>
                <w:b/>
              </w:rPr>
              <w:t xml:space="preserve">Status convention  </w:t>
            </w:r>
            <w:r>
              <w:t>Items marked LOCKED are current product decisions. Items marked OPEN are intentionally deferred to the technical/legal implementation phase.</w:t>
            </w:r>
          </w:p>
        </w:tc>
      </w:tr>
    </w:tbl>
    <w:p>
      <w:pPr>
        <w:spacing w:after="0"/>
      </w:pPr>
    </w:p>
    <w:p>
      <w:pPr>
        <w:pStyle w:val="Heading1"/>
      </w:pPr>
      <w:r>
        <w:t>2. Product vision</w:t>
      </w:r>
    </w:p>
    <w:p>
      <w:pPr>
        <w:pStyle w:val="ListBullet"/>
        <w:spacing w:after="40"/>
      </w:pPr>
      <w:r>
        <w:t>LOCKED — QA Tools is a marketplace/store for digital Houdini tools at qatools.studio.</w:t>
      </w:r>
    </w:p>
    <w:p>
      <w:pPr>
        <w:pStyle w:val="ListBullet"/>
        <w:spacing w:after="40"/>
      </w:pPr>
      <w:r>
        <w:t>LOCKED — The homepage is the marketplace itself; there is no separate marketing-heavy landing page.</w:t>
      </w:r>
    </w:p>
    <w:p>
      <w:pPr>
        <w:pStyle w:val="ListBullet"/>
        <w:spacing w:after="40"/>
      </w:pPr>
      <w:r>
        <w:t>LOCKED — Products may be individual tools, bundles, or free products.</w:t>
      </w:r>
    </w:p>
    <w:p>
      <w:pPr>
        <w:pStyle w:val="ListBullet"/>
        <w:spacing w:after="40"/>
      </w:pPr>
      <w:r>
        <w:t>LOCKED — The first commercial product is qafit01, an HDA that remaps/fits an attribute value to 0–1.</w:t>
      </w:r>
    </w:p>
    <w:p>
      <w:pPr>
        <w:pStyle w:val="ListBullet"/>
        <w:spacing w:after="40"/>
      </w:pPr>
      <w:r>
        <w:t>LOCKED — qafit01 launches at €5 with a one-time permanent license.</w:t>
      </w:r>
    </w:p>
    <w:p>
      <w:pPr>
        <w:pStyle w:val="ListBullet"/>
        <w:spacing w:after="40"/>
      </w:pPr>
      <w:r>
        <w:t>LOCKED — Products should be visually explained first: GIF/video/image is more important than long marketing copy.</w:t>
      </w:r>
    </w:p>
    <w:p>
      <w:pPr>
        <w:pStyle w:val="ListBullet"/>
        <w:spacing w:after="40"/>
      </w:pPr>
      <w:r>
        <w:t>LOCKED — Product names may range from short names such as qafit01 to longer functional names; keep names as short as practical.</w:t>
      </w:r>
    </w:p>
    <w:p>
      <w:pPr>
        <w:pStyle w:val="ListBullet"/>
        <w:spacing w:after="40"/>
      </w:pPr>
      <w:r>
        <w:t>LOCKED — The site should be able to scale to many products without becoming visually or administratively cluttered.</w:t>
      </w:r>
    </w:p>
    <w:p>
      <w:pPr>
        <w:pStyle w:val="Heading1"/>
      </w:pPr>
      <w:r>
        <w:t>3. Marketplace information architecture</w:t>
      </w:r>
    </w:p>
    <w:p>
      <w:pPr>
        <w:pStyle w:val="Heading2"/>
      </w:pPr>
      <w:r>
        <w:t>3.1 Primary navigation</w:t>
      </w:r>
    </w:p>
    <w:p>
      <w:pPr>
        <w:pStyle w:val="ListBullet"/>
        <w:spacing w:after="40"/>
      </w:pPr>
      <w:r>
        <w:t>Left: qatools logo.</w:t>
      </w:r>
    </w:p>
    <w:p>
      <w:pPr>
        <w:pStyle w:val="ListBullet"/>
        <w:spacing w:after="40"/>
      </w:pPr>
      <w:r>
        <w:t>Center: Products, How to Install, What’s New.</w:t>
      </w:r>
    </w:p>
    <w:p>
      <w:pPr>
        <w:pStyle w:val="ListBullet"/>
        <w:spacing w:after="40"/>
      </w:pPr>
      <w:r>
        <w:t>Right: Search, Likes/Favourites (heart), User/Account, Cart.</w:t>
      </w:r>
    </w:p>
    <w:p>
      <w:r>
        <w:t>The heart in the main navigation opens the customer’s Liked Products view directly.</w:t>
      </w:r>
    </w:p>
    <w:p>
      <w:pPr>
        <w:pStyle w:val="Heading2"/>
      </w:pPr>
      <w:r>
        <w:t>3.2 Product discovery</w:t>
      </w:r>
    </w:p>
    <w:p>
      <w:pPr>
        <w:pStyle w:val="ListBullet"/>
        <w:spacing w:after="40"/>
      </w:pPr>
      <w:r>
        <w:t>Products are presented in a clean visual grid.</w:t>
      </w:r>
    </w:p>
    <w:p>
      <w:pPr>
        <w:pStyle w:val="ListBullet"/>
        <w:spacing w:after="40"/>
      </w:pPr>
      <w:r>
        <w:t>Each card includes explanatory motion/imagery, product title, very short subtitle and price.</w:t>
      </w:r>
    </w:p>
    <w:p>
      <w:pPr>
        <w:pStyle w:val="ListBullet"/>
        <w:spacing w:after="40"/>
      </w:pPr>
      <w:r>
        <w:t>Hover may reveal a slightly fuller short description without turning the card into a text-heavy component.</w:t>
      </w:r>
    </w:p>
    <w:p>
      <w:pPr>
        <w:pStyle w:val="ListBullet"/>
        <w:spacing w:after="40"/>
      </w:pPr>
      <w:r>
        <w:t>Sorting: newest/date, price, relevance and popularity.</w:t>
      </w:r>
    </w:p>
    <w:p>
      <w:pPr>
        <w:pStyle w:val="ListBullet"/>
        <w:spacing w:after="40"/>
      </w:pPr>
      <w:r>
        <w:t>Filtering can combine dimensions such as product type and complexity.</w:t>
      </w:r>
    </w:p>
    <w:p>
      <w:pPr>
        <w:pStyle w:val="ListBullet"/>
        <w:spacing w:after="40"/>
      </w:pPr>
      <w:r>
        <w:t>Product type examples: SOPs, DOPs, ROPs, Shelf Tools.</w:t>
      </w:r>
    </w:p>
    <w:p>
      <w:pPr>
        <w:pStyle w:val="ListBullet"/>
        <w:spacing w:after="40"/>
      </w:pPr>
      <w:r>
        <w:t>Complexity: Simple, Medium, Advanced.</w:t>
      </w:r>
    </w:p>
    <w:p>
      <w:pPr>
        <w:pStyle w:val="ListBullet"/>
        <w:spacing w:after="40"/>
      </w:pPr>
      <w:r>
        <w:t>Useful top-level/filter concepts include All Products, Bundles and Free.</w:t>
      </w:r>
    </w:p>
    <w:p>
      <w:pPr>
        <w:pStyle w:val="ListBullet"/>
        <w:spacing w:after="40"/>
      </w:pPr>
      <w:r>
        <w:t>Search is available.</w:t>
      </w:r>
    </w:p>
    <w:p>
      <w:pPr>
        <w:pStyle w:val="Heading2"/>
      </w:pPr>
      <w:r>
        <w:t>3.3 Ownership and favourites in browsing</w:t>
      </w:r>
    </w:p>
    <w:p>
      <w:pPr>
        <w:pStyle w:val="ListBullet"/>
        <w:spacing w:after="40"/>
      </w:pPr>
      <w:r>
        <w:t>LOCKED — A visible heart sits next to the product title to show liked/saved status.</w:t>
      </w:r>
    </w:p>
    <w:p>
      <w:pPr>
        <w:pStyle w:val="ListBullet"/>
        <w:spacing w:after="40"/>
      </w:pPr>
      <w:r>
        <w:t>LOCKED — A visible tick icon shows that the product is already purchased/owned.</w:t>
      </w:r>
    </w:p>
    <w:p>
      <w:pPr>
        <w:pStyle w:val="ListBullet"/>
        <w:spacing w:after="40"/>
      </w:pPr>
      <w:r>
        <w:t>LOCKED — These states should be easy to scan while browsing, so users can immediately see what they saved and what they own.</w:t>
      </w:r>
    </w:p>
    <w:p>
      <w:pPr>
        <w:pStyle w:val="ListBullet"/>
        <w:spacing w:after="40"/>
      </w:pPr>
      <w:r>
        <w:t>LOCKED — If a user owns a bundle, the individual products included in that bundle are treated as owned: their purchase action is disabled and the tick is shown.</w:t>
      </w:r>
    </w:p>
    <w:p>
      <w:pPr>
        <w:pStyle w:val="ListBullet"/>
        <w:spacing w:after="40"/>
      </w:pPr>
      <w:r>
        <w:t>LOCKED — The storefront should reason from entitlement/ownership, not from the exact route by which the product was obtained.</w:t>
      </w:r>
    </w:p>
    <w:p>
      <w:pPr>
        <w:pStyle w:val="Heading1"/>
      </w:pPr>
      <w:r>
        <w:t>4. Product page</w:t>
      </w:r>
    </w:p>
    <w:p>
      <w:r>
        <w:t>The product page takes its structural inspiration from minimal fashion/product retail pages: large visual explanation, restrained typography and a compact purchase panel.</w:t>
      </w:r>
    </w:p>
    <w:p>
      <w:pPr>
        <w:pStyle w:val="ListBullet"/>
        <w:spacing w:after="40"/>
      </w:pPr>
      <w:r>
        <w:t>Large explanatory GIF/video/image on the left; concise product information and actions on the right on desktop.</w:t>
      </w:r>
    </w:p>
    <w:p>
      <w:pPr>
        <w:pStyle w:val="ListBullet"/>
        <w:spacing w:after="40"/>
      </w:pPr>
      <w:r>
        <w:t>Title with the heart visibly next to it; purchased/owned state also remains visible.</w:t>
      </w:r>
    </w:p>
    <w:p>
      <w:pPr>
        <w:pStyle w:val="ListBullet"/>
        <w:spacing w:after="40"/>
      </w:pPr>
      <w:r>
        <w:t>Concise description and price.</w:t>
      </w:r>
    </w:p>
    <w:p>
      <w:pPr>
        <w:pStyle w:val="ListBullet"/>
        <w:spacing w:after="40"/>
      </w:pPr>
      <w:r>
        <w:t>Primary Add to Cart / Buy action, disabled/replaced by owned state when entitlement already exists.</w:t>
      </w:r>
    </w:p>
    <w:p>
      <w:pPr>
        <w:pStyle w:val="ListBullet"/>
        <w:spacing w:after="40"/>
      </w:pPr>
      <w:r>
        <w:t>Bundle availability / “Included in” context where relevant.</w:t>
      </w:r>
    </w:p>
    <w:p>
      <w:pPr>
        <w:pStyle w:val="ListBullet"/>
        <w:spacing w:after="40"/>
      </w:pPr>
      <w:r>
        <w:t>Best Paired With recommendations, preferably manually curated in admin rather than algorithmic in v1.</w:t>
      </w:r>
    </w:p>
    <w:p>
      <w:pPr>
        <w:pStyle w:val="ListBullet"/>
        <w:spacing w:after="40"/>
      </w:pPr>
      <w:r>
        <w:t>Compact metadata such as SOP, SIMPLE, H21+, version number; monospace/typewriter styling can be used for this technical layer.</w:t>
      </w:r>
    </w:p>
    <w:p>
      <w:pPr>
        <w:pStyle w:val="ListBullet"/>
        <w:spacing w:after="40"/>
      </w:pPr>
      <w:r>
        <w:t>Longer explanation video or additional description only when the product needs it.</w:t>
      </w:r>
    </w:p>
    <w:p>
      <w:pPr>
        <w:pStyle w:val="ListBullet"/>
        <w:spacing w:after="40"/>
      </w:pPr>
      <w:r>
        <w:t>No ratings, testimonial clutter or oversized marketing copy.</w:t>
      </w:r>
    </w:p>
    <w:p>
      <w:r>
        <w:t>Simple products can have very short pages; advanced products may contain more explanation. The page length follows the product rather than a rigid template.</w:t>
      </w:r>
    </w:p>
    <w:p>
      <w:pPr>
        <w:pStyle w:val="Heading1"/>
      </w:pPr>
      <w:r>
        <w:t>5. Visual direction</w:t>
      </w:r>
    </w:p>
    <w:p>
      <w:pPr>
        <w:pStyle w:val="ListBullet"/>
        <w:spacing w:after="40"/>
      </w:pPr>
      <w:r>
        <w:t>LOCKED — Dark overall presentation.</w:t>
      </w:r>
    </w:p>
    <w:p>
      <w:pPr>
        <w:pStyle w:val="ListBullet"/>
        <w:spacing w:after="40"/>
      </w:pPr>
      <w:r>
        <w:t>LOCKED — Combination of clean sans-serif typography with restrained typewriter/code/monospace typography.</w:t>
      </w:r>
    </w:p>
    <w:p>
      <w:pPr>
        <w:pStyle w:val="ListBullet"/>
        <w:spacing w:after="40"/>
      </w:pPr>
      <w:r>
        <w:t>LOCKED — Fast site with minimal interface animation.</w:t>
      </w:r>
    </w:p>
    <w:p>
      <w:pPr>
        <w:pStyle w:val="ListBullet"/>
        <w:spacing w:after="40"/>
      </w:pPr>
      <w:r>
        <w:t>LOCKED — Rich product motion; quiet UI motion.</w:t>
      </w:r>
    </w:p>
    <w:p>
      <w:pPr>
        <w:pStyle w:val="ListBullet"/>
        <w:spacing w:after="40"/>
      </w:pPr>
      <w:r>
        <w:t>LOCKED — Avoid generic SaaS aesthetics: no giant marketing hero, unnecessary feature boxes, testimonial sections or decorative gradients.</w:t>
      </w:r>
    </w:p>
    <w:p>
      <w:pPr>
        <w:pStyle w:val="ListBullet"/>
        <w:spacing w:after="40"/>
      </w:pPr>
      <w:r>
        <w:t>LOCKED — Product GIFs/videos should feel visually cohesive and can become part of the QA Tools brand identity.</w:t>
      </w:r>
    </w:p>
    <w:p>
      <w:pPr>
        <w:pStyle w:val="ListBullet"/>
        <w:spacing w:after="40"/>
      </w:pPr>
      <w:r>
        <w:t>REFERENCE — Zara is the strongest interaction/layout reference; Versace product clarity and Zünc Studio visual language are secondary references.</w:t>
      </w:r>
    </w:p>
    <w:p>
      <w:pPr>
        <w:pStyle w:val="Heading1"/>
      </w:pPr>
      <w:r>
        <w:t>6. How to Install</w:t>
      </w:r>
    </w:p>
    <w:p>
      <w:pPr>
        <w:pStyle w:val="ListBullet"/>
        <w:spacing w:after="40"/>
      </w:pPr>
      <w:r>
        <w:t>Dedicated main-navigation page.</w:t>
      </w:r>
    </w:p>
    <w:p>
      <w:pPr>
        <w:pStyle w:val="ListBullet"/>
        <w:spacing w:after="40"/>
      </w:pPr>
      <w:r>
        <w:t>Keep it simple: installation video plus concise written instructions.</w:t>
      </w:r>
    </w:p>
    <w:p>
      <w:pPr>
        <w:pStyle w:val="ListBullet"/>
        <w:spacing w:after="40"/>
      </w:pPr>
      <w:r>
        <w:t>Each downloadable package also includes a .txt installation/readme file.</w:t>
      </w:r>
    </w:p>
    <w:p>
      <w:pPr>
        <w:pStyle w:val="ListBullet"/>
        <w:spacing w:after="40"/>
      </w:pPr>
      <w:r>
        <w:t>The website remains the canonical installation guide.</w:t>
      </w:r>
    </w:p>
    <w:p>
      <w:pPr>
        <w:pStyle w:val="ListBullet"/>
        <w:spacing w:after="40"/>
      </w:pPr>
      <w:r>
        <w:t>Free products can act as onboarding: users can learn the download/install/activation flow before purchasing.</w:t>
      </w:r>
    </w:p>
    <w:p>
      <w:pPr>
        <w:pStyle w:val="Heading1"/>
      </w:pPr>
      <w:r>
        <w:t>7. What’s New and changelogs</w:t>
      </w:r>
    </w:p>
    <w:p>
      <w:pPr>
        <w:pStyle w:val="ListBullet"/>
        <w:spacing w:after="40"/>
      </w:pPr>
      <w:r>
        <w:t>What’s New is a main website section presented as an article/feed.</w:t>
      </w:r>
    </w:p>
    <w:p>
      <w:pPr>
        <w:pStyle w:val="ListBullet"/>
        <w:spacing w:after="40"/>
      </w:pPr>
      <w:r>
        <w:t>Entries can announce new products, meaningful product updates, bundles and compatibility updates.</w:t>
      </w:r>
    </w:p>
    <w:p>
      <w:pPr>
        <w:pStyle w:val="ListBullet"/>
        <w:spacing w:after="40"/>
      </w:pPr>
      <w:r>
        <w:t>Entries link to the relevant products.</w:t>
      </w:r>
    </w:p>
    <w:p>
      <w:pPr>
        <w:pStyle w:val="ListBullet"/>
        <w:spacing w:after="40"/>
      </w:pPr>
      <w:r>
        <w:t>Tiny fixes do not need standalone articles; they remain in the product’s version history.</w:t>
      </w:r>
    </w:p>
    <w:p>
      <w:pPr>
        <w:pStyle w:val="ListBullet"/>
        <w:spacing w:after="40"/>
      </w:pPr>
      <w:r>
        <w:t>Product releases and global What’s New should draw from shared release data where practical so information is not entered twice.</w:t>
      </w:r>
    </w:p>
    <w:p>
      <w:pPr>
        <w:pStyle w:val="Heading1"/>
      </w:pPr>
      <w:r>
        <w:t>8. Accounts and login</w:t>
      </w:r>
    </w:p>
    <w:p>
      <w:pPr>
        <w:pStyle w:val="ListBullet"/>
        <w:spacing w:after="40"/>
      </w:pPr>
      <w:r>
        <w:t>LOCKED — Login/account is always required to acquire any product, including free products.</w:t>
      </w:r>
    </w:p>
    <w:p>
      <w:pPr>
        <w:pStyle w:val="ListBullet"/>
        <w:spacing w:after="40"/>
      </w:pPr>
      <w:r>
        <w:t>Traditional email + password authentication is required.</w:t>
      </w:r>
    </w:p>
    <w:p>
      <w:pPr>
        <w:pStyle w:val="ListBullet"/>
        <w:spacing w:after="40"/>
      </w:pPr>
      <w:r>
        <w:t>Social login such as Google/Apple is desirable.</w:t>
      </w:r>
    </w:p>
    <w:p>
      <w:pPr>
        <w:pStyle w:val="ListBullet"/>
        <w:spacing w:after="40"/>
      </w:pPr>
      <w:r>
        <w:t>Email verification, password reset, secure sessions and logout are required basics.</w:t>
      </w:r>
    </w:p>
    <w:p>
      <w:pPr>
        <w:pStyle w:val="ListBullet"/>
        <w:spacing w:after="40"/>
      </w:pPr>
      <w:r>
        <w:t>Account-collision handling must be designed so the same person/email does not accidentally become duplicate customers through social and password login.</w:t>
      </w:r>
    </w:p>
    <w:p>
      <w:pPr>
        <w:pStyle w:val="ListBullet"/>
        <w:spacing w:after="40"/>
      </w:pPr>
      <w:r>
        <w:t>Clicking the user icon goes directly to the user space; no intermediate account menu.</w:t>
      </w:r>
    </w:p>
    <w:p>
      <w:pPr>
        <w:pStyle w:val="Heading1"/>
      </w:pPr>
      <w:r>
        <w:t>9. User space</w:t>
      </w:r>
    </w:p>
    <w:p>
      <w:r>
        <w:t>The user space is deliberately standard, simple and operational. Purchased Products is the default page.</w:t>
      </w:r>
    </w:p>
    <w:p>
      <w:pPr>
        <w:pStyle w:val="Heading2"/>
      </w:pPr>
      <w:r>
        <w:t>9.1 Left navigation</w:t>
      </w:r>
    </w:p>
    <w:p>
      <w:pPr>
        <w:pStyle w:val="ListBullet"/>
        <w:spacing w:after="40"/>
      </w:pPr>
      <w:r>
        <w:t>✓ Purchased Products</w:t>
      </w:r>
    </w:p>
    <w:p>
      <w:pPr>
        <w:pStyle w:val="ListBullet"/>
        <w:spacing w:after="40"/>
      </w:pPr>
      <w:r>
        <w:t>♡ Liked Products</w:t>
      </w:r>
    </w:p>
    <w:p>
      <w:pPr>
        <w:pStyle w:val="ListBullet"/>
        <w:spacing w:after="40"/>
      </w:pPr>
      <w:r>
        <w:t>License Data</w:t>
      </w:r>
    </w:p>
    <w:p>
      <w:pPr>
        <w:pStyle w:val="ListBullet"/>
        <w:spacing w:after="40"/>
      </w:pPr>
      <w:r>
        <w:t>Orders &amp; Receipts</w:t>
      </w:r>
    </w:p>
    <w:p>
      <w:pPr>
        <w:pStyle w:val="ListBullet"/>
        <w:spacing w:after="40"/>
      </w:pPr>
      <w:r>
        <w:t>Payment Method</w:t>
      </w:r>
    </w:p>
    <w:p>
      <w:pPr>
        <w:pStyle w:val="ListBullet"/>
        <w:spacing w:after="40"/>
      </w:pPr>
      <w:r>
        <w:t>General / Personal Information</w:t>
      </w:r>
    </w:p>
    <w:p>
      <w:pPr>
        <w:pStyle w:val="Heading2"/>
      </w:pPr>
      <w:r>
        <w:t>9.2 Purchased Products</w:t>
      </w:r>
    </w:p>
    <w:p>
      <w:r>
        <w:t>LOCKED — Use a compact horizontal list inspired by Gmail rather than product cards. The customer already knows what was purchased; this view is for scanning, downloading and managing.</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AEAEA"/>
          </w:tcPr>
          <w:p>
            <w:r/>
          </w:p>
        </w:tc>
        <w:tc>
          <w:tcPr>
            <w:tcW w:type="dxa" w:w="1656"/>
            <w:shd w:fill="EAEAEA"/>
          </w:tcPr>
          <w:p>
            <w:r>
              <w:t>PRODUCT</w:t>
            </w:r>
          </w:p>
        </w:tc>
        <w:tc>
          <w:tcPr>
            <w:tcW w:type="dxa" w:w="1656"/>
            <w:shd w:fill="EAEAEA"/>
          </w:tcPr>
          <w:p>
            <w:r>
              <w:t>CATEGORY</w:t>
            </w:r>
          </w:p>
        </w:tc>
        <w:tc>
          <w:tcPr>
            <w:tcW w:type="dxa" w:w="1656"/>
            <w:shd w:fill="EAEAEA"/>
          </w:tcPr>
          <w:p>
            <w:r>
              <w:t>PURCHASED</w:t>
            </w:r>
          </w:p>
        </w:tc>
        <w:tc>
          <w:tcPr>
            <w:tcW w:type="dxa" w:w="1656"/>
            <w:shd w:fill="EAEAEA"/>
          </w:tcPr>
          <w:p>
            <w:r>
              <w:t>VERSION</w:t>
            </w:r>
          </w:p>
        </w:tc>
        <w:tc>
          <w:tcPr>
            <w:tcW w:type="dxa" w:w="1656"/>
            <w:shd w:fill="EAEAEA"/>
          </w:tcPr>
          <w:p>
            <w:r>
              <w:t>STATUS</w:t>
            </w:r>
          </w:p>
        </w:tc>
      </w:tr>
      <w:tr>
        <w:tc>
          <w:tcPr>
            <w:tcW w:type="dxa" w:w="1656"/>
            <w:tcMar>
              <w:top w:w="90" w:type="dxa"/>
              <w:start w:w="110" w:type="dxa"/>
              <w:bottom w:w="90" w:type="dxa"/>
              <w:end w:w="110" w:type="dxa"/>
            </w:tcMar>
          </w:tcPr>
          <w:p>
            <w:r>
              <w:t>✓</w:t>
            </w:r>
          </w:p>
        </w:tc>
        <w:tc>
          <w:tcPr>
            <w:tcW w:type="dxa" w:w="1656"/>
            <w:tcMar>
              <w:top w:w="90" w:type="dxa"/>
              <w:start w:w="110" w:type="dxa"/>
              <w:bottom w:w="90" w:type="dxa"/>
              <w:end w:w="110" w:type="dxa"/>
            </w:tcMar>
          </w:tcPr>
          <w:p>
            <w:r>
              <w:t>qafit01</w:t>
            </w:r>
          </w:p>
        </w:tc>
        <w:tc>
          <w:tcPr>
            <w:tcW w:type="dxa" w:w="1656"/>
            <w:tcMar>
              <w:top w:w="90" w:type="dxa"/>
              <w:start w:w="110" w:type="dxa"/>
              <w:bottom w:w="90" w:type="dxa"/>
              <w:end w:w="110" w:type="dxa"/>
            </w:tcMar>
          </w:tcPr>
          <w:p>
            <w:r>
              <w:t>SOP</w:t>
            </w:r>
          </w:p>
        </w:tc>
        <w:tc>
          <w:tcPr>
            <w:tcW w:type="dxa" w:w="1656"/>
            <w:tcMar>
              <w:top w:w="90" w:type="dxa"/>
              <w:start w:w="110" w:type="dxa"/>
              <w:bottom w:w="90" w:type="dxa"/>
              <w:end w:w="110" w:type="dxa"/>
            </w:tcMar>
          </w:tcPr>
          <w:p>
            <w:r>
              <w:t>30 Sep 2026</w:t>
            </w:r>
          </w:p>
        </w:tc>
        <w:tc>
          <w:tcPr>
            <w:tcW w:type="dxa" w:w="1656"/>
            <w:tcMar>
              <w:top w:w="90" w:type="dxa"/>
              <w:start w:w="110" w:type="dxa"/>
              <w:bottom w:w="90" w:type="dxa"/>
              <w:end w:w="110" w:type="dxa"/>
            </w:tcMar>
          </w:tcPr>
          <w:p>
            <w:r>
              <w:t>v1.4</w:t>
            </w:r>
          </w:p>
        </w:tc>
        <w:tc>
          <w:tcPr>
            <w:tcW w:type="dxa" w:w="1656"/>
            <w:tcMar>
              <w:top w:w="90" w:type="dxa"/>
              <w:start w:w="110" w:type="dxa"/>
              <w:bottom w:w="90" w:type="dxa"/>
              <w:end w:w="110" w:type="dxa"/>
            </w:tcMar>
          </w:tcPr>
          <w:p>
            <w:r>
              <w:t>ACTIVE</w:t>
            </w:r>
          </w:p>
        </w:tc>
      </w:tr>
      <w:tr>
        <w:tc>
          <w:tcPr>
            <w:tcW w:type="dxa" w:w="1656"/>
            <w:tcMar>
              <w:top w:w="90" w:type="dxa"/>
              <w:start w:w="110" w:type="dxa"/>
              <w:bottom w:w="90" w:type="dxa"/>
              <w:end w:w="110" w:type="dxa"/>
            </w:tcMar>
          </w:tcPr>
          <w:p>
            <w:r>
              <w:t>✓</w:t>
            </w:r>
          </w:p>
        </w:tc>
        <w:tc>
          <w:tcPr>
            <w:tcW w:type="dxa" w:w="1656"/>
            <w:tcMar>
              <w:top w:w="90" w:type="dxa"/>
              <w:start w:w="110" w:type="dxa"/>
              <w:bottom w:w="90" w:type="dxa"/>
              <w:end w:w="110" w:type="dxa"/>
            </w:tcMar>
          </w:tcPr>
          <w:p>
            <w:r>
              <w:t>qaquickrestlength01</w:t>
            </w:r>
          </w:p>
        </w:tc>
        <w:tc>
          <w:tcPr>
            <w:tcW w:type="dxa" w:w="1656"/>
            <w:tcMar>
              <w:top w:w="90" w:type="dxa"/>
              <w:start w:w="110" w:type="dxa"/>
              <w:bottom w:w="90" w:type="dxa"/>
              <w:end w:w="110" w:type="dxa"/>
            </w:tcMar>
          </w:tcPr>
          <w:p>
            <w:r>
              <w:t>SOP</w:t>
            </w:r>
          </w:p>
        </w:tc>
        <w:tc>
          <w:tcPr>
            <w:tcW w:type="dxa" w:w="1656"/>
            <w:tcMar>
              <w:top w:w="90" w:type="dxa"/>
              <w:start w:w="110" w:type="dxa"/>
              <w:bottom w:w="90" w:type="dxa"/>
              <w:end w:w="110" w:type="dxa"/>
            </w:tcMar>
          </w:tcPr>
          <w:p>
            <w:r>
              <w:t>14 Sep 2026</w:t>
            </w:r>
          </w:p>
        </w:tc>
        <w:tc>
          <w:tcPr>
            <w:tcW w:type="dxa" w:w="1656"/>
            <w:tcMar>
              <w:top w:w="90" w:type="dxa"/>
              <w:start w:w="110" w:type="dxa"/>
              <w:bottom w:w="90" w:type="dxa"/>
              <w:end w:w="110" w:type="dxa"/>
            </w:tcMar>
          </w:tcPr>
          <w:p>
            <w:r>
              <w:t>v1.1</w:t>
            </w:r>
          </w:p>
        </w:tc>
        <w:tc>
          <w:tcPr>
            <w:tcW w:type="dxa" w:w="1656"/>
            <w:tcMar>
              <w:top w:w="90" w:type="dxa"/>
              <w:start w:w="110" w:type="dxa"/>
              <w:bottom w:w="90" w:type="dxa"/>
              <w:end w:w="110" w:type="dxa"/>
            </w:tcMar>
          </w:tcPr>
          <w:p>
            <w:r>
              <w:t>ACTIVE</w:t>
            </w:r>
          </w:p>
        </w:tc>
      </w:tr>
    </w:tbl>
    <w:p>
      <w:r>
        <w:t>A row or disclosure control can expand to reveal details such as PC ID, activation information, download latest, older versions and a link back to the public product page.</w:t>
      </w:r>
    </w:p>
    <w:p>
      <w:pPr>
        <w:pStyle w:val="Heading2"/>
      </w:pPr>
      <w:r>
        <w:t>9.3 Liked Products</w:t>
      </w:r>
    </w:p>
    <w:p>
      <w:r>
        <w:t>LOCKED — Liked Products should look like the public Products marketplace rather than the compact purchased list. The purpose is “save for later”: users are still evaluating these products and benefit from the same imagery, price and product presentation used while browsing.</w:t>
      </w:r>
    </w:p>
    <w:p>
      <w:r>
        <w:t>Liked Products can be reached both from the account navigation and directly through the heart icon in the main site bar.</w:t>
      </w:r>
    </w:p>
    <w:p>
      <w:pPr>
        <w:pStyle w:val="Heading2"/>
      </w:pPr>
      <w:r>
        <w:t>9.4 License Data</w:t>
      </w:r>
    </w:p>
    <w:p>
      <w:pPr>
        <w:pStyle w:val="ListBullet"/>
        <w:spacing w:after="40"/>
      </w:pPr>
      <w:r>
        <w:t>Show the actual activation key clearly; do not mask it.</w:t>
      </w:r>
    </w:p>
    <w:p>
      <w:pPr>
        <w:pStyle w:val="ListBullet"/>
        <w:spacing w:after="40"/>
      </w:pPr>
      <w:r>
        <w:t>Show relevant machine/PC information and activation status.</w:t>
      </w:r>
    </w:p>
    <w:p>
      <w:pPr>
        <w:pStyle w:val="ListBullet"/>
        <w:spacing w:after="40"/>
      </w:pPr>
      <w:r>
        <w:t>The exact final data model will be resolved when licensing is revisited.</w:t>
      </w:r>
    </w:p>
    <w:p>
      <w:pPr>
        <w:pStyle w:val="ListBullet"/>
        <w:spacing w:after="40"/>
      </w:pPr>
      <w:r>
        <w:t>The user should not have to hunt for their activation credential.</w:t>
      </w:r>
    </w:p>
    <w:p>
      <w:pPr>
        <w:pStyle w:val="Heading2"/>
      </w:pPr>
      <w:r>
        <w:t>9.5 Orders &amp; Receipts</w:t>
      </w:r>
    </w:p>
    <w:p>
      <w:pPr>
        <w:pStyle w:val="ListBullet"/>
        <w:spacing w:after="40"/>
      </w:pPr>
      <w:r>
        <w:t>Dedicated account section for order history and receipts.</w:t>
      </w:r>
    </w:p>
    <w:p>
      <w:pPr>
        <w:pStyle w:val="ListBullet"/>
        <w:spacing w:after="40"/>
      </w:pPr>
      <w:r>
        <w:t>Compact list can show date, order number, amount, number of products and payment status.</w:t>
      </w:r>
    </w:p>
    <w:p>
      <w:pPr>
        <w:pStyle w:val="ListBullet"/>
        <w:spacing w:after="40"/>
      </w:pPr>
      <w:r>
        <w:t>Orders can expand to show included products and receipt/invoice information.</w:t>
      </w:r>
    </w:p>
    <w:p>
      <w:pPr>
        <w:pStyle w:val="Heading2"/>
      </w:pPr>
      <w:r>
        <w:t>9.6 Payment Method and Personal Information</w:t>
      </w:r>
    </w:p>
    <w:p>
      <w:pPr>
        <w:pStyle w:val="ListBullet"/>
        <w:spacing w:after="40"/>
      </w:pPr>
      <w:r>
        <w:t>Payment Method should rely on the selected payment provider rather than QA Tools storing raw card data.</w:t>
      </w:r>
    </w:p>
    <w:p>
      <w:pPr>
        <w:pStyle w:val="ListBullet"/>
        <w:spacing w:after="40"/>
      </w:pPr>
      <w:r>
        <w:t>General/Personal Information contains account details and optional invoicing information.</w:t>
      </w:r>
    </w:p>
    <w:p>
      <w:pPr>
        <w:pStyle w:val="ListBullet"/>
        <w:spacing w:after="40"/>
      </w:pPr>
      <w:r>
        <w:t>If invoice details have already been saved in Personal Information, checkout should prefill them automatically.</w:t>
      </w:r>
    </w:p>
    <w:p>
      <w:pPr>
        <w:pStyle w:val="Heading1"/>
      </w:pPr>
      <w:r>
        <w:t>10. Cart and checkout</w:t>
      </w:r>
    </w:p>
    <w:p>
      <w:r>
        <w:t>LOCKED — Cart and checkout should feel like one short, continuous flow rather than a traditional multi-page retail checkout.</w:t>
      </w:r>
    </w:p>
    <w:p>
      <w:pPr>
        <w:pStyle w:val="ListBullet"/>
        <w:spacing w:after="40"/>
      </w:pPr>
      <w:r>
        <w:t>User must be logged in.</w:t>
      </w:r>
    </w:p>
    <w:p>
      <w:pPr>
        <w:pStyle w:val="ListBullet"/>
        <w:spacing w:after="40"/>
      </w:pPr>
      <w:r>
        <w:t>Show cart items, prices and total clearly.</w:t>
      </w:r>
    </w:p>
    <w:p>
      <w:pPr>
        <w:pStyle w:val="ListBullet"/>
        <w:spacing w:after="40"/>
      </w:pPr>
      <w:r>
        <w:t>Collect only essential information required for the transaction.</w:t>
      </w:r>
    </w:p>
    <w:p>
      <w:pPr>
        <w:pStyle w:val="ListBullet"/>
        <w:spacing w:after="40"/>
      </w:pPr>
      <w:r>
        <w:t>Paid checkout should support cards and PayPal; Apple Pay / Google Pay are desirable if supported by the chosen provider/device.</w:t>
      </w:r>
    </w:p>
    <w:p>
      <w:pPr>
        <w:pStyle w:val="ListBullet"/>
        <w:spacing w:after="40"/>
      </w:pPr>
      <w:r>
        <w:t>Free products must be acquirable and downloadable without entering card information.</w:t>
      </w:r>
    </w:p>
    <w:p>
      <w:pPr>
        <w:pStyle w:val="ListBullet"/>
        <w:spacing w:after="40"/>
      </w:pPr>
      <w:r>
        <w:t>For a €0 acquisition, the product is simply added to the account and becomes available under Purchased Products.</w:t>
      </w:r>
    </w:p>
    <w:p>
      <w:pPr>
        <w:pStyle w:val="ListBullet"/>
        <w:spacing w:after="40"/>
      </w:pPr>
      <w:r>
        <w:t>Invoice details are optional and live in a dropdown/expandable checkout section.</w:t>
      </w:r>
    </w:p>
    <w:p>
      <w:pPr>
        <w:pStyle w:val="ListBullet"/>
        <w:spacing w:after="40"/>
      </w:pPr>
      <w:r>
        <w:t>Saved invoice details from Personal Information are automatically filled into that section.</w:t>
      </w:r>
    </w:p>
    <w:p>
      <w:pPr>
        <w:pStyle w:val="ListBullet"/>
        <w:spacing w:after="40"/>
      </w:pPr>
      <w:r>
        <w:t>After successful checkout, show a concise confirmation and a direct Go to My Products action.</w:t>
      </w:r>
    </w:p>
    <w:p>
      <w:pPr>
        <w:pStyle w:val="Heading1"/>
      </w:pPr>
      <w:r>
        <w:t>11. Ownership, duplicate prevention and bundles</w:t>
      </w:r>
    </w:p>
    <w:p>
      <w:pPr>
        <w:pStyle w:val="ListBullet"/>
        <w:spacing w:after="40"/>
      </w:pPr>
      <w:r>
        <w:t>LOCKED — The same account must not be able to purchase the same product twice.</w:t>
      </w:r>
    </w:p>
    <w:p>
      <w:pPr>
        <w:pStyle w:val="ListBullet"/>
        <w:spacing w:after="40"/>
      </w:pPr>
      <w:r>
        <w:t>Ownership is checked on the product page and rechecked in cart/checkout.</w:t>
      </w:r>
    </w:p>
    <w:p>
      <w:pPr>
        <w:pStyle w:val="ListBullet"/>
        <w:spacing w:after="40"/>
      </w:pPr>
      <w:r>
        <w:t>LOCKED — Owning a bundle grants ownership/entitlement to every product included in that bundle.</w:t>
      </w:r>
    </w:p>
    <w:p>
      <w:pPr>
        <w:pStyle w:val="ListBullet"/>
        <w:spacing w:after="40"/>
      </w:pPr>
      <w:r>
        <w:t>LOCKED — When a bundle is owned, purchase buttons for included individual products are disabled.</w:t>
      </w:r>
    </w:p>
    <w:p>
      <w:pPr>
        <w:pStyle w:val="ListBullet"/>
        <w:spacing w:after="40"/>
      </w:pPr>
      <w:r>
        <w:t>LOCKED — Bundles use one fixed price. If a customer already owns one or more included products individually, the bundle price does not change.</w:t>
      </w:r>
    </w:p>
    <w:p>
      <w:pPr>
        <w:pStyle w:val="ListBullet"/>
        <w:spacing w:after="40"/>
      </w:pPr>
      <w:r>
        <w:t>LOCKED — There are no complete-the-bundle discounts, internal bundle-item weights, or dynamic bundle price calculations in v1.</w:t>
      </w:r>
    </w:p>
    <w:p>
      <w:pPr>
        <w:pStyle w:val="ListBullet"/>
        <w:spacing w:after="40"/>
      </w:pPr>
      <w:r>
        <w:t>The cart must prevent duplicate purchase of products already owned through a previously purchased bundle. Bundle contents must be clearly shown before purchase.</w:t>
      </w:r>
    </w:p>
    <w:p>
      <w:pPr>
        <w:pStyle w:val="Heading1"/>
      </w:pPr>
      <w:r>
        <w:t>12. Pricing and commercial rules</w:t>
      </w:r>
    </w:p>
    <w:p>
      <w:pPr>
        <w:pStyle w:val="ListBullet"/>
        <w:spacing w:after="40"/>
      </w:pPr>
      <w:r>
        <w:t>Initial operating base: Spain; worldwide sales intended.</w:t>
      </w:r>
    </w:p>
    <w:p>
      <w:pPr>
        <w:pStyle w:val="ListBullet"/>
        <w:spacing w:after="40"/>
      </w:pPr>
      <w:r>
        <w:t>EUR-only is acceptable for v1; localized currencies may be added later.</w:t>
      </w:r>
    </w:p>
    <w:p>
      <w:pPr>
        <w:pStyle w:val="ListBullet"/>
        <w:spacing w:after="40"/>
      </w:pPr>
      <w:r>
        <w:t>Customer-facing advertised price should be the exact total where the chosen commerce/tax setup allows it; avoid surprise tax being added after a €5 price is advertised.</w:t>
      </w:r>
    </w:p>
    <w:p>
      <w:pPr>
        <w:pStyle w:val="ListBullet"/>
        <w:spacing w:after="40"/>
      </w:pPr>
      <w:r>
        <w:t>qafit01 initial price: €5.</w:t>
      </w:r>
    </w:p>
    <w:p>
      <w:pPr>
        <w:pStyle w:val="ListBullet"/>
        <w:spacing w:after="40"/>
      </w:pPr>
      <w:r>
        <w:t>Licenses are one-time/permanent for the purchased product.</w:t>
      </w:r>
    </w:p>
    <w:p>
      <w:pPr>
        <w:pStyle w:val="ListBullet"/>
        <w:spacing w:after="40"/>
      </w:pPr>
      <w:r>
        <w:t>Maintenance/polish releases under the same product are included; a genuinely new generation/product (for example qafit02) can be sold separately.</w:t>
      </w:r>
    </w:p>
    <w:p>
      <w:pPr>
        <w:pStyle w:val="ListBullet"/>
        <w:spacing w:after="40"/>
      </w:pPr>
      <w:r>
        <w:t>Refunds must not be technically impossible. Customer policy can be restrictive where lawful, but admin and entitlement systems must support refunded/revoked purchase states because applicable law, payment disputes and chargebacks can override policy.</w:t>
      </w:r>
    </w:p>
    <w:p>
      <w:pPr>
        <w:pStyle w:val="ListBullet"/>
        <w:spacing w:after="40"/>
      </w:pPr>
      <w:r>
        <w:t>Exact Spanish/EU/worldwide tax, invoice and consumer-law wording remains OPEN pending professional review and provider selection.</w:t>
      </w:r>
    </w:p>
    <w:p>
      <w:pPr>
        <w:pStyle w:val="Heading1"/>
      </w:pPr>
      <w:r>
        <w:t>13. Product versions and downloads</w:t>
      </w:r>
    </w:p>
    <w:p>
      <w:pPr>
        <w:pStyle w:val="ListBullet"/>
        <w:spacing w:after="40"/>
      </w:pPr>
      <w:r>
        <w:t>Separate the product from its releases/versions.</w:t>
      </w:r>
    </w:p>
    <w:p>
      <w:pPr>
        <w:pStyle w:val="ListBullet"/>
        <w:spacing w:after="40"/>
      </w:pPr>
      <w:r>
        <w:t>Ownership of a product grants access to its releases, including older versions.</w:t>
      </w:r>
    </w:p>
    <w:p>
      <w:pPr>
        <w:pStyle w:val="ListBullet"/>
        <w:spacing w:after="40"/>
      </w:pPr>
      <w:r>
        <w:t>Product page shows the current/latest version and concise changelog.</w:t>
      </w:r>
    </w:p>
    <w:p>
      <w:pPr>
        <w:pStyle w:val="ListBullet"/>
        <w:spacing w:after="40"/>
      </w:pPr>
      <w:r>
        <w:t>Provide Download older versions, preferably collapsed so it does not dominate the page.</w:t>
      </w:r>
    </w:p>
    <w:p>
      <w:pPr>
        <w:pStyle w:val="ListBullet"/>
        <w:spacing w:after="40"/>
      </w:pPr>
      <w:r>
        <w:t>A complete QA Tools package may coexist with individual downloads; products inside the package remain individually licensed/unlocked.</w:t>
      </w:r>
    </w:p>
    <w:p>
      <w:pPr>
        <w:pStyle w:val="ListBullet"/>
        <w:spacing w:after="40"/>
      </w:pPr>
      <w:r>
        <w:t>Architecture may allow tool packages to be downloadable before ownership, with the license acting as the usage boundary. This is acceptable only if the security/reverse-engineering tradeoff remains understood.</w:t>
      </w:r>
    </w:p>
    <w:p>
      <w:pPr>
        <w:pStyle w:val="Heading1"/>
      </w:pPr>
      <w:r>
        <w:t>14. Licensing direction</w:t>
      </w:r>
    </w:p>
    <w:p>
      <w:pPr>
        <w:pStyle w:val="Heading2"/>
      </w:pPr>
      <w:r>
        <w:t>14.1 Existing working prototype — preserve</w:t>
      </w:r>
    </w:p>
    <w:p>
      <w:pPr>
        <w:pStyle w:val="ListBullet"/>
        <w:spacing w:after="40"/>
      </w:pPr>
      <w:r>
        <w:t>The local Houdini licensing system is already working.</w:t>
      </w:r>
    </w:p>
    <w:p>
      <w:pPr>
        <w:pStyle w:val="ListBullet"/>
        <w:spacing w:after="40"/>
      </w:pPr>
      <w:r>
        <w:t>Working components: HDA license guard, stable machine ID, Ed25519 signed licenses, local FastAPI activation server, online Houdini-to-localhost activation and local license cache.</w:t>
      </w:r>
    </w:p>
    <w:p>
      <w:pPr>
        <w:pStyle w:val="ListBullet"/>
        <w:spacing w:after="40"/>
      </w:pPr>
      <w:r>
        <w:t>The private signing key belongs only on the server; the HDA contains the public key and verifies signatures locally.</w:t>
      </w:r>
    </w:p>
    <w:p>
      <w:pPr>
        <w:pStyle w:val="ListBullet"/>
        <w:spacing w:after="40"/>
      </w:pPr>
      <w:r>
        <w:t>Current development license format is qatools|&lt;MACHINE_ID&gt;|PERPETUAL|ALL|1|&lt;SIGNATURE&gt;.</w:t>
      </w:r>
    </w:p>
    <w:p>
      <w:pPr>
        <w:pStyle w:val="ListBullet"/>
        <w:spacing w:after="40"/>
      </w:pPr>
      <w:r>
        <w:t>Current machine ID is derived from SHA256(platform.node() + platform.system() + platform.machine()), using the first 16 uppercase hex characters. Do not casually change this production-facing algorithm.</w:t>
      </w:r>
    </w:p>
    <w:p>
      <w:pPr>
        <w:pStyle w:val="ListBullet"/>
        <w:spacing w:after="40"/>
      </w:pPr>
      <w:r>
        <w:t>The Houdini cryptography compatibility implementation requires backend=default_backend() when loading the PEM public key.</w:t>
      </w:r>
    </w:p>
    <w:p>
      <w:pPr>
        <w:pStyle w:val="ListBullet"/>
        <w:spacing w:after="40"/>
      </w:pPr>
      <w:r>
        <w:t>Development private-key material was exposed during debugging. A new production Ed25519 key pair must be generated before launch and the private key stored as a cloud secret.</w:t>
      </w:r>
    </w:p>
    <w:p>
      <w:pPr>
        <w:pStyle w:val="Heading2"/>
      </w:pPr>
      <w:r>
        <w:t>14.2 Commercial entitlement direction</w:t>
      </w:r>
    </w:p>
    <w:p>
      <w:pPr>
        <w:pStyle w:val="ListBullet"/>
        <w:spacing w:after="40"/>
      </w:pPr>
      <w:r>
        <w:t>Purchase records and product entitlements should be separate concepts.</w:t>
      </w:r>
    </w:p>
    <w:p>
      <w:pPr>
        <w:pStyle w:val="ListBullet"/>
        <w:spacing w:after="40"/>
      </w:pPr>
      <w:r>
        <w:t>A bundle grants entitlements to its included product IDs.</w:t>
      </w:r>
    </w:p>
    <w:p>
      <w:pPr>
        <w:pStyle w:val="ListBullet"/>
        <w:spacing w:after="40"/>
      </w:pPr>
      <w:r>
        <w:t>Preferred direction: one QA Tools account activation credential/key per customer account rather than a different visible activation key for every product.</w:t>
      </w:r>
    </w:p>
    <w:p>
      <w:pPr>
        <w:pStyle w:val="ListBullet"/>
        <w:spacing w:after="40"/>
      </w:pPr>
      <w:r>
        <w:t>During online activation, Houdini can send account/email + account key + machine ID + product ID.</w:t>
      </w:r>
    </w:p>
    <w:p>
      <w:pPr>
        <w:pStyle w:val="ListBullet"/>
        <w:spacing w:after="40"/>
      </w:pPr>
      <w:r>
        <w:t>The server checks whether that account is entitled to the requested product, whether through direct purchase or bundle ownership.</w:t>
      </w:r>
    </w:p>
    <w:p>
      <w:pPr>
        <w:pStyle w:val="ListBullet"/>
        <w:spacing w:after="40"/>
      </w:pPr>
      <w:r>
        <w:t>If valid, the server returns a signed, machine-bound product entitlement/license that Houdini caches locally.</w:t>
      </w:r>
    </w:p>
    <w:p>
      <w:pPr>
        <w:pStyle w:val="ListBullet"/>
        <w:spacing w:after="40"/>
      </w:pPr>
      <w:r>
        <w:t>After activation, HDA verification remains local/offline. The account key is an activation credential; the signed local license is the offline proof.</w:t>
      </w:r>
    </w:p>
    <w:p>
      <w:pPr>
        <w:pStyle w:val="ListBullet"/>
        <w:spacing w:after="40"/>
      </w:pPr>
      <w:r>
        <w:t>Every HDA already has a Licensing tab where the customer enters email + auth key; preserve that interaction unless a later technical reason justifies changing it.</w:t>
      </w:r>
    </w:p>
    <w:p>
      <w:pPr>
        <w:pStyle w:val="Heading2"/>
      </w:pPr>
      <w:r>
        <w:t>14.3 Offline principle and unresolved tradeoff</w:t>
      </w:r>
    </w:p>
    <w:p>
      <w:r>
        <w:t>LOCKED PRINCIPLE — Online activation once, then reliable local verification/offline use. The product should not require a network request every time an HDA cooks.</w:t>
      </w:r>
    </w:p>
    <w:p>
      <w:r>
        <w:t>OPEN — A perpetual local cache makes instant revocation difficult after refunds/chargebacks. Periodic revalidation or expiry could improve revocation but reduce offline reliability. This must be consciously decided before production rather than added accidentally.</w:t>
      </w:r>
    </w:p>
    <w:p>
      <w:pPr>
        <w:pStyle w:val="Heading1"/>
      </w:pPr>
      <w:r>
        <w:t>15. Admin and publishing</w:t>
      </w:r>
    </w:p>
    <w:p>
      <w:r>
        <w:t>The owner should be able to publish and maintain products without editing website code for every release.</w:t>
      </w:r>
    </w:p>
    <w:p>
      <w:pPr>
        <w:pStyle w:val="ListBullet"/>
        <w:spacing w:after="40"/>
      </w:pPr>
      <w:r>
        <w:t>Create/edit product: name, price, type/category, complexity, short description, imagery/GIF/video, downloadable HDA/package, version and changelog.</w:t>
      </w:r>
    </w:p>
    <w:p>
      <w:pPr>
        <w:pStyle w:val="ListBullet"/>
        <w:spacing w:after="40"/>
      </w:pPr>
      <w:r>
        <w:t>Manage Best Paired With relationships.</w:t>
      </w:r>
    </w:p>
    <w:p>
      <w:pPr>
        <w:pStyle w:val="ListBullet"/>
        <w:spacing w:after="40"/>
      </w:pPr>
      <w:r>
        <w:t>Manage bundles, included products and a single fixed bundle price.</w:t>
      </w:r>
    </w:p>
    <w:p>
      <w:pPr>
        <w:pStyle w:val="ListBullet"/>
        <w:spacing w:after="40"/>
      </w:pPr>
      <w:r>
        <w:t>Manage releases and old downloadable versions.</w:t>
      </w:r>
    </w:p>
    <w:p>
      <w:pPr>
        <w:pStyle w:val="ListBullet"/>
        <w:spacing w:after="40"/>
      </w:pPr>
      <w:r>
        <w:t>Manage published/unpublished state.</w:t>
      </w:r>
    </w:p>
    <w:p>
      <w:pPr>
        <w:pStyle w:val="ListBullet"/>
        <w:spacing w:after="40"/>
      </w:pPr>
      <w:r>
        <w:t>Support purchase/refund/revocation administration where necessary.</w:t>
      </w:r>
    </w:p>
    <w:p>
      <w:pPr>
        <w:pStyle w:val="ListBullet"/>
        <w:spacing w:after="40"/>
      </w:pPr>
      <w:r>
        <w:t>v1 does not require a polished custom admin dashboard if a simpler secure database/content admin interface provides the needed workflow. Build a custom /admin later when it creates real value.</w:t>
      </w:r>
    </w:p>
    <w:p>
      <w:pPr>
        <w:pStyle w:val="Heading1"/>
      </w:pPr>
      <w:r>
        <w:t>16. Data concepts the future implementation must support</w:t>
      </w: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r>
              <w:t>CONCEPT</w:t>
            </w:r>
          </w:p>
        </w:tc>
        <w:tc>
          <w:tcPr>
            <w:tcW w:type="dxa" w:w="4968"/>
            <w:shd w:fill="EAEAEA"/>
          </w:tcPr>
          <w:p>
            <w:r>
              <w:t>PURPOSE</w:t>
            </w:r>
          </w:p>
        </w:tc>
      </w:tr>
      <w:tr>
        <w:tc>
          <w:tcPr>
            <w:tcW w:type="dxa" w:w="4968"/>
            <w:tcMar>
              <w:top w:w="90" w:type="dxa"/>
              <w:start w:w="110" w:type="dxa"/>
              <w:bottom w:w="90" w:type="dxa"/>
              <w:end w:w="110" w:type="dxa"/>
            </w:tcMar>
          </w:tcPr>
          <w:p>
            <w:r>
              <w:t>User / Account</w:t>
            </w:r>
          </w:p>
        </w:tc>
        <w:tc>
          <w:tcPr>
            <w:tcW w:type="dxa" w:w="4968"/>
            <w:tcMar>
              <w:top w:w="90" w:type="dxa"/>
              <w:start w:w="110" w:type="dxa"/>
              <w:bottom w:w="90" w:type="dxa"/>
              <w:end w:w="110" w:type="dxa"/>
            </w:tcMar>
          </w:tcPr>
          <w:p>
            <w:r>
              <w:t>Authentication, profile, saved invoice data, account activation credential.</w:t>
            </w:r>
          </w:p>
        </w:tc>
      </w:tr>
      <w:tr>
        <w:tc>
          <w:tcPr>
            <w:tcW w:type="dxa" w:w="4968"/>
            <w:tcMar>
              <w:top w:w="90" w:type="dxa"/>
              <w:start w:w="110" w:type="dxa"/>
              <w:bottom w:w="90" w:type="dxa"/>
              <w:end w:w="110" w:type="dxa"/>
            </w:tcMar>
          </w:tcPr>
          <w:p>
            <w:r>
              <w:t>Product</w:t>
            </w:r>
          </w:p>
        </w:tc>
        <w:tc>
          <w:tcPr>
            <w:tcW w:type="dxa" w:w="4968"/>
            <w:tcMar>
              <w:top w:w="90" w:type="dxa"/>
              <w:start w:w="110" w:type="dxa"/>
              <w:bottom w:w="90" w:type="dxa"/>
              <w:end w:w="110" w:type="dxa"/>
            </w:tcMar>
          </w:tcPr>
          <w:p>
            <w:r>
              <w:t>Commercial item such as qafit01; price, category, complexity, media, current state.</w:t>
            </w:r>
          </w:p>
        </w:tc>
      </w:tr>
      <w:tr>
        <w:tc>
          <w:tcPr>
            <w:tcW w:type="dxa" w:w="4968"/>
            <w:tcMar>
              <w:top w:w="90" w:type="dxa"/>
              <w:start w:w="110" w:type="dxa"/>
              <w:bottom w:w="90" w:type="dxa"/>
              <w:end w:w="110" w:type="dxa"/>
            </w:tcMar>
          </w:tcPr>
          <w:p>
            <w:r>
              <w:t>Release / Version</w:t>
            </w:r>
          </w:p>
        </w:tc>
        <w:tc>
          <w:tcPr>
            <w:tcW w:type="dxa" w:w="4968"/>
            <w:tcMar>
              <w:top w:w="90" w:type="dxa"/>
              <w:start w:w="110" w:type="dxa"/>
              <w:bottom w:w="90" w:type="dxa"/>
              <w:end w:w="110" w:type="dxa"/>
            </w:tcMar>
          </w:tcPr>
          <w:p>
            <w:r>
              <w:t>Versioned downloadable files and changelog belonging to a product.</w:t>
            </w:r>
          </w:p>
        </w:tc>
      </w:tr>
      <w:tr>
        <w:tc>
          <w:tcPr>
            <w:tcW w:type="dxa" w:w="4968"/>
            <w:tcMar>
              <w:top w:w="90" w:type="dxa"/>
              <w:start w:w="110" w:type="dxa"/>
              <w:bottom w:w="90" w:type="dxa"/>
              <w:end w:w="110" w:type="dxa"/>
            </w:tcMar>
          </w:tcPr>
          <w:p>
            <w:r>
              <w:t>Bundle</w:t>
            </w:r>
          </w:p>
        </w:tc>
        <w:tc>
          <w:tcPr>
            <w:tcW w:type="dxa" w:w="4968"/>
            <w:tcMar>
              <w:top w:w="90" w:type="dxa"/>
              <w:start w:w="110" w:type="dxa"/>
              <w:bottom w:w="90" w:type="dxa"/>
              <w:end w:w="110" w:type="dxa"/>
            </w:tcMar>
          </w:tcPr>
          <w:p>
            <w:r>
              <w:t>Commercial product grouping other product IDs at one fixed bundle price.</w:t>
            </w:r>
          </w:p>
        </w:tc>
      </w:tr>
      <w:tr>
        <w:tc>
          <w:tcPr>
            <w:tcW w:type="dxa" w:w="4968"/>
            <w:tcMar>
              <w:top w:w="90" w:type="dxa"/>
              <w:start w:w="110" w:type="dxa"/>
              <w:bottom w:w="90" w:type="dxa"/>
              <w:end w:w="110" w:type="dxa"/>
            </w:tcMar>
          </w:tcPr>
          <w:p>
            <w:r>
              <w:t>Order / Purchase</w:t>
            </w:r>
          </w:p>
        </w:tc>
        <w:tc>
          <w:tcPr>
            <w:tcW w:type="dxa" w:w="4968"/>
            <w:tcMar>
              <w:top w:w="90" w:type="dxa"/>
              <w:start w:w="110" w:type="dxa"/>
              <w:bottom w:w="90" w:type="dxa"/>
              <w:end w:w="110" w:type="dxa"/>
            </w:tcMar>
          </w:tcPr>
          <w:p>
            <w:r>
              <w:t>Transaction record, amount, status, receipt/invoice relationship.</w:t>
            </w:r>
          </w:p>
        </w:tc>
      </w:tr>
      <w:tr>
        <w:tc>
          <w:tcPr>
            <w:tcW w:type="dxa" w:w="4968"/>
            <w:tcMar>
              <w:top w:w="90" w:type="dxa"/>
              <w:start w:w="110" w:type="dxa"/>
              <w:bottom w:w="90" w:type="dxa"/>
              <w:end w:w="110" w:type="dxa"/>
            </w:tcMar>
          </w:tcPr>
          <w:p>
            <w:r>
              <w:t>Entitlement</w:t>
            </w:r>
          </w:p>
        </w:tc>
        <w:tc>
          <w:tcPr>
            <w:tcW w:type="dxa" w:w="4968"/>
            <w:tcMar>
              <w:top w:w="90" w:type="dxa"/>
              <w:start w:w="110" w:type="dxa"/>
              <w:bottom w:w="90" w:type="dxa"/>
              <w:end w:w="110" w:type="dxa"/>
            </w:tcMar>
          </w:tcPr>
          <w:p>
            <w:r>
              <w:t>The account’s right to use a product, regardless of whether obtained directly, free, or through a bundle.</w:t>
            </w:r>
          </w:p>
        </w:tc>
      </w:tr>
      <w:tr>
        <w:tc>
          <w:tcPr>
            <w:tcW w:type="dxa" w:w="4968"/>
            <w:tcMar>
              <w:top w:w="90" w:type="dxa"/>
              <w:start w:w="110" w:type="dxa"/>
              <w:bottom w:w="90" w:type="dxa"/>
              <w:end w:w="110" w:type="dxa"/>
            </w:tcMar>
          </w:tcPr>
          <w:p>
            <w:r>
              <w:t>Favourite</w:t>
            </w:r>
          </w:p>
        </w:tc>
        <w:tc>
          <w:tcPr>
            <w:tcW w:type="dxa" w:w="4968"/>
            <w:tcMar>
              <w:top w:w="90" w:type="dxa"/>
              <w:start w:w="110" w:type="dxa"/>
              <w:bottom w:w="90" w:type="dxa"/>
              <w:end w:w="110" w:type="dxa"/>
            </w:tcMar>
          </w:tcPr>
          <w:p>
            <w:r>
              <w:t>Saved-for-later relationship between account and product.</w:t>
            </w:r>
          </w:p>
        </w:tc>
      </w:tr>
      <w:tr>
        <w:tc>
          <w:tcPr>
            <w:tcW w:type="dxa" w:w="4968"/>
            <w:tcMar>
              <w:top w:w="90" w:type="dxa"/>
              <w:start w:w="110" w:type="dxa"/>
              <w:bottom w:w="90" w:type="dxa"/>
              <w:end w:w="110" w:type="dxa"/>
            </w:tcMar>
          </w:tcPr>
          <w:p>
            <w:r>
              <w:t>Machine / Activation</w:t>
            </w:r>
          </w:p>
        </w:tc>
        <w:tc>
          <w:tcPr>
            <w:tcW w:type="dxa" w:w="4968"/>
            <w:tcMar>
              <w:top w:w="90" w:type="dxa"/>
              <w:start w:w="110" w:type="dxa"/>
              <w:bottom w:w="90" w:type="dxa"/>
              <w:end w:w="110" w:type="dxa"/>
            </w:tcMar>
          </w:tcPr>
          <w:p>
            <w:r>
              <w:t>PC ID, activation state and server-side activation policy/history.</w:t>
            </w:r>
          </w:p>
        </w:tc>
      </w:tr>
      <w:tr>
        <w:tc>
          <w:tcPr>
            <w:tcW w:type="dxa" w:w="4968"/>
            <w:tcMar>
              <w:top w:w="90" w:type="dxa"/>
              <w:start w:w="110" w:type="dxa"/>
              <w:bottom w:w="90" w:type="dxa"/>
              <w:end w:w="110" w:type="dxa"/>
            </w:tcMar>
          </w:tcPr>
          <w:p>
            <w:r>
              <w:t>License</w:t>
            </w:r>
          </w:p>
        </w:tc>
        <w:tc>
          <w:tcPr>
            <w:tcW w:type="dxa" w:w="4968"/>
            <w:tcMar>
              <w:top w:w="90" w:type="dxa"/>
              <w:start w:w="110" w:type="dxa"/>
              <w:bottom w:w="90" w:type="dxa"/>
              <w:end w:w="110" w:type="dxa"/>
            </w:tcMar>
          </w:tcPr>
          <w:p>
            <w:r>
              <w:t>Signed machine/product proof used by Houdini for offline verification.</w:t>
            </w:r>
          </w:p>
        </w:tc>
      </w:tr>
    </w:tbl>
    <w:p>
      <w:pPr>
        <w:pStyle w:val="Heading1"/>
      </w:pPr>
      <w:r>
        <w:t>17. Technical decisions intentionally NOT made yet</w:t>
      </w:r>
    </w:p>
    <w:p>
      <w:pPr>
        <w:pStyle w:val="ListBullet"/>
        <w:spacing w:after="40"/>
      </w:pPr>
      <w:r>
        <w:t>Frontend framework / website stack.</w:t>
      </w:r>
    </w:p>
    <w:p>
      <w:pPr>
        <w:pStyle w:val="ListBullet"/>
        <w:spacing w:after="40"/>
      </w:pPr>
      <w:r>
        <w:t>Database and hosting provider.</w:t>
      </w:r>
    </w:p>
    <w:p>
      <w:pPr>
        <w:pStyle w:val="ListBullet"/>
        <w:spacing w:after="40"/>
      </w:pPr>
      <w:r>
        <w:t>Authentication provider/implementation.</w:t>
      </w:r>
    </w:p>
    <w:p>
      <w:pPr>
        <w:pStyle w:val="ListBullet"/>
        <w:spacing w:after="40"/>
      </w:pPr>
      <w:r>
        <w:t>Payment provider or Merchant of Record.</w:t>
      </w:r>
    </w:p>
    <w:p>
      <w:pPr>
        <w:pStyle w:val="ListBullet"/>
        <w:spacing w:after="40"/>
      </w:pPr>
      <w:r>
        <w:t>Tax/VAT automation approach.</w:t>
      </w:r>
    </w:p>
    <w:p>
      <w:pPr>
        <w:pStyle w:val="ListBullet"/>
        <w:spacing w:after="40"/>
      </w:pPr>
      <w:r>
        <w:t>Cloud host for the FastAPI licensing service.</w:t>
      </w:r>
    </w:p>
    <w:p>
      <w:pPr>
        <w:pStyle w:val="ListBullet"/>
        <w:spacing w:after="40"/>
      </w:pPr>
      <w:r>
        <w:t>Object/file storage and CDN for HDAs/packages/videos.</w:t>
      </w:r>
    </w:p>
    <w:p>
      <w:pPr>
        <w:pStyle w:val="ListBullet"/>
        <w:spacing w:after="40"/>
      </w:pPr>
      <w:r>
        <w:t>Exact product-aware signed-license payload format.</w:t>
      </w:r>
    </w:p>
    <w:p>
      <w:pPr>
        <w:pStyle w:val="ListBullet"/>
        <w:spacing w:after="40"/>
      </w:pPr>
      <w:r>
        <w:t>Exact activation limits and machine-reset workflow implementation.</w:t>
      </w:r>
    </w:p>
    <w:p>
      <w:pPr>
        <w:pStyle w:val="ListBullet"/>
        <w:spacing w:after="40"/>
      </w:pPr>
      <w:r>
        <w:t>Periodic license revalidation vs fully perpetual offline cache.</w:t>
      </w:r>
    </w:p>
    <w:p>
      <w:pPr>
        <w:pStyle w:val="ListBullet"/>
        <w:spacing w:after="40"/>
      </w:pPr>
      <w:r>
        <w:t>Exact invoice/legal fields and wording.</w:t>
      </w:r>
    </w:p>
    <w:p>
      <w:pPr>
        <w:pStyle w:val="ListBullet"/>
        <w:spacing w:after="40"/>
      </w:pPr>
      <w:r>
        <w:t>Exact social-login providers at launch.</w:t>
      </w:r>
    </w:p>
    <w:p>
      <w:pPr>
        <w:pStyle w:val="ListBullet"/>
        <w:spacing w:after="40"/>
      </w:pPr>
      <w:r>
        <w:t>Whether complete-package downloads ship in v1 or shortly afterward.</w:t>
      </w:r>
    </w:p>
    <w:p>
      <w:r>
        <w:t>These choices should be researched against current pricing, API quality, tax responsibilities, operational complexity and the goal of minimizing custom infrastructure.</w:t>
      </w:r>
    </w:p>
    <w:p>
      <w:pPr>
        <w:pStyle w:val="Heading1"/>
      </w:pPr>
      <w:r>
        <w:t>18. Technical selection priorities for the next phase</w:t>
      </w:r>
    </w:p>
    <w:p>
      <w:pPr>
        <w:pStyle w:val="ListBullet"/>
        <w:spacing w:after="40"/>
      </w:pPr>
      <w:r>
        <w:t>Low ongoing cost.</w:t>
      </w:r>
    </w:p>
    <w:p>
      <w:pPr>
        <w:pStyle w:val="ListBullet"/>
        <w:spacing w:after="40"/>
      </w:pPr>
      <w:r>
        <w:t>High reliability.</w:t>
      </w:r>
    </w:p>
    <w:p>
      <w:pPr>
        <w:pStyle w:val="ListBullet"/>
        <w:spacing w:after="40"/>
      </w:pPr>
      <w:r>
        <w:t>Simple enough for a beginner owner to operate with ChatGPT assistance.</w:t>
      </w:r>
    </w:p>
    <w:p>
      <w:pPr>
        <w:pStyle w:val="ListBullet"/>
        <w:spacing w:after="40"/>
      </w:pPr>
      <w:r>
        <w:t>Maximum sensible amount can be built/maintained together rather than outsourced.</w:t>
      </w:r>
    </w:p>
    <w:p>
      <w:pPr>
        <w:pStyle w:val="ListBullet"/>
        <w:spacing w:after="40"/>
      </w:pPr>
      <w:r>
        <w:t>Avoid custom infrastructure where a mature service provides better security/reliability.</w:t>
      </w:r>
    </w:p>
    <w:p>
      <w:pPr>
        <w:pStyle w:val="ListBullet"/>
        <w:spacing w:after="40"/>
      </w:pPr>
      <w:r>
        <w:t>Preserve the already-working Houdini cryptographic licensing model.</w:t>
      </w:r>
    </w:p>
    <w:p>
      <w:pPr>
        <w:pStyle w:val="ListBullet"/>
        <w:spacing w:after="40"/>
      </w:pPr>
      <w:r>
        <w:t>Keep payment-provider logic separate from license signing so providers can change later.</w:t>
      </w:r>
    </w:p>
    <w:p>
      <w:pPr>
        <w:pStyle w:val="ListBullet"/>
        <w:spacing w:after="40"/>
      </w:pPr>
      <w:r>
        <w:t>Keep the system modular enough that the seller legal entity can change from freelancer to company later without rebuilding the product model.</w:t>
      </w:r>
    </w:p>
    <w:p>
      <w:pPr>
        <w:pStyle w:val="Heading1"/>
      </w:pPr>
      <w:r>
        <w:t>19. Existing licensing implementation status</w:t>
      </w: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r>
              <w:t>DONE</w:t>
            </w:r>
          </w:p>
        </w:tc>
        <w:tc>
          <w:tcPr>
            <w:tcW w:type="dxa" w:w="4968"/>
            <w:shd w:fill="EAEAEA"/>
          </w:tcPr>
          <w:p>
            <w:r>
              <w:t>NOT YET DONE</w:t>
            </w:r>
          </w:p>
        </w:tc>
      </w:tr>
      <w:tr>
        <w:tc>
          <w:tcPr>
            <w:tcW w:type="dxa" w:w="4968"/>
            <w:tcMar>
              <w:top w:w="90" w:type="dxa"/>
              <w:start w:w="110" w:type="dxa"/>
              <w:bottom w:w="90" w:type="dxa"/>
              <w:end w:w="110" w:type="dxa"/>
            </w:tcMar>
          </w:tcPr>
          <w:p>
            <w:r>
              <w:t>✓ Houdini Python SOP protection</w:t>
            </w:r>
          </w:p>
        </w:tc>
        <w:tc>
          <w:tcPr>
            <w:tcW w:type="dxa" w:w="4968"/>
            <w:tcMar>
              <w:top w:w="90" w:type="dxa"/>
              <w:start w:w="110" w:type="dxa"/>
              <w:bottom w:w="90" w:type="dxa"/>
              <w:end w:w="110" w:type="dxa"/>
            </w:tcMar>
          </w:tcPr>
          <w:p>
            <w:r>
              <w:t>○ Cloud deployment / production server URL</w:t>
            </w:r>
          </w:p>
        </w:tc>
      </w:tr>
      <w:tr>
        <w:tc>
          <w:tcPr>
            <w:tcW w:type="dxa" w:w="4968"/>
            <w:tcMar>
              <w:top w:w="90" w:type="dxa"/>
              <w:start w:w="110" w:type="dxa"/>
              <w:bottom w:w="90" w:type="dxa"/>
              <w:end w:w="110" w:type="dxa"/>
            </w:tcMar>
          </w:tcPr>
          <w:p>
            <w:r>
              <w:t>✓ HDA PythonModule licensing functions</w:t>
            </w:r>
          </w:p>
        </w:tc>
        <w:tc>
          <w:tcPr>
            <w:tcW w:type="dxa" w:w="4968"/>
            <w:tcMar>
              <w:top w:w="90" w:type="dxa"/>
              <w:start w:w="110" w:type="dxa"/>
              <w:bottom w:w="90" w:type="dxa"/>
              <w:end w:w="110" w:type="dxa"/>
            </w:tcMar>
          </w:tcPr>
          <w:p>
            <w:r>
              <w:t>○ Secure cloud production private-key secret</w:t>
            </w:r>
          </w:p>
        </w:tc>
      </w:tr>
      <w:tr>
        <w:tc>
          <w:tcPr>
            <w:tcW w:type="dxa" w:w="4968"/>
            <w:tcMar>
              <w:top w:w="90" w:type="dxa"/>
              <w:start w:w="110" w:type="dxa"/>
              <w:bottom w:w="90" w:type="dxa"/>
              <w:end w:w="110" w:type="dxa"/>
            </w:tcMar>
          </w:tcPr>
          <w:p>
            <w:r>
              <w:t>✓ Stable machine ID</w:t>
            </w:r>
          </w:p>
        </w:tc>
        <w:tc>
          <w:tcPr>
            <w:tcW w:type="dxa" w:w="4968"/>
            <w:tcMar>
              <w:top w:w="90" w:type="dxa"/>
              <w:start w:w="110" w:type="dxa"/>
              <w:bottom w:w="90" w:type="dxa"/>
              <w:end w:w="110" w:type="dxa"/>
            </w:tcMar>
          </w:tcPr>
          <w:p>
            <w:r>
              <w:t>○ Real automatic purchase verification</w:t>
            </w:r>
          </w:p>
        </w:tc>
      </w:tr>
      <w:tr>
        <w:tc>
          <w:tcPr>
            <w:tcW w:type="dxa" w:w="4968"/>
            <w:tcMar>
              <w:top w:w="90" w:type="dxa"/>
              <w:start w:w="110" w:type="dxa"/>
              <w:bottom w:w="90" w:type="dxa"/>
              <w:end w:w="110" w:type="dxa"/>
            </w:tcMar>
          </w:tcPr>
          <w:p>
            <w:r>
              <w:t>✓ License file under $QATOOLS_SOURCE</w:t>
            </w:r>
          </w:p>
        </w:tc>
        <w:tc>
          <w:tcPr>
            <w:tcW w:type="dxa" w:w="4968"/>
            <w:tcMar>
              <w:top w:w="90" w:type="dxa"/>
              <w:start w:w="110" w:type="dxa"/>
              <w:bottom w:w="90" w:type="dxa"/>
              <w:end w:w="110" w:type="dxa"/>
            </w:tcMar>
          </w:tcPr>
          <w:p>
            <w:r>
              <w:t>○ Final payment/store provider</w:t>
            </w:r>
          </w:p>
        </w:tc>
      </w:tr>
      <w:tr>
        <w:tc>
          <w:tcPr>
            <w:tcW w:type="dxa" w:w="4968"/>
            <w:tcMar>
              <w:top w:w="90" w:type="dxa"/>
              <w:start w:w="110" w:type="dxa"/>
              <w:bottom w:w="90" w:type="dxa"/>
              <w:end w:w="110" w:type="dxa"/>
            </w:tcMar>
          </w:tcPr>
          <w:p>
            <w:r>
              <w:t>✓ Ed25519 signature generation/verification</w:t>
            </w:r>
          </w:p>
        </w:tc>
        <w:tc>
          <w:tcPr>
            <w:tcW w:type="dxa" w:w="4968"/>
            <w:tcMar>
              <w:top w:w="90" w:type="dxa"/>
              <w:start w:w="110" w:type="dxa"/>
              <w:bottom w:w="90" w:type="dxa"/>
              <w:end w:w="110" w:type="dxa"/>
            </w:tcMar>
          </w:tcPr>
          <w:p>
            <w:r>
              <w:t>○ Product-specific commercial licenses</w:t>
            </w:r>
          </w:p>
        </w:tc>
      </w:tr>
      <w:tr>
        <w:tc>
          <w:tcPr>
            <w:tcW w:type="dxa" w:w="4968"/>
            <w:tcMar>
              <w:top w:w="90" w:type="dxa"/>
              <w:start w:w="110" w:type="dxa"/>
              <w:bottom w:w="90" w:type="dxa"/>
              <w:end w:w="110" w:type="dxa"/>
            </w:tcMar>
          </w:tcPr>
          <w:p>
            <w:r>
              <w:t>✓ Houdini cryptography compatibility fix</w:t>
            </w:r>
          </w:p>
        </w:tc>
        <w:tc>
          <w:tcPr>
            <w:tcW w:type="dxa" w:w="4968"/>
            <w:tcMar>
              <w:top w:w="90" w:type="dxa"/>
              <w:start w:w="110" w:type="dxa"/>
              <w:bottom w:w="90" w:type="dxa"/>
              <w:end w:w="110" w:type="dxa"/>
            </w:tcMar>
          </w:tcPr>
          <w:p>
            <w:r>
              <w:t>○ Bundles/upgrades integration in licensing</w:t>
            </w:r>
          </w:p>
        </w:tc>
      </w:tr>
      <w:tr>
        <w:tc>
          <w:tcPr>
            <w:tcW w:type="dxa" w:w="4968"/>
            <w:tcMar>
              <w:top w:w="90" w:type="dxa"/>
              <w:start w:w="110" w:type="dxa"/>
              <w:bottom w:w="90" w:type="dxa"/>
              <w:end w:w="110" w:type="dxa"/>
            </w:tcMar>
          </w:tcPr>
          <w:p>
            <w:r>
              <w:t>✓ FastAPI local activation endpoint</w:t>
            </w:r>
          </w:p>
        </w:tc>
        <w:tc>
          <w:tcPr>
            <w:tcW w:type="dxa" w:w="4968"/>
            <w:tcMar>
              <w:top w:w="90" w:type="dxa"/>
              <w:start w:w="110" w:type="dxa"/>
              <w:bottom w:w="90" w:type="dxa"/>
              <w:end w:w="110" w:type="dxa"/>
            </w:tcMar>
          </w:tcPr>
          <w:p>
            <w:r>
              <w:t>○ Activation-limit database/policy</w:t>
            </w:r>
          </w:p>
        </w:tc>
      </w:tr>
      <w:tr>
        <w:tc>
          <w:tcPr>
            <w:tcW w:type="dxa" w:w="4968"/>
            <w:tcMar>
              <w:top w:w="90" w:type="dxa"/>
              <w:start w:w="110" w:type="dxa"/>
              <w:bottom w:w="90" w:type="dxa"/>
              <w:end w:w="110" w:type="dxa"/>
            </w:tcMar>
          </w:tcPr>
          <w:p>
            <w:r>
              <w:t>✓ Online request Houdini → FastAPI</w:t>
            </w:r>
          </w:p>
        </w:tc>
        <w:tc>
          <w:tcPr>
            <w:tcW w:type="dxa" w:w="4968"/>
            <w:tcMar>
              <w:top w:w="90" w:type="dxa"/>
              <w:start w:w="110" w:type="dxa"/>
              <w:bottom w:w="90" w:type="dxa"/>
              <w:end w:w="110" w:type="dxa"/>
            </w:tcMar>
          </w:tcPr>
          <w:p>
            <w:r>
              <w:t>○ Refund/revocation strategy</w:t>
            </w:r>
          </w:p>
        </w:tc>
      </w:tr>
      <w:tr>
        <w:tc>
          <w:tcPr>
            <w:tcW w:type="dxa" w:w="4968"/>
            <w:tcMar>
              <w:top w:w="90" w:type="dxa"/>
              <w:start w:w="110" w:type="dxa"/>
              <w:bottom w:w="90" w:type="dxa"/>
              <w:end w:w="110" w:type="dxa"/>
            </w:tcMar>
          </w:tcPr>
          <w:p>
            <w:r>
              <w:t>✓ Signed license returned/stored</w:t>
            </w:r>
          </w:p>
        </w:tc>
        <w:tc>
          <w:tcPr>
            <w:tcW w:type="dxa" w:w="4968"/>
            <w:tcMar>
              <w:top w:w="90" w:type="dxa"/>
              <w:start w:w="110" w:type="dxa"/>
              <w:bottom w:w="90" w:type="dxa"/>
              <w:end w:w="110" w:type="dxa"/>
            </w:tcMar>
          </w:tcPr>
          <w:p>
            <w:r>
              <w:t>○ Production hardening</w:t>
            </w:r>
          </w:p>
        </w:tc>
      </w:tr>
      <w:tr>
        <w:tc>
          <w:tcPr>
            <w:tcW w:type="dxa" w:w="4968"/>
            <w:tcMar>
              <w:top w:w="90" w:type="dxa"/>
              <w:start w:w="110" w:type="dxa"/>
              <w:bottom w:w="90" w:type="dxa"/>
              <w:end w:w="110" w:type="dxa"/>
            </w:tcMar>
          </w:tcPr>
          <w:p>
            <w:r>
              <w:t>✓ Successful local activation and offline cooking</w:t>
            </w:r>
          </w:p>
        </w:tc>
        <w:tc>
          <w:tcPr>
            <w:tcW w:type="dxa" w:w="4968"/>
            <w:tcMar>
              <w:top w:w="90" w:type="dxa"/>
              <w:start w:w="110" w:type="dxa"/>
              <w:bottom w:w="90" w:type="dxa"/>
              <w:end w:w="110" w:type="dxa"/>
            </w:tcMar>
          </w:tcPr>
          <w:p>
            <w:r/>
          </w:p>
        </w:tc>
      </w:tr>
    </w:tbl>
    <w:p>
      <w:pPr>
        <w:pStyle w:val="Heading1"/>
      </w:pPr>
      <w:r>
        <w:t>20. Customer journey — v1</w:t>
      </w:r>
    </w:p>
    <w:p>
      <w:r>
        <w:t>1. User signs in or creates an account.</w:t>
      </w:r>
    </w:p>
    <w:p>
      <w:r>
        <w:t>2. User browses Products; liked and owned states are visible.</w:t>
      </w:r>
    </w:p>
    <w:p>
      <w:r>
        <w:t>3. User opens a product and watches/reads the concise explanation.</w:t>
      </w:r>
    </w:p>
    <w:p>
      <w:r>
        <w:t>4. User adds an eligible product/bundle to cart; already-owned individual products cannot be purchased again, including products owned through a bundle.</w:t>
      </w:r>
    </w:p>
    <w:p>
      <w:r>
        <w:t>5. Cart flows directly into minimal checkout.</w:t>
      </w:r>
    </w:p>
    <w:p>
      <w:r>
        <w:t>6. Free acquisition skips card details entirely; paid acquisition collects only essential payment information, with optional invoice details.</w:t>
      </w:r>
    </w:p>
    <w:p>
      <w:r>
        <w:t>7. Successful acquisition creates/updates the order and product entitlements.</w:t>
      </w:r>
    </w:p>
    <w:p>
      <w:r>
        <w:t>8. User is directed to Purchased Products.</w:t>
      </w:r>
    </w:p>
    <w:p>
      <w:r>
        <w:t>9. User downloads the current or an older release and follows How to Install / packaged readme.</w:t>
      </w:r>
    </w:p>
    <w:p>
      <w:r>
        <w:t>10. In Houdini, user enters email + QA Tools activation key in the HDA Licensing tab.</w:t>
      </w:r>
    </w:p>
    <w:p>
      <w:r>
        <w:t>11. Activation server verifies entitlement and machine policy, then issues a signed local license.</w:t>
      </w:r>
    </w:p>
    <w:p>
      <w:r>
        <w:t>12. HDA verifies locally afterward so normal use can continue offline.</w:t>
      </w:r>
    </w:p>
    <w:p>
      <w:pPr>
        <w:pStyle w:val="Heading1"/>
      </w:pPr>
      <w:r>
        <w:t>21. Checkpoint conclusion</w:t>
      </w:r>
    </w:p>
    <w:p>
      <w:r>
        <w:t>Checkpoint 01 defines what QA Tools v1 should be from the customer and product-owner perspective. The next phase is not further feature brainstorming; it is technical architecture selection. That phase should compare current services and costs for frontend, backend/database, authentication, payments/tax, file storage, hosting and the existing FastAPI license server, then produce Checkpoint 02: Technical Architecture.</w:t>
      </w:r>
    </w:p>
    <w:tbl>
      <w:tblPr>
        <w:tblW w:type="auto" w:w="0"/>
        <w:jc w:val="center"/>
        <w:tblLook w:firstColumn="1" w:firstRow="1" w:lastColumn="0" w:lastRow="0" w:noHBand="0" w:noVBand="1" w:val="04A0"/>
      </w:tblPr>
      <w:tblGrid>
        <w:gridCol w:w="9936"/>
      </w:tblGrid>
      <w:tr>
        <w:tc>
          <w:tcPr>
            <w:tcW w:type="dxa" w:w="9936"/>
            <w:shd w:fill="F1F1F1"/>
            <w:tcMar>
              <w:top w:w="120" w:type="dxa"/>
              <w:start w:w="150" w:type="dxa"/>
              <w:bottom w:w="120" w:type="dxa"/>
              <w:end w:w="150" w:type="dxa"/>
            </w:tcMar>
          </w:tcPr>
          <w:p>
            <w:r>
              <w:rPr>
                <w:b/>
              </w:rPr>
              <w:t xml:space="preserve">Change control  </w:t>
            </w:r>
            <w:r>
              <w:t>If a later decision changes something marked LOCKED here, update the living blueprint deliberately and record the new decision. Do not rely on an old chat message as the only record.</w:t>
            </w:r>
          </w:p>
        </w:tc>
      </w:tr>
    </w:tbl>
    <w:p>
      <w:pPr>
        <w:spacing w:after="0"/>
      </w:pPr>
    </w:p>
    <w:p>
      <w:r>
        <w:br/>
      </w:r>
    </w:p>
    <w:p>
      <w:r>
        <w:br w:type="page"/>
      </w:r>
    </w:p>
    <w:p>
      <w:pPr>
        <w:pStyle w:val="Title"/>
        <w:jc w:val="center"/>
      </w:pPr>
      <w:r>
        <w:t>QA Tools — Master Blueprint</w:t>
        <w:br/>
        <w:t>Checkpoint 02: Technical Architecture</w:t>
      </w:r>
    </w:p>
    <w:p>
      <w:pPr>
        <w:jc w:val="center"/>
      </w:pPr>
      <w:r>
        <w:rPr>
          <w:i/>
        </w:rPr>
        <w:t>Architecture-level decisions locked as of 30 September 2026</w:t>
      </w:r>
    </w:p>
    <w:p>
      <w:pPr>
        <w:pStyle w:val="Heading1"/>
      </w:pPr>
      <w:r>
        <w:t>21. Checkpoint 02 Purpose</w:t>
      </w:r>
    </w:p>
    <w:p>
      <w:r>
        <w:t>Checkpoint 02 records the technical architecture chosen for QA Tools v1. It sits on top of Checkpoint 01, which remains the source of truth for the product, marketplace, account, licensing and commercial requirements. The goal is a small, understandable, low-cost architecture that can scale gradually and that does not require programming for day-to-day operation.</w:t>
      </w:r>
    </w:p>
    <w:p>
      <w:pPr>
        <w:pStyle w:val="Heading1"/>
      </w:pPr>
      <w:r>
        <w:t>22. Architecture at a Glance</w:t>
      </w:r>
    </w:p>
    <w:p>
      <w:r>
        <w:t>The selected architecture is intentionally split into a few focused services rather than one large custom server.</w:t>
      </w:r>
    </w:p>
    <w:tbl>
      <w:tblPr>
        <w:tblStyle w:val="TableGrid"/>
        <w:tblW w:type="auto" w:w="0"/>
        <w:tblLook w:firstColumn="1" w:firstRow="1" w:lastColumn="0" w:lastRow="0" w:noHBand="0" w:noVBand="1" w:val="04A0"/>
      </w:tblPr>
      <w:tblGrid>
        <w:gridCol w:w="3312"/>
        <w:gridCol w:w="3312"/>
        <w:gridCol w:w="3312"/>
      </w:tblGrid>
      <w:tr>
        <w:tc>
          <w:tcPr>
            <w:tcW w:type="dxa" w:w="2160"/>
          </w:tcPr>
          <w:p>
            <w:r>
              <w:rPr>
                <w:b/>
              </w:rPr>
              <w:t>Layer</w:t>
            </w:r>
          </w:p>
        </w:tc>
        <w:tc>
          <w:tcPr>
            <w:tcW w:type="dxa" w:w="3024"/>
          </w:tcPr>
          <w:p>
            <w:r>
              <w:rPr>
                <w:b/>
              </w:rPr>
              <w:t>Chosen technology / service</w:t>
            </w:r>
          </w:p>
        </w:tc>
        <w:tc>
          <w:tcPr>
            <w:tcW w:type="dxa" w:w="4608"/>
          </w:tcPr>
          <w:p>
            <w:r>
              <w:rPr>
                <w:b/>
              </w:rPr>
              <w:t>Main job</w:t>
            </w:r>
          </w:p>
        </w:tc>
      </w:tr>
      <w:tr>
        <w:tc>
          <w:tcPr>
            <w:tcW w:type="dxa" w:w="2160"/>
          </w:tcPr>
          <w:p>
            <w:r>
              <w:t>Frontend / website</w:t>
            </w:r>
          </w:p>
        </w:tc>
        <w:tc>
          <w:tcPr>
            <w:tcW w:type="dxa" w:w="3024"/>
          </w:tcPr>
          <w:p>
            <w:r>
              <w:t>Next.js + TypeScript</w:t>
            </w:r>
          </w:p>
        </w:tc>
        <w:tc>
          <w:tcPr>
            <w:tcW w:type="dxa" w:w="4608"/>
          </w:tcPr>
          <w:p>
            <w:r>
              <w:t>Customer-facing marketplace, account area and custom admin interface</w:t>
            </w:r>
          </w:p>
        </w:tc>
      </w:tr>
      <w:tr>
        <w:tc>
          <w:tcPr>
            <w:tcW w:type="dxa" w:w="2160"/>
          </w:tcPr>
          <w:p>
            <w:r>
              <w:t>Database</w:t>
            </w:r>
          </w:p>
        </w:tc>
        <w:tc>
          <w:tcPr>
            <w:tcW w:type="dxa" w:w="3024"/>
          </w:tcPr>
          <w:p>
            <w:r>
              <w:t>PostgreSQL hosted by Supabase</w:t>
            </w:r>
          </w:p>
        </w:tc>
        <w:tc>
          <w:tcPr>
            <w:tcW w:type="dxa" w:w="4608"/>
          </w:tcPr>
          <w:p>
            <w:r>
              <w:t>Products, users, orders, entitlements, favourites, bundles, releases, machine/activation records</w:t>
            </w:r>
          </w:p>
        </w:tc>
      </w:tr>
      <w:tr>
        <w:tc>
          <w:tcPr>
            <w:tcW w:type="dxa" w:w="2160"/>
          </w:tcPr>
          <w:p>
            <w:r>
              <w:t>Authentication</w:t>
            </w:r>
          </w:p>
        </w:tc>
        <w:tc>
          <w:tcPr>
            <w:tcW w:type="dxa" w:w="3024"/>
          </w:tcPr>
          <w:p>
            <w:r>
              <w:t>Supabase Auth</w:t>
            </w:r>
          </w:p>
        </w:tc>
        <w:tc>
          <w:tcPr>
            <w:tcW w:type="dxa" w:w="4608"/>
          </w:tcPr>
          <w:p>
            <w:r>
              <w:t>Email/password accounts, verification, reset flows, sessions and social login</w:t>
            </w:r>
          </w:p>
        </w:tc>
      </w:tr>
      <w:tr>
        <w:tc>
          <w:tcPr>
            <w:tcW w:type="dxa" w:w="2160"/>
          </w:tcPr>
          <w:p>
            <w:r>
              <w:t>File storage</w:t>
            </w:r>
          </w:p>
        </w:tc>
        <w:tc>
          <w:tcPr>
            <w:tcW w:type="dxa" w:w="3024"/>
          </w:tcPr>
          <w:p>
            <w:r>
              <w:t>Supabase Storage</w:t>
            </w:r>
          </w:p>
        </w:tc>
        <w:tc>
          <w:tcPr>
            <w:tcW w:type="dxa" w:w="4608"/>
          </w:tcPr>
          <w:p>
            <w:r>
              <w:t>Public preview media and private downloadable releases</w:t>
            </w:r>
          </w:p>
        </w:tc>
      </w:tr>
      <w:tr>
        <w:tc>
          <w:tcPr>
            <w:tcW w:type="dxa" w:w="2160"/>
          </w:tcPr>
          <w:p>
            <w:r>
              <w:t>Payments / tax</w:t>
            </w:r>
          </w:p>
        </w:tc>
        <w:tc>
          <w:tcPr>
            <w:tcW w:type="dxa" w:w="3024"/>
          </w:tcPr>
          <w:p>
            <w:r>
              <w:t>Merchant of Record model; Paddle preferred for v1</w:t>
            </w:r>
          </w:p>
        </w:tc>
        <w:tc>
          <w:tcPr>
            <w:tcW w:type="dxa" w:w="4608"/>
          </w:tcPr>
          <w:p>
            <w:r>
              <w:t>Checkout, payment processing, VAT/sales-tax handling, receipts/invoices, payment events</w:t>
            </w:r>
          </w:p>
        </w:tc>
      </w:tr>
      <w:tr>
        <w:tc>
          <w:tcPr>
            <w:tcW w:type="dxa" w:w="2160"/>
          </w:tcPr>
          <w:p>
            <w:r>
              <w:t>Licensing service</w:t>
            </w:r>
          </w:p>
        </w:tc>
        <w:tc>
          <w:tcPr>
            <w:tcW w:type="dxa" w:w="3024"/>
          </w:tcPr>
          <w:p>
            <w:r>
              <w:t>Existing FastAPI + Ed25519 system, productionized separately</w:t>
            </w:r>
          </w:p>
        </w:tc>
        <w:tc>
          <w:tcPr>
            <w:tcW w:type="dxa" w:w="4608"/>
          </w:tcPr>
          <w:p>
            <w:r>
              <w:t>Turn online product entitlements into signed, machine-bound offline Houdini licenses</w:t>
            </w:r>
          </w:p>
        </w:tc>
      </w:tr>
      <w:tr>
        <w:tc>
          <w:tcPr>
            <w:tcW w:type="dxa" w:w="2160"/>
          </w:tcPr>
          <w:p>
            <w:r>
              <w:t>Website hosting</w:t>
            </w:r>
          </w:p>
        </w:tc>
        <w:tc>
          <w:tcPr>
            <w:tcW w:type="dxa" w:w="3024"/>
          </w:tcPr>
          <w:p>
            <w:r>
              <w:t>Vercel preferred</w:t>
            </w:r>
          </w:p>
        </w:tc>
        <w:tc>
          <w:tcPr>
            <w:tcW w:type="dxa" w:w="4608"/>
          </w:tcPr>
          <w:p>
            <w:r>
              <w:t>Run and deploy the Next.js application</w:t>
            </w:r>
          </w:p>
        </w:tc>
      </w:tr>
      <w:tr>
        <w:tc>
          <w:tcPr>
            <w:tcW w:type="dxa" w:w="2160"/>
          </w:tcPr>
          <w:p>
            <w:r>
              <w:t>Licensing hosting</w:t>
            </w:r>
          </w:p>
        </w:tc>
        <w:tc>
          <w:tcPr>
            <w:tcW w:type="dxa" w:w="3024"/>
          </w:tcPr>
          <w:p>
            <w:r>
              <w:t>Railway preferred</w:t>
            </w:r>
          </w:p>
        </w:tc>
        <w:tc>
          <w:tcPr>
            <w:tcW w:type="dxa" w:w="4608"/>
          </w:tcPr>
          <w:p>
            <w:r>
              <w:t>Run the FastAPI licensing service</w:t>
            </w:r>
          </w:p>
        </w:tc>
      </w:tr>
      <w:tr>
        <w:tc>
          <w:tcPr>
            <w:tcW w:type="dxa" w:w="2160"/>
          </w:tcPr>
          <w:p>
            <w:r>
              <w:t>Transactional email</w:t>
            </w:r>
          </w:p>
        </w:tc>
        <w:tc>
          <w:tcPr>
            <w:tcW w:type="dxa" w:w="3024"/>
          </w:tcPr>
          <w:p>
            <w:r>
              <w:t>Resend preferred</w:t>
            </w:r>
          </w:p>
        </w:tc>
        <w:tc>
          <w:tcPr>
            <w:tcW w:type="dxa" w:w="4608"/>
          </w:tcPr>
          <w:p>
            <w:r>
              <w:t>Production auth/account emails</w:t>
            </w:r>
          </w:p>
        </w:tc>
      </w:tr>
      <w:tr>
        <w:tc>
          <w:tcPr>
            <w:tcW w:type="dxa" w:w="2160"/>
          </w:tcPr>
          <w:p>
            <w:r>
              <w:t>Long-form video</w:t>
            </w:r>
          </w:p>
        </w:tc>
        <w:tc>
          <w:tcPr>
            <w:tcW w:type="dxa" w:w="3024"/>
          </w:tcPr>
          <w:p>
            <w:r>
              <w:t>YouTube</w:t>
            </w:r>
          </w:p>
        </w:tc>
        <w:tc>
          <w:tcPr>
            <w:tcW w:type="dxa" w:w="4608"/>
          </w:tcPr>
          <w:p>
            <w:r>
              <w:t>Tutorials and long explanations without using QA Tools storage/bandwidth</w:t>
            </w:r>
          </w:p>
        </w:tc>
      </w:tr>
    </w:tbl>
    <w:p>
      <w:pPr>
        <w:pStyle w:val="Heading1"/>
      </w:pPr>
      <w:r>
        <w:t>23. Beginner Mental Model</w:t>
      </w:r>
    </w:p>
    <w:p>
      <w:r>
        <w:t>A simple way to think about the stack:</w:t>
      </w:r>
    </w:p>
    <w:p>
      <w:pPr>
        <w:pStyle w:val="ListBullet"/>
      </w:pPr>
      <w:r>
        <w:t>Next.js is the shop window and waiter: it is what customers see and interact with, and it can also run secure server-side website logic.</w:t>
      </w:r>
    </w:p>
    <w:p>
      <w:pPr>
        <w:pStyle w:val="ListBullet"/>
      </w:pPr>
      <w:r>
        <w:t>PostgreSQL is the filing cabinet: it stores structured facts such as product prices, orders, likes and ownership.</w:t>
      </w:r>
    </w:p>
    <w:p>
      <w:pPr>
        <w:pStyle w:val="ListBullet"/>
      </w:pPr>
      <w:r>
        <w:t>Supabase is the managed building around that filing cabinet: it hosts PostgreSQL and also provides authentication and file storage.</w:t>
      </w:r>
    </w:p>
    <w:p>
      <w:pPr>
        <w:pStyle w:val="ListBullet"/>
      </w:pPr>
      <w:r>
        <w:t>The licensing server is the secure gatekeeper: it checks ownership, binds an activation to a machine and signs the offline license.</w:t>
      </w:r>
    </w:p>
    <w:p>
      <w:pPr>
        <w:pStyle w:val="ListBullet"/>
      </w:pPr>
      <w:r>
        <w:t>Vercel and Railway are the computers in the cloud that run the website and licensing service respectively.</w:t>
      </w:r>
    </w:p>
    <w:p>
      <w:r>
        <w:t>Typical chain of command: Customer → Next.js website → Supabase/PostgreSQL for data. For a purchase: Customer → Next.js → Paddle → verified payment event → QA Tools backend → Supabase entitlement. For Houdini activation: Houdini → FastAPI licensing server → Supabase entitlement check → signed local license → offline verification in Houdini.</w:t>
      </w:r>
    </w:p>
    <w:p>
      <w:pPr>
        <w:pStyle w:val="Heading1"/>
      </w:pPr>
      <w:r>
        <w:t>24. Frontend — LOCKED</w:t>
      </w:r>
    </w:p>
    <w:p>
      <w:r>
        <w:t>Decision: Next.js + TypeScript.</w:t>
      </w:r>
    </w:p>
    <w:p>
      <w:pPr>
        <w:pStyle w:val="ListBullet"/>
      </w:pPr>
      <w:r>
        <w:t>The storefront is custom and data-driven rather than hand-coded product by product.</w:t>
      </w:r>
    </w:p>
    <w:p>
      <w:pPr>
        <w:pStyle w:val="ListBullet"/>
      </w:pPr>
      <w:r>
        <w:t>The same application can contain the public marketplace, customer account space and secure admin interface.</w:t>
      </w:r>
    </w:p>
    <w:p>
      <w:pPr>
        <w:pStyle w:val="ListBullet"/>
      </w:pPr>
      <w:r>
        <w:t>The visual direction from Checkpoint 01 remains unchanged: dark, minimal, fast, rich product motion, quiet UI motion and no generic SaaS look.</w:t>
      </w:r>
    </w:p>
    <w:p>
      <w:pPr>
        <w:pStyle w:val="ListBullet"/>
      </w:pPr>
      <w:r>
        <w:t>Day-to-day content/product changes must come from data/admin screens, not source-code edits.</w:t>
      </w:r>
    </w:p>
    <w:p>
      <w:pPr>
        <w:pStyle w:val="Heading1"/>
      </w:pPr>
      <w:r>
        <w:t>25. Database / Backend Data — LOCKED</w:t>
      </w:r>
    </w:p>
    <w:p>
      <w:r>
        <w:t>Decision: PostgreSQL hosted by Supabase, starting on the Free plan.</w:t>
      </w:r>
    </w:p>
    <w:p>
      <w:pPr>
        <w:pStyle w:val="ListBullet"/>
      </w:pPr>
      <w:r>
        <w:t>PostgreSQL is preferred because QA Tools contains many relationships: users, products, releases, bundles, orders, entitlements, favourites and machine activations.</w:t>
      </w:r>
    </w:p>
    <w:p>
      <w:pPr>
        <w:pStyle w:val="ListBullet"/>
      </w:pPr>
      <w:r>
        <w:t>Supabase removes the need to operate a database server manually.</w:t>
      </w:r>
    </w:p>
    <w:p>
      <w:pPr>
        <w:pStyle w:val="ListBullet"/>
      </w:pPr>
      <w:r>
        <w:t>Row Level Security will be used so customers can access only their own private data.</w:t>
      </w:r>
    </w:p>
    <w:p>
      <w:pPr>
        <w:pStyle w:val="ListBullet"/>
      </w:pPr>
      <w:r>
        <w:t>Supabase dashboard is a development/emergency control room, not the intended day-to-day business interface.</w:t>
      </w:r>
    </w:p>
    <w:p>
      <w:pPr>
        <w:pStyle w:val="ListBullet"/>
      </w:pPr>
      <w:r>
        <w:t>Start on Supabase Free; upgrade later when reliability, backups or usage justify it. The architecture does not need to be rebuilt to change plan.</w:t>
      </w:r>
    </w:p>
    <w:p>
      <w:pPr>
        <w:pStyle w:val="Heading1"/>
      </w:pPr>
      <w:r>
        <w:t>26. Authentication — LOCKED</w:t>
      </w:r>
    </w:p>
    <w:p>
      <w:r>
        <w:t>Decision: Supabase Auth.</w:t>
      </w:r>
    </w:p>
    <w:p>
      <w:pPr>
        <w:pStyle w:val="ListBullet"/>
      </w:pPr>
      <w:r>
        <w:t>Account is required before acquiring any product, including free products.</w:t>
      </w:r>
    </w:p>
    <w:p>
      <w:pPr>
        <w:pStyle w:val="ListBullet"/>
      </w:pPr>
      <w:r>
        <w:t>Email + password is required.</w:t>
      </w:r>
    </w:p>
    <w:p>
      <w:pPr>
        <w:pStyle w:val="ListBullet"/>
      </w:pPr>
      <w:r>
        <w:t>Email verification, password reset and secure sessions are required.</w:t>
      </w:r>
    </w:p>
    <w:p>
      <w:pPr>
        <w:pStyle w:val="ListBullet"/>
      </w:pPr>
      <w:r>
        <w:t>Google login is desired for v1; Apple login is desired and may be added before launch or shortly after depending on setup effort.</w:t>
      </w:r>
    </w:p>
    <w:p>
      <w:pPr>
        <w:pStyle w:val="ListBullet"/>
      </w:pPr>
      <w:r>
        <w:t>QA Tools will not store raw passwords itself.</w:t>
      </w:r>
    </w:p>
    <w:p>
      <w:pPr>
        <w:pStyle w:val="Heading1"/>
      </w:pPr>
      <w:r>
        <w:t>27. Payments and Tax — LOCKED AT MODEL LEVEL</w:t>
      </w:r>
    </w:p>
    <w:p>
      <w:r>
        <w:t>Decision: use a Merchant of Record model. Paddle is the preferred v1 provider, subject to account approval and a final pricing/configuration check before launch.</w:t>
      </w:r>
    </w:p>
    <w:p>
      <w:pPr>
        <w:pStyle w:val="ListBullet"/>
      </w:pPr>
      <w:r>
        <w:t>Paddle handles the retail payment/tax layer as Merchant of Record: checkout, payment collection, applicable VAT/sales-tax handling, remittance responsibilities, receipts/invoices and payment disputes according to its service terms.</w:t>
      </w:r>
    </w:p>
    <w:p>
      <w:pPr>
        <w:pStyle w:val="ListBullet"/>
      </w:pPr>
      <w:r>
        <w:t>QA Tools remains the source of truth for products, users and entitlements.</w:t>
      </w:r>
    </w:p>
    <w:p>
      <w:pPr>
        <w:pStyle w:val="ListBullet"/>
      </w:pPr>
      <w:r>
        <w:t>Verified server-side payment events create/update orders and entitlements in Supabase.</w:t>
      </w:r>
    </w:p>
    <w:p>
      <w:pPr>
        <w:pStyle w:val="ListBullet"/>
      </w:pPr>
      <w:r>
        <w:t>Free products bypass Paddle: a logged-in user acquires the €0 product directly and receives an entitlement.</w:t>
      </w:r>
    </w:p>
    <w:p>
      <w:pPr>
        <w:pStyle w:val="ListBullet"/>
      </w:pPr>
      <w:r>
        <w:t>Cards, PayPal, Apple Pay and Google Pay should be enabled where supported.</w:t>
      </w:r>
    </w:p>
    <w:p>
      <w:pPr>
        <w:pStyle w:val="ListBullet"/>
      </w:pPr>
      <w:r>
        <w:t>The customer-facing tax-inclusive price presentation will be confirmed during real Paddle configuration/testing rather than hard-coded as an assumption.</w:t>
      </w:r>
    </w:p>
    <w:p>
      <w:pPr>
        <w:pStyle w:val="ListBullet"/>
      </w:pPr>
      <w:r>
        <w:t>Paddle is preferred, not architecturally irreversible. The commerce integration should be isolated enough to replace the provider later if needed.</w:t>
      </w:r>
    </w:p>
    <w:p>
      <w:pPr>
        <w:pStyle w:val="Heading1"/>
      </w:pPr>
      <w:r>
        <w:t>28. File Storage — LOCKED</w:t>
      </w:r>
    </w:p>
    <w:p>
      <w:r>
        <w:t>Decision: Supabase Storage initially.</w:t>
      </w:r>
    </w:p>
    <w:p>
      <w:pPr>
        <w:pStyle w:val="ListBullet"/>
      </w:pPr>
      <w:r>
        <w:t>Public bucket(s) for product preview media that is meant to be visible to everyone.</w:t>
      </w:r>
    </w:p>
    <w:p>
      <w:pPr>
        <w:pStyle w:val="ListBullet"/>
      </w:pPr>
      <w:r>
        <w:t>Private bucket(s) for paid/free downloadable product packages and historical releases.</w:t>
      </w:r>
    </w:p>
    <w:p>
      <w:pPr>
        <w:pStyle w:val="ListBullet"/>
      </w:pPr>
      <w:r>
        <w:t>Private downloads require an entitlement check and then a temporary signed download URL.</w:t>
      </w:r>
    </w:p>
    <w:p>
      <w:pPr>
        <w:pStyle w:val="ListBullet"/>
      </w:pPr>
      <w:r>
        <w:t>Long tutorial/explanation videos are hosted on YouTube.</w:t>
      </w:r>
    </w:p>
    <w:p>
      <w:pPr>
        <w:pStyle w:val="ListBullet"/>
      </w:pPr>
      <w:r>
        <w:t>Start within the Supabase Free storage allowance and upgrade only when needed.</w:t>
      </w:r>
    </w:p>
    <w:p>
      <w:pPr>
        <w:pStyle w:val="Heading1"/>
      </w:pPr>
      <w:r>
        <w:t>29. Houdini Licensing Service — LOCKED AT ARCHITECTURE LEVEL</w:t>
      </w:r>
    </w:p>
    <w:p>
      <w:r>
        <w:t>Decision: keep the existing FastAPI + Ed25519 architecture and productionize it as a separate service connected to Supabase entitlements.</w:t>
      </w:r>
    </w:p>
    <w:p>
      <w:pPr>
        <w:pStyle w:val="ListBullet"/>
      </w:pPr>
      <w:r>
        <w:t>Do not replace the working prototype architecture unnecessarily.</w:t>
      </w:r>
    </w:p>
    <w:p>
      <w:pPr>
        <w:pStyle w:val="ListBullet"/>
      </w:pPr>
      <w:r>
        <w:t>The production system replaces the temporary purchase-token allowlist with real entitlement checks.</w:t>
      </w:r>
    </w:p>
    <w:p>
      <w:pPr>
        <w:pStyle w:val="ListBullet"/>
      </w:pPr>
      <w:r>
        <w:t>Generate a new production Ed25519 key pair because development key material was previously exposed during debugging.</w:t>
      </w:r>
    </w:p>
    <w:p>
      <w:pPr>
        <w:pStyle w:val="ListBullet"/>
      </w:pPr>
      <w:r>
        <w:t>Keep the private signing key only in secure server-side secret storage; Houdini contains only the public verification key.</w:t>
      </w:r>
    </w:p>
    <w:p>
      <w:pPr>
        <w:pStyle w:val="ListBullet"/>
      </w:pPr>
      <w:r>
        <w:t>Keep the current philosophy: activate online, then verify locally/offline. No network request on every HDA cook.</w:t>
      </w:r>
    </w:p>
    <w:p>
      <w:pPr>
        <w:pStyle w:val="ListBullet"/>
      </w:pPr>
      <w:r>
        <w:t>Track product ID, account, machine/PC information and activation state in the production data model.</w:t>
      </w:r>
    </w:p>
    <w:p>
      <w:pPr>
        <w:pStyle w:val="ListBullet"/>
      </w:pPr>
      <w:r>
        <w:t>Support admin machine reset for legitimate computer replacement.</w:t>
      </w:r>
    </w:p>
    <w:p>
      <w:pPr>
        <w:pStyle w:val="ListBullet"/>
      </w:pPr>
      <w:r>
        <w:t>Exact license payload, multi-product-file behavior, rate limits and refund/revocation handling are implementation details deferred to the licensing implementation phase.</w:t>
      </w:r>
    </w:p>
    <w:p>
      <w:pPr>
        <w:pStyle w:val="Heading1"/>
      </w:pPr>
      <w:r>
        <w:t>30. Hosting / Domain / Email — LOCKED AT PREFERRED-PROVIDER LEVEL</w:t>
      </w:r>
    </w:p>
    <w:p>
      <w:r>
        <w:t>Preferred deployment stack:</w:t>
      </w:r>
    </w:p>
    <w:p>
      <w:pPr>
        <w:pStyle w:val="ListBullet"/>
      </w:pPr>
      <w:r>
        <w:t>Vercel for Next.js hosting. Use Hobby during non-commercial development; move to a suitable commercial plan for launch if Vercel remains the selected host.</w:t>
      </w:r>
    </w:p>
    <w:p>
      <w:pPr>
        <w:pStyle w:val="ListBullet"/>
      </w:pPr>
      <w:r>
        <w:t>Railway for the small FastAPI licensing service.</w:t>
      </w:r>
    </w:p>
    <w:p>
      <w:pPr>
        <w:pStyle w:val="ListBullet"/>
      </w:pPr>
      <w:r>
        <w:t>Resend for production transactional/authentication email via Supabase SMTP integration.</w:t>
      </w:r>
    </w:p>
    <w:p>
      <w:pPr>
        <w:pStyle w:val="ListBullet"/>
      </w:pPr>
      <w:r>
        <w:t>Domain registrar is intentionally independent from hosting. Register qatools.studio with a reputable registrar based on sensible registration and renewal pricing.</w:t>
      </w:r>
    </w:p>
    <w:p>
      <w:pPr>
        <w:pStyle w:val="ListBullet"/>
      </w:pPr>
      <w:r>
        <w:t>YouTube remains the long-form video host.</w:t>
      </w:r>
    </w:p>
    <w:p>
      <w:pPr>
        <w:pStyle w:val="Heading1"/>
      </w:pPr>
      <w:r>
        <w:t>31. Admin System — LOCKED</w:t>
      </w:r>
    </w:p>
    <w:p>
      <w:r>
        <w:t>Decision: build a custom secure /admin area inside the Next.js application, backed by Supabase.</w:t>
      </w:r>
    </w:p>
    <w:p>
      <w:r>
        <w:t>Hard requirement: normal operation must not require programming.</w:t>
      </w:r>
    </w:p>
    <w:p>
      <w:pPr>
        <w:pStyle w:val="ListBullet"/>
      </w:pPr>
      <w:r>
        <w:t>Create/edit/archive/publish products.</w:t>
      </w:r>
    </w:p>
    <w:p>
      <w:pPr>
        <w:pStyle w:val="ListBullet"/>
      </w:pPr>
      <w:r>
        <w:t>Change prices, descriptions, type/category, complexity and compatibility.</w:t>
      </w:r>
    </w:p>
    <w:p>
      <w:pPr>
        <w:pStyle w:val="ListBullet"/>
      </w:pPr>
      <w:r>
        <w:t>Upload preview imagery/GIFs and product packages.</w:t>
      </w:r>
    </w:p>
    <w:p>
      <w:pPr>
        <w:pStyle w:val="ListBullet"/>
      </w:pPr>
      <w:r>
        <w:t>Create a new release/version, set changelog/compatibility and make it latest while retaining older downloads.</w:t>
      </w:r>
    </w:p>
    <w:p>
      <w:pPr>
        <w:pStyle w:val="ListBullet"/>
      </w:pPr>
      <w:r>
        <w:t>Create/edit bundles using one fixed bundle price; no complete-the-bundle discount logic or internal pricing weights.</w:t>
      </w:r>
    </w:p>
    <w:p>
      <w:pPr>
        <w:pStyle w:val="ListBullet"/>
      </w:pPr>
      <w:r>
        <w:t>Manage Best Paired With relationships.</w:t>
      </w:r>
    </w:p>
    <w:p>
      <w:pPr>
        <w:pStyle w:val="ListBullet"/>
      </w:pPr>
      <w:r>
        <w:t>Manage What’s New entries.</w:t>
      </w:r>
    </w:p>
    <w:p>
      <w:pPr>
        <w:pStyle w:val="ListBullet"/>
      </w:pPr>
      <w:r>
        <w:t>View relevant order/license state and reset machine activation when appropriate.</w:t>
      </w:r>
    </w:p>
    <w:p>
      <w:pPr>
        <w:pStyle w:val="ListBullet"/>
      </w:pPr>
      <w:r>
        <w:t>Supabase dashboard remains available for technical/emergency work but is not the normal product-management interface.</w:t>
      </w:r>
    </w:p>
    <w:p>
      <w:pPr>
        <w:pStyle w:val="Heading1"/>
      </w:pPr>
      <w:r>
        <w:t>32. Cost Model — PLANNING BASELINE</w:t>
      </w:r>
    </w:p>
    <w:p>
      <w:r>
        <w:t>The stack is designed to keep fixed costs low while customer volume is small. Exact prices must be rechecked before launch because service pricing can change.</w:t>
      </w:r>
    </w:p>
    <w:tbl>
      <w:tblPr>
        <w:tblStyle w:val="TableGrid"/>
        <w:tblW w:type="auto" w:w="0"/>
        <w:tblLook w:firstColumn="1" w:firstRow="1" w:lastColumn="0" w:lastRow="0" w:noHBand="0" w:noVBand="1" w:val="04A0"/>
      </w:tblPr>
      <w:tblGrid>
        <w:gridCol w:w="4968"/>
        <w:gridCol w:w="4968"/>
      </w:tblGrid>
      <w:tr>
        <w:tc>
          <w:tcPr>
            <w:tcW w:type="dxa" w:w="3168"/>
          </w:tcPr>
          <w:p>
            <w:r>
              <w:rPr>
                <w:b/>
              </w:rPr>
              <w:t>Item</w:t>
            </w:r>
          </w:p>
        </w:tc>
        <w:tc>
          <w:tcPr>
            <w:tcW w:type="dxa" w:w="6624"/>
          </w:tcPr>
          <w:p>
            <w:r>
              <w:rPr>
                <w:b/>
              </w:rPr>
              <w:t>Initial planning assumption</w:t>
            </w:r>
          </w:p>
        </w:tc>
      </w:tr>
      <w:tr>
        <w:tc>
          <w:tcPr>
            <w:tcW w:type="dxa" w:w="3168"/>
          </w:tcPr>
          <w:p>
            <w:r>
              <w:t>Vercel</w:t>
            </w:r>
          </w:p>
        </w:tc>
        <w:tc>
          <w:tcPr>
            <w:tcW w:type="dxa" w:w="6624"/>
          </w:tcPr>
          <w:p>
            <w:r>
              <w:t>Free during development; approximately $20/month for a commercial Pro-class plan if that remains appropriate at launch</w:t>
            </w:r>
          </w:p>
        </w:tc>
      </w:tr>
      <w:tr>
        <w:tc>
          <w:tcPr>
            <w:tcW w:type="dxa" w:w="3168"/>
          </w:tcPr>
          <w:p>
            <w:r>
              <w:t>Railway licensing service</w:t>
            </w:r>
          </w:p>
        </w:tc>
        <w:tc>
          <w:tcPr>
            <w:tcW w:type="dxa" w:w="6624"/>
          </w:tcPr>
          <w:p>
            <w:r>
              <w:t>Approximately $5/month starting point</w:t>
            </w:r>
          </w:p>
        </w:tc>
      </w:tr>
      <w:tr>
        <w:tc>
          <w:tcPr>
            <w:tcW w:type="dxa" w:w="3168"/>
          </w:tcPr>
          <w:p>
            <w:r>
              <w:t>Supabase</w:t>
            </w:r>
          </w:p>
        </w:tc>
        <w:tc>
          <w:tcPr>
            <w:tcW w:type="dxa" w:w="6624"/>
          </w:tcPr>
          <w:p>
            <w:r>
              <w:t>Free initially; approximately $25/month if/when Pro is justified</w:t>
            </w:r>
          </w:p>
        </w:tc>
      </w:tr>
      <w:tr>
        <w:tc>
          <w:tcPr>
            <w:tcW w:type="dxa" w:w="3168"/>
          </w:tcPr>
          <w:p>
            <w:r>
              <w:t>Resend</w:t>
            </w:r>
          </w:p>
        </w:tc>
        <w:tc>
          <w:tcPr>
            <w:tcW w:type="dxa" w:w="6624"/>
          </w:tcPr>
          <w:p>
            <w:r>
              <w:t>Free initially at expected volume</w:t>
            </w:r>
          </w:p>
        </w:tc>
      </w:tr>
      <w:tr>
        <w:tc>
          <w:tcPr>
            <w:tcW w:type="dxa" w:w="3168"/>
          </w:tcPr>
          <w:p>
            <w:r>
              <w:t>YouTube</w:t>
            </w:r>
          </w:p>
        </w:tc>
        <w:tc>
          <w:tcPr>
            <w:tcW w:type="dxa" w:w="6624"/>
          </w:tcPr>
          <w:p>
            <w:r>
              <w:t>$0 for hosting long-form public tutorials</w:t>
            </w:r>
          </w:p>
        </w:tc>
      </w:tr>
      <w:tr>
        <w:tc>
          <w:tcPr>
            <w:tcW w:type="dxa" w:w="3168"/>
          </w:tcPr>
          <w:p>
            <w:r>
              <w:t>Paddle</w:t>
            </w:r>
          </w:p>
        </w:tc>
        <w:tc>
          <w:tcPr>
            <w:tcW w:type="dxa" w:w="6624"/>
          </w:tcPr>
          <w:p>
            <w:r>
              <w:t>No planned monthly platform fee; transaction fee applies per paid checkout. Sub-$10 pricing must be confirmed for €5 products</w:t>
            </w:r>
          </w:p>
        </w:tc>
      </w:tr>
      <w:tr>
        <w:tc>
          <w:tcPr>
            <w:tcW w:type="dxa" w:w="3168"/>
          </w:tcPr>
          <w:p>
            <w:r>
              <w:t>Domain</w:t>
            </w:r>
          </w:p>
        </w:tc>
        <w:tc>
          <w:tcPr>
            <w:tcW w:type="dxa" w:w="6624"/>
          </w:tcPr>
          <w:p>
            <w:r>
              <w:t>Annual registration/renewal cost, registrar to be chosen separately</w:t>
            </w:r>
          </w:p>
        </w:tc>
      </w:tr>
      <w:tr>
        <w:tc>
          <w:tcPr>
            <w:tcW w:type="dxa" w:w="3168"/>
          </w:tcPr>
          <w:p>
            <w:r>
              <w:t>Gestor/accountant</w:t>
            </w:r>
          </w:p>
        </w:tc>
        <w:tc>
          <w:tcPr>
            <w:tcW w:type="dxa" w:w="6624"/>
          </w:tcPr>
          <w:p>
            <w:r>
              <w:t>Separate business operating cost; not part of the technical stack but should be budgeted</w:t>
            </w:r>
          </w:p>
        </w:tc>
      </w:tr>
    </w:tbl>
    <w:p>
      <w:r>
        <w:t>Planning target: roughly $25/month plus domain and payment transaction fees for the initial commercial technical stack, potentially around $50/month if Supabase is later upgraded to Pro. Accounting/gestor costs are additional.</w:t>
      </w:r>
    </w:p>
    <w:p>
      <w:pPr>
        <w:pStyle w:val="Heading1"/>
      </w:pPr>
      <w:r>
        <w:t>33. Maintenance Principle — LOCKED</w:t>
      </w:r>
    </w:p>
    <w:p>
      <w:r>
        <w:t>The architecture should minimize routine technical maintenance. The owner should spend time managing products, releases, content and customers, not servers.</w:t>
      </w:r>
    </w:p>
    <w:p>
      <w:pPr>
        <w:pStyle w:val="ListBullet"/>
      </w:pPr>
      <w:r>
        <w:t>Normal product/release/content changes happen through the QA Tools admin UI.</w:t>
      </w:r>
    </w:p>
    <w:p>
      <w:pPr>
        <w:pStyle w:val="ListBullet"/>
      </w:pPr>
      <w:r>
        <w:t>Managed providers handle database hosting, payment infrastructure, email delivery and most deployment infrastructure.</w:t>
      </w:r>
    </w:p>
    <w:p>
      <w:pPr>
        <w:pStyle w:val="ListBullet"/>
      </w:pPr>
      <w:r>
        <w:t>Technical maintenance is occasional: dependency/security updates, monitoring errors/costs, domain renewal, checkout testing after major changes, backups/recovery review and licensing-service maintenance.</w:t>
      </w:r>
    </w:p>
    <w:p>
      <w:pPr>
        <w:pStyle w:val="ListBullet"/>
      </w:pPr>
      <w:r>
        <w:t>Do not add extra services or infrastructure unless there is a clear business or technical reason.</w:t>
      </w:r>
    </w:p>
    <w:p>
      <w:pPr>
        <w:pStyle w:val="Heading1"/>
      </w:pPr>
      <w:r>
        <w:t>34. Architecture Status</w:t>
      </w:r>
    </w:p>
    <w:p>
      <w:r>
        <w:t>Checkpoint 02 is complete at the architecture level. The major technology choices are now sufficient to begin the next planning phase without starting implementation prematurely.</w:t>
      </w:r>
    </w:p>
    <w:p>
      <w:r>
        <w:t>The next planning work should define the implementation specification: database schema and relationships, entitlement rules, API/server boundaries, admin flows, authentication/account flows, payment webhook behavior, storage organization and a staged build order.</w:t>
      </w:r>
    </w:p>
    <w:p>
      <w:pPr>
        <w:pStyle w:val="Heading1"/>
      </w:pPr>
      <w:r>
        <w:t>35. Open Items Deferred to Implementation / Pre-Launch Review</w:t>
      </w:r>
    </w:p>
    <w:p>
      <w:pPr>
        <w:pStyle w:val="ListBullet"/>
      </w:pPr>
      <w:r>
        <w:t>Final Paddle account approval, exact fee schedule for low-priced products and checkout tax presentation.</w:t>
      </w:r>
    </w:p>
    <w:p>
      <w:pPr>
        <w:pStyle w:val="ListBullet"/>
      </w:pPr>
      <w:r>
        <w:t>Final domain registrar and renewal cost.</w:t>
      </w:r>
    </w:p>
    <w:p>
      <w:pPr>
        <w:pStyle w:val="ListBullet"/>
      </w:pPr>
      <w:r>
        <w:t>Final production hosting plan selection and exact Vercel/Railway configuration.</w:t>
      </w:r>
    </w:p>
    <w:p>
      <w:pPr>
        <w:pStyle w:val="ListBullet"/>
      </w:pPr>
      <w:r>
        <w:t>Production SMTP/domain authentication configuration.</w:t>
      </w:r>
    </w:p>
    <w:p>
      <w:pPr>
        <w:pStyle w:val="ListBullet"/>
      </w:pPr>
      <w:r>
        <w:t>Exact database schema and Row Level Security policies.</w:t>
      </w:r>
    </w:p>
    <w:p>
      <w:pPr>
        <w:pStyle w:val="ListBullet"/>
      </w:pPr>
      <w:r>
        <w:t>Exact license payload and activation/reset/refund edge cases.</w:t>
      </w:r>
    </w:p>
    <w:p>
      <w:pPr>
        <w:pStyle w:val="ListBullet"/>
      </w:pPr>
      <w:r>
        <w:t>Legal wording, refund policy and final tax/accounting review with a Spanish gestor/accountant and legal advice where appropriate.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QA Tools • Master Blueprint • Checkpoint 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41414"/>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414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141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4141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o">
    <w:name w:val="Mono"/>
    <w:pPr>
      <w:spacing w:after="80"/>
    </w:pPr>
    <w:rPr>
      <w:rFonts w:ascii="Liberation Mono" w:hAnsi="Liberation Mono"/>
      <w:sz w:val="17"/>
    </w:rPr>
  </w:style>
  <w:style w:type="paragraph" w:customStyle="1" w:styleId="Small">
    <w:name w:val="Small"/>
    <w:rPr>
      <w:rFonts w:ascii="Arial" w:hAnsi="Arial"/>
      <w:color w:val="5555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