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0"/>
      </w:pPr>
    </w:p>
    <w:p>
      <w:pPr>
        <w:spacing w:after="260"/>
      </w:pPr>
      <w:r>
        <w:rPr>
          <w:b/>
          <w:bCs/>
          <w:color w:val="1E7B96"/>
          <w:spacing w:val="60"/>
          <w:sz w:val="20"/>
          <w:szCs w:val="20"/>
        </w:rPr>
        <w:t xml:space="preserve">ARCHITECTURE DECISION DOCUMENT</w:t>
      </w:r>
    </w:p>
    <w:p>
      <w:pPr>
        <w:spacing w:after="200"/>
        <w:jc w:val="left"/>
      </w:pPr>
      <w:r>
        <w:rPr>
          <w:rFonts w:ascii="Calibri Light" w:cs="Calibri Light" w:eastAsia="Calibri Light" w:hAnsi="Calibri Light"/>
          <w:b/>
          <w:bCs/>
          <w:color w:val="1B3A5C"/>
          <w:sz w:val="46"/>
          <w:szCs w:val="46"/>
        </w:rPr>
        <w:t xml:space="preserve">Exposing Business Capability APIs to Bring-Your-Own AI Agents — Without MCP</w:t>
      </w:r>
    </w:p>
    <w:p>
      <w:pPr>
        <w:pBdr>
          <w:bottom w:val="single" w:color="1B3A5C" w:sz="6" w:space="1"/>
        </w:pBdr>
        <w:spacing w:after="220" w:before="40"/>
      </w:pPr>
    </w:p>
    <w:p>
      <w:pPr>
        <w:spacing w:after="700"/>
      </w:pPr>
      <w:r>
        <w:rPr>
          <w:rFonts w:ascii="Calibri Light" w:cs="Calibri Light" w:eastAsia="Calibri Light" w:hAnsi="Calibri Light"/>
          <w:color w:val="42566B"/>
          <w:sz w:val="24"/>
          <w:szCs w:val="24"/>
        </w:rPr>
        <w:t xml:space="preserve">A capability-exchange reference architecture for safe, governed, cost-predictable agentic access, with a retail brokerage order-placement case study</w:t>
      </w:r>
    </w:p>
    <w:tbl>
      <w:tblPr>
        <w:tblW w:type="dxa" w:w="10080"/>
        <w:tblBorders>
          <w:top w:val="single" w:color="1B3A5C" w:sz="4"/>
          <w:left w:val="none" w:color="FFFFFF" w:sz="0"/>
          <w:bottom w:val="single" w:color="1B3A5C" w:sz="4"/>
          <w:right w:val="none" w:color="FFFFFF" w:sz="0"/>
          <w:insideH w:val="single" w:color="C7D0DA" w:sz="2"/>
          <w:insideV w:val="single" w:color="C7D0DA" w:sz="2"/>
        </w:tblBorders>
      </w:tblPr>
      <w:tblGrid>
        <w:gridCol w:w="2218"/>
        <w:gridCol w:w="7862"/>
      </w:tblGrid>
      <w:tr>
        <w:trPr>
          <w:tblHeader/>
        </w:trPr>
        <w:tc>
          <w:tcPr>
            <w:tcW w:type="dxa" w:w="2218"/>
            <w:shd w:fill="12293F"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FFFFFF"/>
                <w:sz w:val="17"/>
                <w:szCs w:val="17"/>
              </w:rPr>
              <w:t xml:space="preserve">Document control</w:t>
            </w:r>
          </w:p>
        </w:tc>
        <w:tc>
          <w:tcPr>
            <w:tcW w:type="dxa" w:w="7862"/>
            <w:shd w:fill="12293F" w:color="auto" w:val="clear"/>
            <w:tcMar>
              <w:top w:type="dxa" w:w="60"/>
              <w:left w:type="dxa" w:w="100"/>
              <w:bottom w:type="dxa" w:w="60"/>
              <w:right w:type="dxa" w:w="100"/>
            </w:tcMar>
            <w:vAlign w:val="top"/>
          </w:tcPr>
          <w:p>
            <w:pPr>
              <w:spacing w:after="40" w:before="40" w:line="240"/>
              <w:jc w:val="left"/>
            </w:pPr>
          </w:p>
        </w:tc>
      </w:tr>
      <w:tr>
        <w:tc>
          <w:tcPr>
            <w:tcW w:type="dxa" w:w="2218"/>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Title</w:t>
            </w:r>
          </w:p>
        </w:tc>
        <w:tc>
          <w:tcPr>
            <w:tcW w:type="dxa" w:w="7862"/>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Exposing Business Capability APIs to Bring-Your-Own AI Agents Without MCP</w:t>
            </w:r>
          </w:p>
        </w:tc>
      </w:tr>
      <w:tr>
        <w:tc>
          <w:tcPr>
            <w:tcW w:type="dxa" w:w="2218"/>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Version / status</w:t>
            </w:r>
          </w:p>
        </w:tc>
        <w:tc>
          <w:tcPr>
            <w:tcW w:type="dxa" w:w="7862"/>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1.0 — Issued for Architecture Review Board decision</w:t>
            </w:r>
          </w:p>
        </w:tc>
      </w:tr>
      <w:tr>
        <w:tc>
          <w:tcPr>
            <w:tcW w:type="dxa" w:w="2218"/>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Date</w:t>
            </w:r>
          </w:p>
        </w:tc>
        <w:tc>
          <w:tcPr>
            <w:tcW w:type="dxa" w:w="7862"/>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29 July 2026</w:t>
            </w:r>
          </w:p>
        </w:tc>
      </w:tr>
      <w:tr>
        <w:tc>
          <w:tcPr>
            <w:tcW w:type="dxa" w:w="2218"/>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Author</w:t>
            </w:r>
          </w:p>
        </w:tc>
        <w:tc>
          <w:tcPr>
            <w:tcW w:type="dxa" w:w="7862"/>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Office of the Chief Architect — AI Platform &amp; Integration Architecture</w:t>
            </w:r>
          </w:p>
        </w:tc>
      </w:tr>
      <w:tr>
        <w:tc>
          <w:tcPr>
            <w:tcW w:type="dxa" w:w="2218"/>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Intended audience</w:t>
            </w:r>
          </w:p>
        </w:tc>
        <w:tc>
          <w:tcPr>
            <w:tcW w:type="dxa" w:w="7862"/>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Enterprise, solution and security architects; platform engineering; API product management; compliance technology. Assumes fluency with OAuth 2.x, HTTP API design and financial-services controls.</w:t>
            </w:r>
          </w:p>
        </w:tc>
      </w:tr>
      <w:tr>
        <w:tc>
          <w:tcPr>
            <w:tcW w:type="dxa" w:w="2218"/>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Decision requested</w:t>
            </w:r>
          </w:p>
        </w:tc>
        <w:tc>
          <w:tcPr>
            <w:tcW w:type="dxa" w:w="7862"/>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Approve the Agent Capability Exchange (ACE) pattern — intent-based writes plus governed data-product reads over plain HTTPS — as the sole external surface for agentic consumption, and confirm that the Model Context Protocol (MCP) will not be exposed to customer-operated agents.</w:t>
            </w:r>
          </w:p>
        </w:tc>
      </w:tr>
      <w:tr>
        <w:tc>
          <w:tcPr>
            <w:tcW w:type="dxa" w:w="2218"/>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Supersedes</w:t>
            </w:r>
          </w:p>
        </w:tc>
        <w:tc>
          <w:tcPr>
            <w:tcW w:type="dxa" w:w="7862"/>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Draft 0.4 “Agentic Trading Connectivity Options”</w:t>
            </w:r>
          </w:p>
        </w:tc>
      </w:tr>
      <w:tr>
        <w:tc>
          <w:tcPr>
            <w:tcW w:type="dxa" w:w="2218"/>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Classification</w:t>
            </w:r>
          </w:p>
        </w:tc>
        <w:tc>
          <w:tcPr>
            <w:tcW w:type="dxa" w:w="7862"/>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Internal — Architecture. Contains no customer data.</w:t>
            </w:r>
          </w:p>
        </w:tc>
      </w:tr>
    </w:tbl>
    <w:p>
      <w:pPr>
        <w:spacing w:after="320"/>
      </w:pPr>
    </w:p>
    <w:tbl>
      <w:tblPr>
        <w:tblW w:type="dxa" w:w="10080"/>
        <w:tblBorders>
          <w:top w:val="single" w:color="1E7B96" w:sz="2"/>
          <w:left w:val="single" w:color="1E7B96" w:sz="14"/>
          <w:bottom w:val="single" w:color="1E7B96" w:sz="2"/>
          <w:right w:val="single" w:color="1E7B96" w:sz="2"/>
          <w:insideH w:val="none" w:color="EEF3F8" w:sz="0"/>
          <w:insideV w:val="none" w:color="EEF3F8" w:sz="0"/>
        </w:tblBorders>
      </w:tblPr>
      <w:tblGrid>
        <w:gridCol w:w="10080"/>
      </w:tblGrid>
      <w:tr>
        <w:tc>
          <w:tcPr>
            <w:tcW w:type="dxa" w:w="10080"/>
            <w:shd w:fill="EEF3F8" w:color="auto" w:val="clear"/>
            <w:tcMar>
              <w:top w:type="dxa" w:w="120"/>
              <w:left w:type="dxa" w:w="160"/>
              <w:bottom w:type="dxa" w:w="120"/>
              <w:right w:type="dxa" w:w="160"/>
            </w:tcMar>
          </w:tcPr>
          <w:p>
            <w:pPr>
              <w:keepNext/>
              <w:spacing w:after="60" w:before="20"/>
            </w:pPr>
            <w:r>
              <w:rPr>
                <w:rFonts w:ascii="Calibri" w:cs="Calibri" w:eastAsia="Calibri" w:hAnsi="Calibri"/>
                <w:color w:val="1E7B96"/>
                <w:sz w:val="18"/>
                <w:szCs w:val="18"/>
              </w:rPr>
              <w:t xml:space="preserve">Abstract</w:t>
            </w:r>
          </w:p>
          <w:p>
            <w:pPr>
              <w:spacing w:after="80" w:before="0" w:line="254"/>
              <w:jc w:val="both"/>
            </w:pPr>
            <w:r>
              <w:rPr>
                <w:rFonts w:ascii="Calibri" w:cs="Calibri" w:eastAsia="Calibri" w:hAnsi="Calibri"/>
                <w:color w:val="22303C"/>
                <w:sz w:val="18"/>
                <w:szCs w:val="18"/>
              </w:rPr>
              <w:t xml:space="preserve">Customers increasingly arrive with an agent they already own — a chat client, a coding agent, or a bespoke orchestrator — and expect it to work with their accounts. The prevailing answer in the market is to publish an MCP server in front of existing APIs. This document argues that for a regulated capability provider that answer is structurally wrong: it exports the provider’s internal call surface into an untrusted model’s context, makes the provider’s cost curve a function of somebody else’s agent loop, and produces call-level logs where the business needs intent-level evidence.</w:t>
            </w:r>
          </w:p>
          <w:p>
            <w:pPr>
              <w:spacing w:after="30" w:before="0" w:line="254"/>
              <w:jc w:val="both"/>
            </w:pPr>
            <w:r>
              <w:rPr>
                <w:rFonts w:ascii="Calibri" w:cs="Calibri" w:eastAsia="Calibri" w:hAnsi="Calibri"/>
                <w:color w:val="22303C"/>
                <w:sz w:val="18"/>
                <w:szCs w:val="18"/>
              </w:rPr>
              <w:t xml:space="preserve">Nine alternatives are evaluated against seven weighted criteria. The recommendation is an </w:t>
            </w:r>
            <w:r>
              <w:rPr>
                <w:rFonts w:ascii="Calibri" w:cs="Calibri" w:eastAsia="Calibri" w:hAnsi="Calibri"/>
                <w:b/>
                <w:bCs/>
                <w:color w:val="22303C"/>
                <w:sz w:val="18"/>
                <w:szCs w:val="18"/>
              </w:rPr>
              <w:t xml:space="preserve">Agent Capability Exchange (ACE)</w:t>
            </w:r>
            <w:r>
              <w:rPr>
                <w:rFonts w:ascii="Calibri" w:cs="Calibri" w:eastAsia="Calibri" w:hAnsi="Calibri"/>
                <w:color w:val="22303C"/>
                <w:sz w:val="18"/>
                <w:szCs w:val="18"/>
              </w:rPr>
              <w:t xml:space="preserve">: three stable HTTPS verbs (search, query, submit-intent) in front of a discovery plane, a governed data plane, and an intent plane. Agents describe </w:t>
            </w:r>
            <w:r>
              <w:rPr>
                <w:rFonts w:ascii="Calibri" w:cs="Calibri" w:eastAsia="Calibri" w:hAnsi="Calibri"/>
                <w:b/>
                <w:bCs/>
                <w:color w:val="22303C"/>
                <w:sz w:val="18"/>
                <w:szCs w:val="18"/>
              </w:rPr>
              <w:t xml:space="preserve">what the customer wants</w:t>
            </w:r>
            <w:r>
              <w:rPr>
                <w:rFonts w:ascii="Calibri" w:cs="Calibri" w:eastAsia="Calibri" w:hAnsi="Calibri"/>
                <w:color w:val="22303C"/>
                <w:sz w:val="18"/>
                <w:szCs w:val="18"/>
              </w:rPr>
              <w:t xml:space="preserve">; the provider decides </w:t>
            </w:r>
            <w:r>
              <w:rPr>
                <w:rFonts w:ascii="Calibri" w:cs="Calibri" w:eastAsia="Calibri" w:hAnsi="Calibri"/>
                <w:b/>
                <w:bCs/>
                <w:color w:val="22303C"/>
                <w:sz w:val="18"/>
                <w:szCs w:val="18"/>
              </w:rPr>
              <w:t xml:space="preserve">how</w:t>
            </w:r>
            <w:r>
              <w:rPr>
                <w:rFonts w:ascii="Calibri" w:cs="Calibri" w:eastAsia="Calibri" w:hAnsi="Calibri"/>
                <w:color w:val="22303C"/>
                <w:sz w:val="18"/>
                <w:szCs w:val="18"/>
              </w:rPr>
              <w:t xml:space="preserve"> it happens, inside its own trust boundary, under deterministic pre-trade controls, with a human-signed mandate bound by hash to the exact action and a signed receipt written to an append-only evidence ledger. The pattern is illustrated end-to-end with an equity limit order.</w:t>
            </w:r>
          </w:p>
        </w:tc>
      </w:tr>
    </w:tbl>
    <w:p>
      <w:r>
        <w:br w:type="page"/>
      </w:r>
    </w:p>
    <w:p>
      <w:pPr>
        <w:sectPr>
          <w:pgSz w:w="12240" w:h="15840" w:orient="portrait"/>
          <w:pgMar w:top="1440" w:right="1080" w:bottom="1080" w:left="1080" w:header="708" w:footer="708" w:gutter="0"/>
          <w:pgNumType/>
          <w:docGrid w:linePitch="360"/>
        </w:sectPr>
      </w:pPr>
    </w:p>
    <w:p>
      <w:pPr>
        <w:spacing w:after="160"/>
      </w:pPr>
      <w:r>
        <w:rPr>
          <w:rFonts w:ascii="Calibri Light" w:cs="Calibri Light" w:eastAsia="Calibri Light" w:hAnsi="Calibri Light"/>
          <w:b/>
          <w:bCs/>
          <w:color w:val="1B3A5C"/>
          <w:sz w:val="30"/>
          <w:szCs w:val="30"/>
        </w:rPr>
        <w:t xml:space="preserve">Table of Contents</w:t>
      </w:r>
    </w:p>
    <w:p>
      <w:pPr>
        <w:pBdr>
          <w:bottom w:val="single" w:color="1B3A5C" w:sz="6" w:space="1"/>
        </w:pBdr>
        <w:spacing w:after="200" w:before="40"/>
      </w:pPr>
    </w:p>
    <w:sdt>
      <w:sdtPr>
        <w:alias w:val="Table of Contents"/>
      </w:sdtPr>
      <w:sdtContent>
        <w:p>
          <w:r>
            <w:fldChar w:fldCharType="begin" w:dirty="true"/>
            <w:instrText xml:space="preserve">TOC \h \o "1-3"</w:instrText>
            <w:fldChar w:fldCharType="separate"/>
          </w:r>
        </w:p>
        <w:p>
          <w:r>
            <w:fldChar w:fldCharType="end"/>
          </w:r>
        </w:p>
      </w:sdtContent>
    </w:sdt>
    <w:p>
      <w:pPr>
        <w:spacing w:before="240"/>
      </w:pPr>
      <w:r>
        <w:rPr>
          <w:i/>
          <w:iCs/>
          <w:color w:val="6B7785"/>
          <w:sz w:val="16"/>
          <w:szCs w:val="16"/>
        </w:rPr>
        <w:t xml:space="preserve">If the entries below appear empty, select the table and press F9 (Word) or use Tools › Update › Update All (LibreOffice) to build the field.</w:t>
      </w:r>
    </w:p>
    <w:p>
      <w:r>
        <w:br w:type="page"/>
      </w:r>
    </w:p>
    <w:p>
      <w:pPr>
        <w:pStyle w:val="Heading1"/>
      </w:pPr>
      <w:r>
        <w:rPr>
          <w:rFonts w:ascii="Calibri Light" w:cs="Calibri Light" w:eastAsia="Calibri Light" w:hAnsi="Calibri Light"/>
          <w:color w:val="1B3A5C"/>
          <w:sz w:val="28"/>
          <w:szCs w:val="28"/>
        </w:rPr>
        <w:t xml:space="preserve">1  Executive Summary</w:t>
      </w:r>
    </w:p>
    <w:p>
      <w:pPr>
        <w:spacing w:after="200" w:before="40" w:line="276"/>
        <w:jc w:val="both"/>
      </w:pPr>
      <w:r>
        <w:rPr>
          <w:rFonts w:ascii="Calibri" w:cs="Calibri" w:eastAsia="Calibri" w:hAnsi="Calibri"/>
          <w:color w:val="42566B"/>
          <w:sz w:val="21"/>
          <w:szCs w:val="21"/>
        </w:rPr>
        <w:t xml:space="preserve">A regulated provider can give bring-your-own agents genuine, useful access to its business capabilities without ever exposing a business capability API. Doing so requires inverting the integration: stop shipping callable functions to the model, and start accepting declarative intents from it.</w:t>
      </w:r>
    </w:p>
    <w:p>
      <w:pPr>
        <w:pStyle w:val="Heading2"/>
      </w:pPr>
      <w:r>
        <w:rPr>
          <w:rFonts w:ascii="Calibri Light" w:cs="Calibri Light" w:eastAsia="Calibri Light" w:hAnsi="Calibri Light"/>
          <w:color w:val="1B3A5C"/>
          <w:sz w:val="23"/>
          <w:szCs w:val="23"/>
        </w:rPr>
        <w:t xml:space="preserve">1.1  The problem</w:t>
      </w:r>
    </w:p>
    <w:p>
      <w:pPr>
        <w:keepNext w:val="false"/>
        <w:spacing w:after="130" w:before="0" w:line="268"/>
        <w:jc w:val="both"/>
      </w:pPr>
      <w:r>
        <w:rPr>
          <w:rFonts w:ascii="Calibri" w:cs="Calibri" w:eastAsia="Calibri" w:hAnsi="Calibri"/>
          <w:color w:val="22303C"/>
          <w:sz w:val="20"/>
          <w:szCs w:val="20"/>
        </w:rPr>
        <w:t xml:space="preserve">Business capability APIs — place order, read positions, price an option chain — were designed for two consumers: the provider’s own front ends and a small set of contractually bound partners. Both are deterministic software. Neither improvises. An agent operated by a customer is a third kind of consumer: non-deterministic, remotely controlled, potentially influenced by whatever text it read last, and running on infrastructure the provider does not own, cannot inspect, and cannot patch.</w:t>
      </w:r>
    </w:p>
    <w:p>
      <w:pPr>
        <w:keepNext w:val="false"/>
        <w:spacing w:after="130" w:before="0" w:line="268"/>
        <w:jc w:val="both"/>
      </w:pPr>
      <w:r>
        <w:rPr>
          <w:rFonts w:ascii="Calibri" w:cs="Calibri" w:eastAsia="Calibri" w:hAnsi="Calibri"/>
          <w:color w:val="22303C"/>
          <w:sz w:val="20"/>
          <w:szCs w:val="20"/>
        </w:rPr>
        <w:t xml:space="preserve">The market’s current answer is to wrap the existing API estate in an MCP server and let any MCP-capable client connect. That is fast to ship and interoperates broadly. It also means the provider publishes a machine-readable menu of its internal operations into the context window of a model it does not control, accepts one API call per model decision, and holds the compliance obligation for actions whose only durable record is a function-call log.</w:t>
      </w:r>
    </w:p>
    <w:p>
      <w:pPr>
        <w:pStyle w:val="Heading2"/>
      </w:pPr>
      <w:r>
        <w:rPr>
          <w:rFonts w:ascii="Calibri Light" w:cs="Calibri Light" w:eastAsia="Calibri Light" w:hAnsi="Calibri Light"/>
          <w:color w:val="1B3A5C"/>
          <w:sz w:val="23"/>
          <w:szCs w:val="23"/>
        </w:rPr>
        <w:t xml:space="preserve">1.2  The recommendation</w:t>
      </w:r>
    </w:p>
    <w:p>
      <w:pPr>
        <w:keepNext w:val="false"/>
        <w:spacing w:after="130" w:before="0" w:line="268"/>
        <w:jc w:val="both"/>
      </w:pPr>
      <w:r>
        <w:rPr>
          <w:rFonts w:ascii="Calibri" w:cs="Calibri" w:eastAsia="Calibri" w:hAnsi="Calibri"/>
          <w:color w:val="22303C"/>
          <w:sz w:val="20"/>
          <w:szCs w:val="20"/>
        </w:rPr>
        <w:t xml:space="preserve">Adopt the </w:t>
      </w:r>
      <w:r>
        <w:rPr>
          <w:rFonts w:ascii="Calibri" w:cs="Calibri" w:eastAsia="Calibri" w:hAnsi="Calibri"/>
          <w:b/>
          <w:bCs/>
          <w:color w:val="22303C"/>
          <w:sz w:val="20"/>
          <w:szCs w:val="20"/>
        </w:rPr>
        <w:t xml:space="preserve">Agent Capability Exchange (ACE)</w:t>
      </w:r>
      <w:r>
        <w:rPr>
          <w:rFonts w:ascii="Calibri" w:cs="Calibri" w:eastAsia="Calibri" w:hAnsi="Calibri"/>
          <w:color w:val="22303C"/>
          <w:sz w:val="20"/>
          <w:szCs w:val="20"/>
        </w:rPr>
        <w:t xml:space="preserve">: a provider-operated exchange that exposes exactly three stable verbs over ordinary HTTPS and JSON, protected by OAuth 2.1 with sender-constrained tokens.</w:t>
      </w:r>
    </w:p>
    <w:p>
      <w:pPr>
        <w:pStyle w:val="ListParagraph"/>
        <w:numPr>
          <w:ilvl w:val="0"/>
          <w:numId w:val="2"/>
        </w:numPr>
        <w:spacing w:after="66" w:before="24" w:line="262"/>
        <w:jc w:val="both"/>
      </w:pPr>
      <w:r>
        <w:rPr>
          <w:rFonts w:ascii="Calibri" w:cs="Calibri" w:eastAsia="Calibri" w:hAnsi="Calibri"/>
          <w:b/>
          <w:bCs/>
          <w:color w:val="22303C"/>
          <w:sz w:val="20"/>
          <w:szCs w:val="20"/>
        </w:rPr>
        <w:t xml:space="preserve">`POST /v1/catalog:search`</w:t>
      </w:r>
      <w:r>
        <w:rPr>
          <w:rFonts w:ascii="Calibri" w:cs="Calibri" w:eastAsia="Calibri" w:hAnsi="Calibri"/>
          <w:color w:val="22303C"/>
          <w:sz w:val="20"/>
          <w:szCs w:val="20"/>
        </w:rPr>
        <w:t xml:space="preserve"> — semantic discovery of capabilities and data products. Fixed, small context cost regardless of estate size. Returns identifiers and argument grammars, never internal URLs.</w:t>
      </w:r>
    </w:p>
    <w:p>
      <w:pPr>
        <w:pStyle w:val="ListParagraph"/>
        <w:numPr>
          <w:ilvl w:val="0"/>
          <w:numId w:val="2"/>
        </w:numPr>
        <w:spacing w:after="66" w:before="24" w:line="262"/>
        <w:jc w:val="both"/>
      </w:pPr>
      <w:r>
        <w:rPr>
          <w:rFonts w:ascii="Calibri" w:cs="Calibri" w:eastAsia="Calibri" w:hAnsi="Calibri"/>
          <w:b/>
          <w:bCs/>
          <w:color w:val="22303C"/>
          <w:sz w:val="20"/>
          <w:szCs w:val="20"/>
        </w:rPr>
        <w:t xml:space="preserve">`POST /v1/data-products/{id}:query`</w:t>
      </w:r>
      <w:r>
        <w:rPr>
          <w:rFonts w:ascii="Calibri" w:cs="Calibri" w:eastAsia="Calibri" w:hAnsi="Calibri"/>
          <w:color w:val="22303C"/>
          <w:sz w:val="20"/>
          <w:szCs w:val="20"/>
        </w:rPr>
        <w:t xml:space="preserve"> — parameterised reads against governed projections with field-, row- and purpose-level policy, redaction, row caps and per-purpose egress budgets. No query language, no raw entities, no pagination into unauthorised fields.</w:t>
      </w:r>
    </w:p>
    <w:p>
      <w:pPr>
        <w:pStyle w:val="ListParagraph"/>
        <w:numPr>
          <w:ilvl w:val="0"/>
          <w:numId w:val="2"/>
        </w:numPr>
        <w:spacing w:after="66" w:before="24" w:line="262"/>
        <w:jc w:val="both"/>
      </w:pPr>
      <w:r>
        <w:rPr>
          <w:rFonts w:ascii="Calibri" w:cs="Calibri" w:eastAsia="Calibri" w:hAnsi="Calibri"/>
          <w:b/>
          <w:bCs/>
          <w:color w:val="22303C"/>
          <w:sz w:val="20"/>
          <w:szCs w:val="20"/>
        </w:rPr>
        <w:t xml:space="preserve">`POST /v1/intents`</w:t>
      </w:r>
      <w:r>
        <w:rPr>
          <w:rFonts w:ascii="Calibri" w:cs="Calibri" w:eastAsia="Calibri" w:hAnsi="Calibri"/>
          <w:color w:val="22303C"/>
          <w:sz w:val="20"/>
          <w:szCs w:val="20"/>
        </w:rPr>
        <w:t xml:space="preserve"> — declarative submission of a desired outcome. The exchange validates and simulates it deterministically, obtains a human-signed mandate bound by hash to that exact intent, executes it inside the trust boundary, and returns a signed receipt.</w:t>
      </w:r>
    </w:p>
    <w:p>
      <w:pPr>
        <w:keepNext w:val="false"/>
        <w:spacing w:after="130" w:before="0" w:line="268"/>
        <w:jc w:val="both"/>
      </w:pPr>
      <w:r>
        <w:rPr>
          <w:rFonts w:ascii="Calibri" w:cs="Calibri" w:eastAsia="Calibri" w:hAnsi="Calibri"/>
          <w:color w:val="22303C"/>
          <w:sz w:val="20"/>
          <w:szCs w:val="20"/>
        </w:rPr>
        <w:t xml:space="preserve">The agent never receives a business-capability endpoint, an API key, a database credential, or a network route to the internal domain. It receives one base URL, one OAuth client, and a signed capability manifest of roughly 1.5 KB. Every write is a pre-validated, pre-priced, human-authorised, idempotent, hash-chained transaction. Removing the exchange removes all external access; there is no second door.</w:t>
      </w:r>
    </w:p>
    <w:p>
      <w:pPr>
        <w:pStyle w:val="Heading2"/>
      </w:pPr>
      <w:r>
        <w:rPr>
          <w:rFonts w:ascii="Calibri Light" w:cs="Calibri Light" w:eastAsia="Calibri Light" w:hAnsi="Calibri Light"/>
          <w:color w:val="1B3A5C"/>
          <w:sz w:val="23"/>
          <w:szCs w:val="23"/>
        </w:rPr>
        <w:t xml:space="preserve">1.3  Why this is the right trade</w:t>
      </w:r>
    </w:p>
    <w:tbl>
      <w:tblPr>
        <w:tblW w:type="dxa" w:w="10080"/>
        <w:tblBorders>
          <w:top w:val="single" w:color="1B3A5C" w:sz="4"/>
          <w:left w:val="none" w:color="FFFFFF" w:sz="0"/>
          <w:bottom w:val="single" w:color="1B3A5C" w:sz="4"/>
          <w:right w:val="none" w:color="FFFFFF" w:sz="0"/>
          <w:insideH w:val="single" w:color="C7D0DA" w:sz="2"/>
          <w:insideV w:val="single" w:color="C7D0DA" w:sz="2"/>
        </w:tblBorders>
      </w:tblPr>
      <w:tblGrid>
        <w:gridCol w:w="3024"/>
        <w:gridCol w:w="7056"/>
      </w:tblGrid>
      <w:tr>
        <w:trPr>
          <w:tblHeader/>
        </w:trPr>
        <w:tc>
          <w:tcPr>
            <w:tcW w:type="dxa" w:w="3024"/>
            <w:shd w:fill="1B3A5C"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FFFFFF"/>
                <w:sz w:val="17"/>
                <w:szCs w:val="17"/>
              </w:rPr>
              <w:t xml:space="preserve">Question the board will ask</w:t>
            </w:r>
          </w:p>
        </w:tc>
        <w:tc>
          <w:tcPr>
            <w:tcW w:type="dxa" w:w="7056"/>
            <w:shd w:fill="1B3A5C"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FFFFFF"/>
                <w:sz w:val="17"/>
                <w:szCs w:val="17"/>
              </w:rPr>
              <w:t xml:space="preserve">Answer this architecture gives</w:t>
            </w:r>
          </w:p>
        </w:tc>
      </w:tr>
      <w:tr>
        <w:tc>
          <w:tcPr>
            <w:tcW w:type="dxa" w:w="3024"/>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Can a customer use their own agent, with no plug-in from us?</w:t>
            </w:r>
          </w:p>
        </w:tc>
        <w:tc>
          <w:tcPr>
            <w:tcW w:type="dxa" w:w="7056"/>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Yes. Three documented HTTPS endpoints and an OpenAPI description work from any runtime — Claude, ChatGPT, Cursor, LangGraph, a shell script — with no provider-supplied client and no protocol adoption.</w:t>
            </w:r>
          </w:p>
        </w:tc>
      </w:tr>
      <w:tr>
        <w:tc>
          <w:tcPr>
            <w:tcW w:type="dxa" w:w="3024"/>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What is the worst thing a fully compromised agent can do?</w:t>
            </w:r>
          </w:p>
        </w:tc>
        <w:tc>
          <w:tcPr>
            <w:tcW w:type="dxa" w:w="7056"/>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Submit intents that fail deterministic validation, and read data already inside the customer’s own authorised projection, up to a metered egress budget. It cannot exceed a per-action cap, trade an instrument outside the mandate, reach a second account, or execute anything the customer did not sign.</w:t>
            </w:r>
          </w:p>
        </w:tc>
      </w:tr>
      <w:tr>
        <w:tc>
          <w:tcPr>
            <w:tcW w:type="dxa" w:w="3024"/>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How do we supervise and prove what happened?</w:t>
            </w:r>
          </w:p>
        </w:tc>
        <w:tc>
          <w:tcPr>
            <w:tcW w:type="dxa" w:w="7056"/>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Every action is one intent object, one policy decision, one mandate and one receipt, hash-chained into a WORM ledger. Supervision reads business events, not reconstructed function-call logs.</w:t>
            </w:r>
          </w:p>
        </w:tc>
      </w:tr>
      <w:tr>
        <w:tc>
          <w:tcPr>
            <w:tcW w:type="dxa" w:w="3024"/>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What does it cost us as volumes grow?</w:t>
            </w:r>
          </w:p>
        </w:tc>
        <w:tc>
          <w:tcPr>
            <w:tcW w:type="dxa" w:w="7056"/>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Cost tracks approved business outcomes, not the agent’s reasoning loop. The illustrative model in §3.5 shows provider-borne run cost falling roughly 65% against an MCP endpoint at the same customer volume, and agent-side context overhead falling by about 99%.</w:t>
            </w:r>
          </w:p>
        </w:tc>
      </w:tr>
      <w:tr>
        <w:tc>
          <w:tcPr>
            <w:tcW w:type="dxa" w:w="3024"/>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Are we betting on an unstable standard?</w:t>
            </w:r>
          </w:p>
        </w:tc>
        <w:tc>
          <w:tcPr>
            <w:tcW w:type="dxa" w:w="7056"/>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No. The design is built from ratified RFCs (OAuth 2.1, RFC 9396, RFC 8693, RFC 9449, RFC 9421) and plain REST. Emerging agent protocols are treated as optional adapters at the edge, never as load-bearing.</w:t>
            </w:r>
          </w:p>
        </w:tc>
      </w:tr>
      <w:tr>
        <w:tc>
          <w:tcPr>
            <w:tcW w:type="dxa" w:w="3024"/>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What does it not fix?</w:t>
            </w:r>
          </w:p>
        </w:tc>
        <w:tc>
          <w:tcPr>
            <w:tcW w:type="dxa" w:w="7056"/>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Prompt injection. An agent can still be hijacked. This architecture makes the consequence of a hijack bounded, visible and reversible instead of catastrophic — that is the achievable goal, and §3.4 says so plainly.</w:t>
            </w:r>
          </w:p>
        </w:tc>
      </w:tr>
    </w:tbl>
    <w:p>
      <w:pPr>
        <w:pStyle w:val="Heading2"/>
      </w:pPr>
      <w:r>
        <w:rPr>
          <w:rFonts w:ascii="Calibri Light" w:cs="Calibri Light" w:eastAsia="Calibri Light" w:hAnsi="Calibri Light"/>
          <w:color w:val="1B3A5C"/>
          <w:sz w:val="23"/>
          <w:szCs w:val="23"/>
        </w:rPr>
        <w:t xml:space="preserve">1.4  Scope of the decision</w:t>
      </w:r>
    </w:p>
    <w:p>
      <w:pPr>
        <w:keepNext w:val="false"/>
        <w:spacing w:after="130" w:before="0" w:line="268"/>
        <w:jc w:val="both"/>
      </w:pPr>
      <w:r>
        <w:rPr>
          <w:rFonts w:ascii="Calibri" w:cs="Calibri" w:eastAsia="Calibri" w:hAnsi="Calibri"/>
          <w:color w:val="22303C"/>
          <w:sz w:val="20"/>
          <w:szCs w:val="20"/>
        </w:rPr>
        <w:t xml:space="preserve">This document covers the external interface contract, trust model, identity and delegation model, data exposure model, intent and mandate model, evidence model, and the cost and control rationale. It uses a retail brokerage as the worked domain because trading is the hardest case: irreversible, regulated, time-sensitive, and financially unbounded if controls fail. The pattern generalises directly to payments, insurance servicing, healthcare administration, logistics and any other domain where an agent may cause an effect in the real world.</w:t>
      </w:r>
    </w:p>
    <w:p>
      <w:r>
        <w:br w:type="page"/>
      </w:r>
    </w:p>
    <w:p>
      <w:pPr>
        <w:pStyle w:val="Heading1"/>
      </w:pPr>
      <w:r>
        <w:rPr>
          <w:rFonts w:ascii="Calibri Light" w:cs="Calibri Light" w:eastAsia="Calibri Light" w:hAnsi="Calibri Light"/>
          <w:color w:val="1B3A5C"/>
          <w:sz w:val="28"/>
          <w:szCs w:val="28"/>
        </w:rPr>
        <w:t xml:space="preserve">2  Background and Problem Statement</w:t>
      </w:r>
    </w:p>
    <w:p>
      <w:pPr>
        <w:pStyle w:val="Heading2"/>
      </w:pPr>
      <w:r>
        <w:rPr>
          <w:rFonts w:ascii="Calibri Light" w:cs="Calibri Light" w:eastAsia="Calibri Light" w:hAnsi="Calibri Light"/>
          <w:color w:val="1B3A5C"/>
          <w:sz w:val="23"/>
          <w:szCs w:val="23"/>
        </w:rPr>
        <w:t xml:space="preserve">2.1  What changed</w:t>
      </w:r>
    </w:p>
    <w:p>
      <w:pPr>
        <w:keepNext w:val="false"/>
        <w:spacing w:after="130" w:before="0" w:line="268"/>
        <w:jc w:val="both"/>
      </w:pPr>
      <w:r>
        <w:rPr>
          <w:rFonts w:ascii="Calibri" w:cs="Calibri" w:eastAsia="Calibri" w:hAnsi="Calibri"/>
          <w:color w:val="22303C"/>
          <w:sz w:val="20"/>
          <w:szCs w:val="20"/>
        </w:rPr>
        <w:t xml:space="preserve">Until recently, “AI integration” meant the provider built the assistant. The provider chose the model, wrote the prompts, owned the orchestration, and shipped it inside its own application. Every hop was inside one trust boundary.</w:t>
      </w:r>
    </w:p>
    <w:p>
      <w:pPr>
        <w:keepNext w:val="false"/>
        <w:spacing w:after="130" w:before="0" w:line="268"/>
        <w:jc w:val="both"/>
      </w:pPr>
      <w:r>
        <w:rPr>
          <w:rFonts w:ascii="Calibri" w:cs="Calibri" w:eastAsia="Calibri" w:hAnsi="Calibri"/>
          <w:color w:val="22303C"/>
          <w:sz w:val="20"/>
          <w:szCs w:val="20"/>
        </w:rPr>
        <w:t xml:space="preserve">That assumption no longer holds. Customers now own general-purpose agents that they use across their whole digital life, and they expect those agents to reach into their accounts. The provider is no longer the assistant vendor; it is a </w:t>
      </w:r>
      <w:r>
        <w:rPr>
          <w:rFonts w:ascii="Calibri" w:cs="Calibri" w:eastAsia="Calibri" w:hAnsi="Calibri"/>
          <w:b/>
          <w:bCs/>
          <w:color w:val="22303C"/>
          <w:sz w:val="20"/>
          <w:szCs w:val="20"/>
        </w:rPr>
        <w:t xml:space="preserve">capability supplier to somebody else’s agent</w:t>
      </w:r>
      <w:r>
        <w:rPr>
          <w:rFonts w:ascii="Calibri" w:cs="Calibri" w:eastAsia="Calibri" w:hAnsi="Calibri"/>
          <w:color w:val="22303C"/>
          <w:sz w:val="20"/>
          <w:szCs w:val="20"/>
        </w:rPr>
        <w:t xml:space="preserve">. Three consequences follow, and they drive every decision in this document:</w:t>
      </w:r>
    </w:p>
    <w:p>
      <w:pPr>
        <w:pStyle w:val="ListParagraph"/>
        <w:numPr>
          <w:ilvl w:val="0"/>
          <w:numId w:val="3"/>
        </w:numPr>
        <w:spacing w:after="66" w:before="24" w:line="262"/>
        <w:jc w:val="both"/>
      </w:pPr>
      <w:r>
        <w:rPr>
          <w:rFonts w:ascii="Calibri" w:cs="Calibri" w:eastAsia="Calibri" w:hAnsi="Calibri"/>
          <w:b/>
          <w:bCs/>
          <w:color w:val="22303C"/>
          <w:sz w:val="20"/>
          <w:szCs w:val="20"/>
        </w:rPr>
        <w:t xml:space="preserve">The consumer is non-deterministic.</w:t>
      </w:r>
      <w:r>
        <w:rPr>
          <w:rFonts w:ascii="Calibri" w:cs="Calibri" w:eastAsia="Calibri" w:hAnsi="Calibri"/>
          <w:color w:val="22303C"/>
          <w:sz w:val="20"/>
          <w:szCs w:val="20"/>
        </w:rPr>
        <w:t xml:space="preserve"> The same request can produce different call sequences on different days, on different models, at different context lengths. Interface contracts must therefore constrain outcomes, not sequences.</w:t>
      </w:r>
    </w:p>
    <w:p>
      <w:pPr>
        <w:pStyle w:val="ListParagraph"/>
        <w:numPr>
          <w:ilvl w:val="0"/>
          <w:numId w:val="3"/>
        </w:numPr>
        <w:spacing w:after="66" w:before="24" w:line="262"/>
        <w:jc w:val="both"/>
      </w:pPr>
      <w:r>
        <w:rPr>
          <w:rFonts w:ascii="Calibri" w:cs="Calibri" w:eastAsia="Calibri" w:hAnsi="Calibri"/>
          <w:b/>
          <w:bCs/>
          <w:color w:val="22303C"/>
          <w:sz w:val="20"/>
          <w:szCs w:val="20"/>
        </w:rPr>
        <w:t xml:space="preserve">The consumer is remotely influenced.</w:t>
      </w:r>
      <w:r>
        <w:rPr>
          <w:rFonts w:ascii="Calibri" w:cs="Calibri" w:eastAsia="Calibri" w:hAnsi="Calibri"/>
          <w:color w:val="22303C"/>
          <w:sz w:val="20"/>
          <w:szCs w:val="20"/>
        </w:rPr>
        <w:t xml:space="preserve"> An agent reads web pages, emails, repositories and documents. Any of those can contain instructions. Treating agent input as authenticated user intent is a category error.</w:t>
      </w:r>
    </w:p>
    <w:p>
      <w:pPr>
        <w:pStyle w:val="ListParagraph"/>
        <w:numPr>
          <w:ilvl w:val="0"/>
          <w:numId w:val="3"/>
        </w:numPr>
        <w:spacing w:after="66" w:before="24" w:line="262"/>
        <w:jc w:val="both"/>
      </w:pPr>
      <w:r>
        <w:rPr>
          <w:rFonts w:ascii="Calibri" w:cs="Calibri" w:eastAsia="Calibri" w:hAnsi="Calibri"/>
          <w:b/>
          <w:bCs/>
          <w:color w:val="22303C"/>
          <w:sz w:val="20"/>
          <w:szCs w:val="20"/>
        </w:rPr>
        <w:t xml:space="preserve">The consumer is unattributable at the code level.</w:t>
      </w:r>
      <w:r>
        <w:rPr>
          <w:rFonts w:ascii="Calibri" w:cs="Calibri" w:eastAsia="Calibri" w:hAnsi="Calibri"/>
          <w:color w:val="22303C"/>
          <w:sz w:val="20"/>
          <w:szCs w:val="20"/>
        </w:rPr>
        <w:t xml:space="preserve"> The provider cannot pin a version, inspect the orchestration, or guarantee that what the user saw is what the agent sent. Only the provider’s own side of the boundary can be trusted to enforce anything.</w:t>
      </w:r>
    </w:p>
    <w:p>
      <w:pPr>
        <w:pStyle w:val="Heading2"/>
      </w:pPr>
      <w:r>
        <w:rPr>
          <w:rFonts w:ascii="Calibri Light" w:cs="Calibri Light" w:eastAsia="Calibri Light" w:hAnsi="Calibri Light"/>
          <w:color w:val="1B3A5C"/>
          <w:sz w:val="23"/>
          <w:szCs w:val="23"/>
        </w:rPr>
        <w:t xml:space="preserve">2.2  What a BYO-agent consumer actually needs</w:t>
      </w:r>
    </w:p>
    <w:p>
      <w:pPr>
        <w:keepNext w:val="false"/>
        <w:spacing w:after="130" w:before="0" w:line="268"/>
        <w:jc w:val="both"/>
      </w:pPr>
      <w:r>
        <w:rPr>
          <w:rFonts w:ascii="Calibri" w:cs="Calibri" w:eastAsia="Calibri" w:hAnsi="Calibri"/>
          <w:color w:val="22303C"/>
          <w:sz w:val="20"/>
          <w:szCs w:val="20"/>
        </w:rPr>
        <w:t xml:space="preserve">Stripped of protocol fashion, an external agent needs four things and nothing more. The architecture in §5 exists to supply exactly these four, and to supply nothing else.</w:t>
      </w:r>
    </w:p>
    <w:tbl>
      <w:tblPr>
        <w:tblW w:type="dxa" w:w="10080"/>
        <w:tblBorders>
          <w:top w:val="single" w:color="1B3A5C" w:sz="4"/>
          <w:left w:val="none" w:color="FFFFFF" w:sz="0"/>
          <w:bottom w:val="single" w:color="1B3A5C" w:sz="4"/>
          <w:right w:val="none" w:color="FFFFFF" w:sz="0"/>
          <w:insideH w:val="single" w:color="C7D0DA" w:sz="2"/>
          <w:insideV w:val="single" w:color="C7D0DA" w:sz="2"/>
        </w:tblBorders>
      </w:tblPr>
      <w:tblGrid>
        <w:gridCol w:w="1210"/>
        <w:gridCol w:w="5040"/>
        <w:gridCol w:w="3830"/>
      </w:tblGrid>
      <w:tr>
        <w:trPr>
          <w:tblHeader/>
        </w:trPr>
        <w:tc>
          <w:tcPr>
            <w:tcW w:type="dxa" w:w="1210"/>
            <w:shd w:fill="1B3A5C"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FFFFFF"/>
                <w:sz w:val="17"/>
                <w:szCs w:val="17"/>
              </w:rPr>
              <w:t xml:space="preserve">Need</w:t>
            </w:r>
          </w:p>
        </w:tc>
        <w:tc>
          <w:tcPr>
            <w:tcW w:type="dxa" w:w="5040"/>
            <w:shd w:fill="1B3A5C"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FFFFFF"/>
                <w:sz w:val="17"/>
                <w:szCs w:val="17"/>
              </w:rPr>
              <w:t xml:space="preserve">What the agent must be able to do</w:t>
            </w:r>
          </w:p>
        </w:tc>
        <w:tc>
          <w:tcPr>
            <w:tcW w:type="dxa" w:w="3830"/>
            <w:shd w:fill="1B3A5C"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FFFFFF"/>
                <w:sz w:val="17"/>
                <w:szCs w:val="17"/>
              </w:rPr>
              <w:t xml:space="preserve">What it must never require</w:t>
            </w:r>
          </w:p>
        </w:tc>
      </w:tr>
      <w:tr>
        <w:tc>
          <w:tcPr>
            <w:tcW w:type="dxa" w:w="1210"/>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Connect</w:t>
            </w:r>
          </w:p>
        </w:tc>
        <w:tc>
          <w:tcPr>
            <w:tcW w:type="dxa" w:w="5040"/>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Authenticate as itself, acting for a named human, with a bounded grant the human can inspect and revoke.</w:t>
            </w:r>
          </w:p>
        </w:tc>
        <w:tc>
          <w:tcPr>
            <w:tcW w:type="dxa" w:w="3830"/>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A shared secret, a copy of the user’s session, or a credential that also works elsewhere.</w:t>
            </w:r>
          </w:p>
        </w:tc>
      </w:tr>
      <w:tr>
        <w:tc>
          <w:tcPr>
            <w:tcW w:type="dxa" w:w="1210"/>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Discover</w:t>
            </w:r>
          </w:p>
        </w:tc>
        <w:tc>
          <w:tcPr>
            <w:tcW w:type="dxa" w:w="5040"/>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Find out which capabilities and data exist, what arguments they take, and what rules apply — at a context cost that does not scale with the size of the estate.</w:t>
            </w:r>
          </w:p>
        </w:tc>
        <w:tc>
          <w:tcPr>
            <w:tcW w:type="dxa" w:w="3830"/>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A dump of every operation the provider owns.</w:t>
            </w:r>
          </w:p>
        </w:tc>
      </w:tr>
      <w:tr>
        <w:tc>
          <w:tcPr>
            <w:tcW w:type="dxa" w:w="1210"/>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Read</w:t>
            </w:r>
          </w:p>
        </w:tc>
        <w:tc>
          <w:tcPr>
            <w:tcW w:type="dxa" w:w="5040"/>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Obtain the specific facts needed to reason — balances, positions, quotes — shaped by policy.</w:t>
            </w:r>
          </w:p>
        </w:tc>
        <w:tc>
          <w:tcPr>
            <w:tcW w:type="dxa" w:w="3830"/>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Direct query access to systems of record or unfiltered entity payloads.</w:t>
            </w:r>
          </w:p>
        </w:tc>
      </w:tr>
      <w:tr>
        <w:tc>
          <w:tcPr>
            <w:tcW w:type="dxa" w:w="1210"/>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Act</w:t>
            </w:r>
          </w:p>
        </w:tc>
        <w:tc>
          <w:tcPr>
            <w:tcW w:type="dxa" w:w="5040"/>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Cause a specific, priced, pre-validated business outcome and receive a durable receipt.</w:t>
            </w:r>
          </w:p>
        </w:tc>
        <w:tc>
          <w:tcPr>
            <w:tcW w:type="dxa" w:w="3830"/>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The ability to call the same primitives the provider’s own back office calls.</w:t>
            </w:r>
          </w:p>
        </w:tc>
      </w:tr>
    </w:tbl>
    <w:p>
      <w:pPr>
        <w:pStyle w:val="Heading2"/>
      </w:pPr>
      <w:r>
        <w:rPr>
          <w:rFonts w:ascii="Calibri Light" w:cs="Calibri Light" w:eastAsia="Calibri Light" w:hAnsi="Calibri Light"/>
          <w:color w:val="1B3A5C"/>
          <w:sz w:val="23"/>
          <w:szCs w:val="23"/>
        </w:rPr>
        <w:t xml:space="preserve">2.3  Reference point: how the market does this today</w:t>
      </w:r>
    </w:p>
    <w:p>
      <w:pPr>
        <w:keepNext w:val="false"/>
        <w:spacing w:after="130" w:before="0" w:line="268"/>
        <w:jc w:val="both"/>
      </w:pPr>
      <w:r>
        <w:rPr>
          <w:rFonts w:ascii="Calibri" w:cs="Calibri" w:eastAsia="Calibri" w:hAnsi="Calibri"/>
          <w:color w:val="22303C"/>
          <w:sz w:val="20"/>
          <w:szCs w:val="20"/>
        </w:rPr>
        <w:t xml:space="preserve">The clearest public example of BYO-agent access in the brokerage domain is Robinhood’s agentic trading product. Its published design is worth studying closely, because several of its ideas are excellent and are retained here, while its transport choice is precisely what this document rejects.</w:t>
      </w:r>
    </w:p>
    <w:p>
      <w:pPr>
        <w:keepNext w:val="false"/>
        <w:spacing w:after="130" w:before="0" w:line="268"/>
        <w:jc w:val="both"/>
      </w:pPr>
      <w:r>
        <w:rPr>
          <w:rFonts w:ascii="Calibri" w:cs="Calibri" w:eastAsia="Calibri" w:hAnsi="Calibri"/>
          <w:color w:val="22303C"/>
          <w:sz w:val="20"/>
          <w:szCs w:val="20"/>
        </w:rPr>
        <w:t xml:space="preserve">The mechanism is a hosted MCP endpoint at a single URL. The customer points any MCP-capable client at it — the documentation gives setup steps for Claude Code, Claude Desktop, ChatGPT, Codex, Codex CLI, Cursor and Grok — authenticates, and is then prompted to open a dedicated “Agentic” brokerage account. The published catalogue exposes </w:t>
      </w:r>
      <w:r>
        <w:rPr>
          <w:rFonts w:ascii="Calibri" w:cs="Calibri" w:eastAsia="Calibri" w:hAnsi="Calibri"/>
          <w:b/>
          <w:bCs/>
          <w:color w:val="22303C"/>
          <w:sz w:val="20"/>
          <w:szCs w:val="20"/>
        </w:rPr>
        <w:t xml:space="preserve">44 tools</w:t>
      </w:r>
      <w:r>
        <w:rPr>
          <w:rFonts w:ascii="Calibri" w:cs="Calibri" w:eastAsia="Calibri" w:hAnsi="Calibri"/>
          <w:color w:val="22303C"/>
          <w:sz w:val="20"/>
          <w:szCs w:val="20"/>
        </w:rPr>
        <w:t xml:space="preserve"> across six families: account and portfolio (4), watchlists (12), market data (7), equities (7), options (9) and scanners (5). Ideas worth keeping:</w:t>
      </w:r>
    </w:p>
    <w:p>
      <w:pPr>
        <w:pStyle w:val="ListParagraph"/>
        <w:numPr>
          <w:ilvl w:val="0"/>
          <w:numId w:val="4"/>
        </w:numPr>
        <w:spacing w:after="66" w:before="24" w:line="262"/>
        <w:jc w:val="both"/>
      </w:pPr>
      <w:r>
        <w:rPr>
          <w:rFonts w:ascii="Calibri" w:cs="Calibri" w:eastAsia="Calibri" w:hAnsi="Calibri"/>
          <w:b/>
          <w:bCs/>
          <w:color w:val="22303C"/>
          <w:sz w:val="20"/>
          <w:szCs w:val="20"/>
        </w:rPr>
        <w:t xml:space="preserve">A segregated account as a blast-radius container.</w:t>
      </w:r>
      <w:r>
        <w:rPr>
          <w:rFonts w:ascii="Calibri" w:cs="Calibri" w:eastAsia="Calibri" w:hAnsi="Calibri"/>
          <w:color w:val="22303C"/>
          <w:sz w:val="20"/>
          <w:szCs w:val="20"/>
        </w:rPr>
        <w:t xml:space="preserve"> Trading authority is confined to a dedicated agentic account, separate from the customer’s primary account. This is the single most effective control in the design and is adopted here as a first-class requirement.</w:t>
      </w:r>
    </w:p>
    <w:p>
      <w:pPr>
        <w:pStyle w:val="ListParagraph"/>
        <w:numPr>
          <w:ilvl w:val="0"/>
          <w:numId w:val="4"/>
        </w:numPr>
        <w:spacing w:after="66" w:before="24" w:line="262"/>
        <w:jc w:val="both"/>
      </w:pPr>
      <w:r>
        <w:rPr>
          <w:rFonts w:ascii="Calibri" w:cs="Calibri" w:eastAsia="Calibri" w:hAnsi="Calibri"/>
          <w:b/>
          <w:bCs/>
          <w:color w:val="22303C"/>
          <w:sz w:val="20"/>
          <w:szCs w:val="20"/>
        </w:rPr>
        <w:t xml:space="preserve">Separation of read breadth from write breadth.</w:t>
      </w:r>
      <w:r>
        <w:rPr>
          <w:rFonts w:ascii="Calibri" w:cs="Calibri" w:eastAsia="Calibri" w:hAnsi="Calibri"/>
          <w:color w:val="22303C"/>
          <w:sz w:val="20"/>
          <w:szCs w:val="20"/>
        </w:rPr>
        <w:t xml:space="preserve"> Read scope spans the customer’s accounts; write authority is confined to one. The asymmetry is deliberate and correct in direction.</w:t>
      </w:r>
    </w:p>
    <w:p>
      <w:pPr>
        <w:pStyle w:val="ListParagraph"/>
        <w:numPr>
          <w:ilvl w:val="0"/>
          <w:numId w:val="4"/>
        </w:numPr>
        <w:spacing w:after="66" w:before="24" w:line="262"/>
        <w:jc w:val="both"/>
      </w:pPr>
      <w:r>
        <w:rPr>
          <w:rFonts w:ascii="Calibri" w:cs="Calibri" w:eastAsia="Calibri" w:hAnsi="Calibri"/>
          <w:b/>
          <w:bCs/>
          <w:color w:val="22303C"/>
          <w:sz w:val="20"/>
          <w:szCs w:val="20"/>
        </w:rPr>
        <w:t xml:space="preserve">Simulate before commit.</w:t>
      </w:r>
      <w:r>
        <w:rPr>
          <w:rFonts w:ascii="Calibri" w:cs="Calibri" w:eastAsia="Calibri" w:hAnsi="Calibri"/>
          <w:color w:val="22303C"/>
          <w:sz w:val="20"/>
          <w:szCs w:val="20"/>
        </w:rPr>
        <w:t xml:space="preserve"> Dedicated review operations return pre-trade warnings before an order is placed, which is the seed of the deterministic validation-and-simulation step in §5.8.3.</w:t>
      </w:r>
    </w:p>
    <w:p>
      <w:pPr>
        <w:pStyle w:val="ListParagraph"/>
        <w:numPr>
          <w:ilvl w:val="0"/>
          <w:numId w:val="4"/>
        </w:numPr>
        <w:spacing w:after="66" w:before="24" w:line="262"/>
        <w:jc w:val="both"/>
      </w:pPr>
      <w:r>
        <w:rPr>
          <w:rFonts w:ascii="Calibri" w:cs="Calibri" w:eastAsia="Calibri" w:hAnsi="Calibri"/>
          <w:b/>
          <w:bCs/>
          <w:color w:val="22303C"/>
          <w:sz w:val="20"/>
          <w:szCs w:val="20"/>
        </w:rPr>
        <w:t xml:space="preserve">Explicit accountability language.</w:t>
      </w:r>
      <w:r>
        <w:rPr>
          <w:rFonts w:ascii="Calibri" w:cs="Calibri" w:eastAsia="Calibri" w:hAnsi="Calibri"/>
          <w:color w:val="22303C"/>
          <w:sz w:val="20"/>
          <w:szCs w:val="20"/>
        </w:rPr>
        <w:t xml:space="preserve"> The customer remains responsible for the agent’s trades, and unattended modes are disclosed as such. Honest, and legally necessary.</w:t>
      </w:r>
    </w:p>
    <w:p>
      <w:pPr>
        <w:keepNext w:val="false"/>
        <w:spacing w:after="130" w:before="0" w:line="268"/>
        <w:jc w:val="both"/>
      </w:pPr>
      <w:r>
        <w:rPr>
          <w:rFonts w:ascii="Calibri" w:cs="Calibri" w:eastAsia="Calibri" w:hAnsi="Calibri"/>
          <w:color w:val="22303C"/>
          <w:sz w:val="20"/>
          <w:szCs w:val="20"/>
        </w:rPr>
        <w:t xml:space="preserve">The problems are equally instructive, and they are architectural rather than incidental. Read scope is coarse: the published disclosure states that a connected agent obtains read access to all of the customer’s accounts including account numbers, all position and balance detail, all transaction and order history, and all watchlists and scans. Forty-four tool schemas enter the model’s context before the customer has said anything. Automation intelligence lives in the agent — a rule such as “buy $100 every time the price drops 2%” is evaluated by the customer’s agent, off the provider’s premises, which means the provider can neither supervise the strategy nor prove what triggered an order. And the durable artefact of a trade is a tool invocation, not a signed statement of what the human authorised.</w:t>
      </w:r>
    </w:p>
    <w:tbl>
      <w:tblPr>
        <w:tblW w:type="dxa" w:w="10080"/>
        <w:tblBorders>
          <w:top w:val="single" w:color="1E7B96" w:sz="2"/>
          <w:left w:val="single" w:color="1E7B96" w:sz="14"/>
          <w:bottom w:val="single" w:color="1E7B96" w:sz="2"/>
          <w:right w:val="single" w:color="1E7B96" w:sz="2"/>
          <w:insideH w:val="none" w:color="EEF3F8" w:sz="0"/>
          <w:insideV w:val="none" w:color="EEF3F8" w:sz="0"/>
        </w:tblBorders>
      </w:tblPr>
      <w:tblGrid>
        <w:gridCol w:w="10080"/>
      </w:tblGrid>
      <w:tr>
        <w:tc>
          <w:tcPr>
            <w:tcW w:type="dxa" w:w="10080"/>
            <w:shd w:fill="EEF3F8" w:color="auto" w:val="clear"/>
            <w:tcMar>
              <w:top w:type="dxa" w:w="120"/>
              <w:left w:type="dxa" w:w="160"/>
              <w:bottom w:type="dxa" w:w="120"/>
              <w:right w:type="dxa" w:w="160"/>
            </w:tcMar>
          </w:tcPr>
          <w:p>
            <w:pPr>
              <w:keepNext/>
              <w:spacing w:after="60" w:before="20"/>
            </w:pPr>
            <w:r>
              <w:rPr>
                <w:rFonts w:ascii="Calibri" w:cs="Calibri" w:eastAsia="Calibri" w:hAnsi="Calibri"/>
                <w:color w:val="1E7B96"/>
                <w:sz w:val="18"/>
                <w:szCs w:val="18"/>
              </w:rPr>
              <w:t xml:space="preserve">Reading this section fairly</w:t>
            </w:r>
          </w:p>
          <w:p>
            <w:pPr>
              <w:spacing w:after="30" w:before="0" w:line="254"/>
              <w:jc w:val="both"/>
            </w:pPr>
            <w:r>
              <w:rPr>
                <w:rFonts w:ascii="Calibri" w:cs="Calibri" w:eastAsia="Calibri" w:hAnsi="Calibri"/>
                <w:color w:val="22303C"/>
                <w:sz w:val="18"/>
                <w:szCs w:val="18"/>
              </w:rPr>
              <w:t xml:space="preserve">Robinhood shipped a working product into a real regulatory environment and disclosed its risks candidly. The critique here is not that the team chose badly given the timeline; MCP was the fastest route to seven clients at once. The claim is narrower and testable: </w:t>
            </w:r>
            <w:r>
              <w:rPr>
                <w:rFonts w:ascii="Calibri" w:cs="Calibri" w:eastAsia="Calibri" w:hAnsi="Calibri"/>
                <w:b/>
                <w:bCs/>
                <w:color w:val="22303C"/>
                <w:sz w:val="18"/>
                <w:szCs w:val="18"/>
              </w:rPr>
              <w:t xml:space="preserve">the transport choice, not the product concept, creates the security, cost and evidentiary problems catalogued in §3</w:t>
            </w:r>
            <w:r>
              <w:rPr>
                <w:rFonts w:ascii="Calibri" w:cs="Calibri" w:eastAsia="Calibri" w:hAnsi="Calibri"/>
                <w:color w:val="22303C"/>
                <w:sz w:val="18"/>
                <w:szCs w:val="18"/>
              </w:rPr>
              <w:t xml:space="preserve"> — and the same product concept can be delivered without it.</w:t>
            </w:r>
          </w:p>
        </w:tc>
      </w:tr>
    </w:tbl>
    <w:p>
      <w:pPr>
        <w:pStyle w:val="Heading2"/>
      </w:pPr>
      <w:r>
        <w:rPr>
          <w:rFonts w:ascii="Calibri Light" w:cs="Calibri Light" w:eastAsia="Calibri Light" w:hAnsi="Calibri Light"/>
          <w:color w:val="1B3A5C"/>
          <w:sz w:val="23"/>
          <w:szCs w:val="23"/>
        </w:rPr>
        <w:t xml:space="preserve">2.4  Requirements</w:t>
      </w:r>
    </w:p>
    <w:p>
      <w:pPr>
        <w:pStyle w:val="Heading3"/>
      </w:pPr>
      <w:r>
        <w:rPr>
          <w:rFonts w:ascii="Calibri" w:cs="Calibri" w:eastAsia="Calibri" w:hAnsi="Calibri"/>
          <w:color w:val="42566B"/>
          <w:sz w:val="20"/>
          <w:szCs w:val="20"/>
        </w:rPr>
        <w:t xml:space="preserve">2.4.1  Functional</w:t>
      </w:r>
    </w:p>
    <w:tbl>
      <w:tblPr>
        <w:tblW w:type="dxa" w:w="10080"/>
        <w:tblBorders>
          <w:top w:val="single" w:color="1B3A5C" w:sz="4"/>
          <w:left w:val="none" w:color="FFFFFF" w:sz="0"/>
          <w:bottom w:val="single" w:color="1B3A5C" w:sz="4"/>
          <w:right w:val="none" w:color="FFFFFF" w:sz="0"/>
          <w:insideH w:val="single" w:color="C7D0DA" w:sz="2"/>
          <w:insideV w:val="single" w:color="C7D0DA" w:sz="2"/>
        </w:tblBorders>
      </w:tblPr>
      <w:tblGrid>
        <w:gridCol w:w="806"/>
        <w:gridCol w:w="7862"/>
        <w:gridCol w:w="1412"/>
      </w:tblGrid>
      <w:tr>
        <w:trPr>
          <w:tblHeader/>
        </w:trPr>
        <w:tc>
          <w:tcPr>
            <w:tcW w:type="dxa" w:w="806"/>
            <w:shd w:fill="1B3A5C"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FFFFFF"/>
                <w:sz w:val="17"/>
                <w:szCs w:val="17"/>
              </w:rPr>
              <w:t xml:space="preserve">ID</w:t>
            </w:r>
          </w:p>
        </w:tc>
        <w:tc>
          <w:tcPr>
            <w:tcW w:type="dxa" w:w="7862"/>
            <w:shd w:fill="1B3A5C"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FFFFFF"/>
                <w:sz w:val="17"/>
                <w:szCs w:val="17"/>
              </w:rPr>
              <w:t xml:space="preserve">Requirement</w:t>
            </w:r>
          </w:p>
        </w:tc>
        <w:tc>
          <w:tcPr>
            <w:tcW w:type="dxa" w:w="1412"/>
            <w:shd w:fill="1B3A5C"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FFFFFF"/>
                <w:sz w:val="17"/>
                <w:szCs w:val="17"/>
              </w:rPr>
              <w:t xml:space="preserve">Priority</w:t>
            </w:r>
          </w:p>
        </w:tc>
      </w:tr>
      <w:tr>
        <w:tc>
          <w:tcPr>
            <w:tcW w:type="dxa" w:w="806"/>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FR-1</w:t>
            </w:r>
          </w:p>
        </w:tc>
        <w:tc>
          <w:tcPr>
            <w:tcW w:type="dxa" w:w="7862"/>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A customer must be able to use an agent they already own, with no provider-supplied plug-in, client library or protocol adoption.</w:t>
            </w:r>
          </w:p>
        </w:tc>
        <w:tc>
          <w:tcPr>
            <w:tcW w:type="dxa" w:w="1412"/>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Must</w:t>
            </w:r>
          </w:p>
        </w:tc>
      </w:tr>
      <w:tr>
        <w:tc>
          <w:tcPr>
            <w:tcW w:type="dxa" w:w="806"/>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FR-2</w:t>
            </w:r>
          </w:p>
        </w:tc>
        <w:tc>
          <w:tcPr>
            <w:tcW w:type="dxa" w:w="7862"/>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An agent must be able to discover available capabilities and data by natural-language search, and receive machine-usable argument grammars.</w:t>
            </w:r>
          </w:p>
        </w:tc>
        <w:tc>
          <w:tcPr>
            <w:tcW w:type="dxa" w:w="1412"/>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Must</w:t>
            </w:r>
          </w:p>
        </w:tc>
      </w:tr>
      <w:tr>
        <w:tc>
          <w:tcPr>
            <w:tcW w:type="dxa" w:w="806"/>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FR-3</w:t>
            </w:r>
          </w:p>
        </w:tc>
        <w:tc>
          <w:tcPr>
            <w:tcW w:type="dxa" w:w="7862"/>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An agent must be able to read the customer’s own account and market data, shaped by policy.</w:t>
            </w:r>
          </w:p>
        </w:tc>
        <w:tc>
          <w:tcPr>
            <w:tcW w:type="dxa" w:w="1412"/>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Must</w:t>
            </w:r>
          </w:p>
        </w:tc>
      </w:tr>
      <w:tr>
        <w:tc>
          <w:tcPr>
            <w:tcW w:type="dxa" w:w="806"/>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FR-4</w:t>
            </w:r>
          </w:p>
        </w:tc>
        <w:tc>
          <w:tcPr>
            <w:tcW w:type="dxa" w:w="7862"/>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An agent must be able to cause state changes — including placing, amending and cancelling orders — subject to controls.</w:t>
            </w:r>
          </w:p>
        </w:tc>
        <w:tc>
          <w:tcPr>
            <w:tcW w:type="dxa" w:w="1412"/>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Must</w:t>
            </w:r>
          </w:p>
        </w:tc>
      </w:tr>
      <w:tr>
        <w:tc>
          <w:tcPr>
            <w:tcW w:type="dxa" w:w="806"/>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FR-5</w:t>
            </w:r>
          </w:p>
        </w:tc>
        <w:tc>
          <w:tcPr>
            <w:tcW w:type="dxa" w:w="7862"/>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A human must be able to review a proposed action, in business terms, before it takes effect.</w:t>
            </w:r>
          </w:p>
        </w:tc>
        <w:tc>
          <w:tcPr>
            <w:tcW w:type="dxa" w:w="1412"/>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Must</w:t>
            </w:r>
          </w:p>
        </w:tc>
      </w:tr>
      <w:tr>
        <w:tc>
          <w:tcPr>
            <w:tcW w:type="dxa" w:w="806"/>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FR-6</w:t>
            </w:r>
          </w:p>
        </w:tc>
        <w:tc>
          <w:tcPr>
            <w:tcW w:type="dxa" w:w="7862"/>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A customer must be able to pre-authorise conditional automation without the agent being trusted to evaluate the condition.</w:t>
            </w:r>
          </w:p>
        </w:tc>
        <w:tc>
          <w:tcPr>
            <w:tcW w:type="dxa" w:w="1412"/>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Should</w:t>
            </w:r>
          </w:p>
        </w:tc>
      </w:tr>
      <w:tr>
        <w:tc>
          <w:tcPr>
            <w:tcW w:type="dxa" w:w="806"/>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FR-7</w:t>
            </w:r>
          </w:p>
        </w:tc>
        <w:tc>
          <w:tcPr>
            <w:tcW w:type="dxa" w:w="7862"/>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A customer must be able to revoke an agent, a mandate or all agentic authority immediately, from a channel the agent cannot reach.</w:t>
            </w:r>
          </w:p>
        </w:tc>
        <w:tc>
          <w:tcPr>
            <w:tcW w:type="dxa" w:w="1412"/>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Must</w:t>
            </w:r>
          </w:p>
        </w:tc>
      </w:tr>
      <w:tr>
        <w:tc>
          <w:tcPr>
            <w:tcW w:type="dxa" w:w="806"/>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FR-8</w:t>
            </w:r>
          </w:p>
        </w:tc>
        <w:tc>
          <w:tcPr>
            <w:tcW w:type="dxa" w:w="7862"/>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Every agent-originated action must produce a durable, verifiable record sufficient for supervision and dispute resolution.</w:t>
            </w:r>
          </w:p>
        </w:tc>
        <w:tc>
          <w:tcPr>
            <w:tcW w:type="dxa" w:w="1412"/>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Must</w:t>
            </w:r>
          </w:p>
        </w:tc>
      </w:tr>
      <w:tr>
        <w:tc>
          <w:tcPr>
            <w:tcW w:type="dxa" w:w="806"/>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FR-9</w:t>
            </w:r>
          </w:p>
        </w:tc>
        <w:tc>
          <w:tcPr>
            <w:tcW w:type="dxa" w:w="7862"/>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Multi-step outcomes (for example a rebalance) must be expressible as one authorised unit with all-or-compensate semantics.</w:t>
            </w:r>
          </w:p>
        </w:tc>
        <w:tc>
          <w:tcPr>
            <w:tcW w:type="dxa" w:w="1412"/>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Should</w:t>
            </w:r>
          </w:p>
        </w:tc>
      </w:tr>
    </w:tbl>
    <w:p>
      <w:pPr>
        <w:pStyle w:val="Heading3"/>
      </w:pPr>
      <w:r>
        <w:rPr>
          <w:rFonts w:ascii="Calibri" w:cs="Calibri" w:eastAsia="Calibri" w:hAnsi="Calibri"/>
          <w:color w:val="42566B"/>
          <w:sz w:val="20"/>
          <w:szCs w:val="20"/>
        </w:rPr>
        <w:t xml:space="preserve">2.4.2  Non-functional</w:t>
      </w:r>
    </w:p>
    <w:tbl>
      <w:tblPr>
        <w:tblW w:type="dxa" w:w="10080"/>
        <w:tblBorders>
          <w:top w:val="single" w:color="1B3A5C" w:sz="4"/>
          <w:left w:val="none" w:color="FFFFFF" w:sz="0"/>
          <w:bottom w:val="single" w:color="1B3A5C" w:sz="4"/>
          <w:right w:val="none" w:color="FFFFFF" w:sz="0"/>
          <w:insideH w:val="single" w:color="C7D0DA" w:sz="2"/>
          <w:insideV w:val="single" w:color="C7D0DA" w:sz="2"/>
        </w:tblBorders>
      </w:tblPr>
      <w:tblGrid>
        <w:gridCol w:w="907"/>
        <w:gridCol w:w="4738"/>
        <w:gridCol w:w="4435"/>
      </w:tblGrid>
      <w:tr>
        <w:trPr>
          <w:tblHeader/>
        </w:trPr>
        <w:tc>
          <w:tcPr>
            <w:tcW w:type="dxa" w:w="907"/>
            <w:shd w:fill="1B3A5C"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FFFFFF"/>
                <w:sz w:val="17"/>
                <w:szCs w:val="17"/>
              </w:rPr>
              <w:t xml:space="preserve">ID</w:t>
            </w:r>
          </w:p>
        </w:tc>
        <w:tc>
          <w:tcPr>
            <w:tcW w:type="dxa" w:w="4738"/>
            <w:shd w:fill="1B3A5C"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FFFFFF"/>
                <w:sz w:val="17"/>
                <w:szCs w:val="17"/>
              </w:rPr>
              <w:t xml:space="preserve">Requirement</w:t>
            </w:r>
          </w:p>
        </w:tc>
        <w:tc>
          <w:tcPr>
            <w:tcW w:type="dxa" w:w="4435"/>
            <w:shd w:fill="1B3A5C"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FFFFFF"/>
                <w:sz w:val="17"/>
                <w:szCs w:val="17"/>
              </w:rPr>
              <w:t xml:space="preserve">Target</w:t>
            </w:r>
          </w:p>
        </w:tc>
      </w:tr>
      <w:tr>
        <w:tc>
          <w:tcPr>
            <w:tcW w:type="dxa" w:w="907"/>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NFR-1</w:t>
            </w:r>
          </w:p>
        </w:tc>
        <w:tc>
          <w:tcPr>
            <w:tcW w:type="dxa" w:w="4738"/>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Discovery context cost independent of estate size</w:t>
            </w:r>
          </w:p>
        </w:tc>
        <w:tc>
          <w:tcPr>
            <w:tcW w:type="dxa" w:w="4435"/>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 2,500 tokens per session regardless of operation count</w:t>
            </w:r>
          </w:p>
        </w:tc>
      </w:tr>
      <w:tr>
        <w:tc>
          <w:tcPr>
            <w:tcW w:type="dxa" w:w="907"/>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NFR-2</w:t>
            </w:r>
          </w:p>
        </w:tc>
        <w:tc>
          <w:tcPr>
            <w:tcW w:type="dxa" w:w="4738"/>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Read latency, p99, cached projection</w:t>
            </w:r>
          </w:p>
        </w:tc>
        <w:tc>
          <w:tcPr>
            <w:tcW w:type="dxa" w:w="4435"/>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 400 ms</w:t>
            </w:r>
          </w:p>
        </w:tc>
      </w:tr>
      <w:tr>
        <w:tc>
          <w:tcPr>
            <w:tcW w:type="dxa" w:w="907"/>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NFR-3</w:t>
            </w:r>
          </w:p>
        </w:tc>
        <w:tc>
          <w:tcPr>
            <w:tcW w:type="dxa" w:w="4738"/>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Intent validation and simulation, p99</w:t>
            </w:r>
          </w:p>
        </w:tc>
        <w:tc>
          <w:tcPr>
            <w:tcW w:type="dxa" w:w="4435"/>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 900 ms</w:t>
            </w:r>
          </w:p>
        </w:tc>
      </w:tr>
      <w:tr>
        <w:tc>
          <w:tcPr>
            <w:tcW w:type="dxa" w:w="907"/>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NFR-4</w:t>
            </w:r>
          </w:p>
        </w:tc>
        <w:tc>
          <w:tcPr>
            <w:tcW w:type="dxa" w:w="4738"/>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Execution path added latency vs. native order entry</w:t>
            </w:r>
          </w:p>
        </w:tc>
        <w:tc>
          <w:tcPr>
            <w:tcW w:type="dxa" w:w="4435"/>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 250 ms</w:t>
            </w:r>
          </w:p>
        </w:tc>
      </w:tr>
      <w:tr>
        <w:tc>
          <w:tcPr>
            <w:tcW w:type="dxa" w:w="907"/>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NFR-5</w:t>
            </w:r>
          </w:p>
        </w:tc>
        <w:tc>
          <w:tcPr>
            <w:tcW w:type="dxa" w:w="4738"/>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Provider-borne unit cost per approved intent</w:t>
            </w:r>
          </w:p>
        </w:tc>
        <w:tc>
          <w:tcPr>
            <w:tcW w:type="dxa" w:w="4435"/>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Bounded and independently meterable per agent and per customer</w:t>
            </w:r>
          </w:p>
        </w:tc>
      </w:tr>
      <w:tr>
        <w:tc>
          <w:tcPr>
            <w:tcW w:type="dxa" w:w="907"/>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NFR-6</w:t>
            </w:r>
          </w:p>
        </w:tc>
        <w:tc>
          <w:tcPr>
            <w:tcW w:type="dxa" w:w="4738"/>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Availability of the exchange</w:t>
            </w:r>
          </w:p>
        </w:tc>
        <w:tc>
          <w:tcPr>
            <w:tcW w:type="dxa" w:w="4435"/>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99.95% monthly, degrading read-only rather than failing open</w:t>
            </w:r>
          </w:p>
        </w:tc>
      </w:tr>
      <w:tr>
        <w:tc>
          <w:tcPr>
            <w:tcW w:type="dxa" w:w="907"/>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NFR-7</w:t>
            </w:r>
          </w:p>
        </w:tc>
        <w:tc>
          <w:tcPr>
            <w:tcW w:type="dxa" w:w="4738"/>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Evidence durability</w:t>
            </w:r>
          </w:p>
        </w:tc>
        <w:tc>
          <w:tcPr>
            <w:tcW w:type="dxa" w:w="4435"/>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Append-only, hash-chained, WORM-retained, independently verifiable</w:t>
            </w:r>
          </w:p>
        </w:tc>
      </w:tr>
      <w:tr>
        <w:tc>
          <w:tcPr>
            <w:tcW w:type="dxa" w:w="907"/>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NFR-8</w:t>
            </w:r>
          </w:p>
        </w:tc>
        <w:tc>
          <w:tcPr>
            <w:tcW w:type="dxa" w:w="4738"/>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Blast radius of a fully compromised agent</w:t>
            </w:r>
          </w:p>
        </w:tc>
        <w:tc>
          <w:tcPr>
            <w:tcW w:type="dxa" w:w="4435"/>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Bounded a priori by mandate scope, per-action and per-day caps, and account segregation</w:t>
            </w:r>
          </w:p>
        </w:tc>
      </w:tr>
    </w:tbl>
    <w:p>
      <w:pPr>
        <w:pStyle w:val="Heading3"/>
      </w:pPr>
      <w:r>
        <w:rPr>
          <w:rFonts w:ascii="Calibri" w:cs="Calibri" w:eastAsia="Calibri" w:hAnsi="Calibri"/>
          <w:color w:val="42566B"/>
          <w:sz w:val="20"/>
          <w:szCs w:val="20"/>
        </w:rPr>
        <w:t xml:space="preserve">2.4.3  Regulatory drivers (US brokerage)</w:t>
      </w:r>
    </w:p>
    <w:tbl>
      <w:tblPr>
        <w:tblW w:type="dxa" w:w="10080"/>
        <w:tblBorders>
          <w:top w:val="single" w:color="1B3A5C" w:sz="4"/>
          <w:left w:val="none" w:color="FFFFFF" w:sz="0"/>
          <w:bottom w:val="single" w:color="1B3A5C" w:sz="4"/>
          <w:right w:val="none" w:color="FFFFFF" w:sz="0"/>
          <w:insideH w:val="single" w:color="C7D0DA" w:sz="2"/>
          <w:insideV w:val="single" w:color="C7D0DA" w:sz="2"/>
        </w:tblBorders>
      </w:tblPr>
      <w:tblGrid>
        <w:gridCol w:w="806"/>
        <w:gridCol w:w="4435"/>
        <w:gridCol w:w="4839"/>
      </w:tblGrid>
      <w:tr>
        <w:trPr>
          <w:tblHeader/>
        </w:trPr>
        <w:tc>
          <w:tcPr>
            <w:tcW w:type="dxa" w:w="806"/>
            <w:shd w:fill="1B3A5C"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FFFFFF"/>
                <w:sz w:val="17"/>
                <w:szCs w:val="17"/>
              </w:rPr>
              <w:t xml:space="preserve">ID</w:t>
            </w:r>
          </w:p>
        </w:tc>
        <w:tc>
          <w:tcPr>
            <w:tcW w:type="dxa" w:w="4435"/>
            <w:shd w:fill="1B3A5C"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FFFFFF"/>
                <w:sz w:val="17"/>
                <w:szCs w:val="17"/>
              </w:rPr>
              <w:t xml:space="preserve">Obligation</w:t>
            </w:r>
          </w:p>
        </w:tc>
        <w:tc>
          <w:tcPr>
            <w:tcW w:type="dxa" w:w="4839"/>
            <w:shd w:fill="1B3A5C"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FFFFFF"/>
                <w:sz w:val="17"/>
                <w:szCs w:val="17"/>
              </w:rPr>
              <w:t xml:space="preserve">Architectural implication</w:t>
            </w:r>
          </w:p>
        </w:tc>
      </w:tr>
      <w:tr>
        <w:tc>
          <w:tcPr>
            <w:tcW w:type="dxa" w:w="806"/>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REG-1</w:t>
            </w:r>
          </w:p>
        </w:tc>
        <w:tc>
          <w:tcPr>
            <w:tcW w:type="dxa" w:w="4435"/>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SEA Rule 15c3-5 — pre-trade financial and regulatory risk controls must be applied to every order, automated or manual, and must be under the broker-dealer’s direct and exclusive control.</w:t>
            </w:r>
          </w:p>
        </w:tc>
        <w:tc>
          <w:tcPr>
            <w:tcW w:type="dxa" w:w="4839"/>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Controls cannot live in the customer’s agent, in its prompt, or in a client-side confirmation dialog. They must be server-side, deterministic and unavoidable.</w:t>
            </w:r>
          </w:p>
        </w:tc>
      </w:tr>
      <w:tr>
        <w:tc>
          <w:tcPr>
            <w:tcW w:type="dxa" w:w="806"/>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REG-2</w:t>
            </w:r>
          </w:p>
        </w:tc>
        <w:tc>
          <w:tcPr>
            <w:tcW w:type="dxa" w:w="4435"/>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FINRA supervision (Rule 3110) and the 2026 oversight guidance on autonomous agents — limit agent system access, monitor for out-of-bounds actions, keep humans in the loop.</w:t>
            </w:r>
          </w:p>
        </w:tc>
        <w:tc>
          <w:tcPr>
            <w:tcW w:type="dxa" w:w="4839"/>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Requires per-action authorisation, behavioural monitoring of agents as first-class identities, and an enforceable boundary on what an agent can attempt.</w:t>
            </w:r>
          </w:p>
        </w:tc>
      </w:tr>
      <w:tr>
        <w:tc>
          <w:tcPr>
            <w:tcW w:type="dxa" w:w="806"/>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REG-3</w:t>
            </w:r>
          </w:p>
        </w:tc>
        <w:tc>
          <w:tcPr>
            <w:tcW w:type="dxa" w:w="4435"/>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SEC Rule 17a-4 recordkeeping; CAT reporting.</w:t>
            </w:r>
          </w:p>
        </w:tc>
        <w:tc>
          <w:tcPr>
            <w:tcW w:type="dxa" w:w="4839"/>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Requires an evidentiary chain from customer instruction to order event, not an application log.</w:t>
            </w:r>
          </w:p>
        </w:tc>
      </w:tr>
      <w:tr>
        <w:tc>
          <w:tcPr>
            <w:tcW w:type="dxa" w:w="806"/>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REG-4</w:t>
            </w:r>
          </w:p>
        </w:tc>
        <w:tc>
          <w:tcPr>
            <w:tcW w:type="dxa" w:w="4435"/>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Reg BI and suitability; manipulation rules (FINRA 2020, spoofing/layering surveillance).</w:t>
            </w:r>
          </w:p>
        </w:tc>
        <w:tc>
          <w:tcPr>
            <w:tcW w:type="dxa" w:w="4839"/>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Requires intent-level semantics and simulation before execution, plus surveillance over agent-originated flow.</w:t>
            </w:r>
          </w:p>
        </w:tc>
      </w:tr>
      <w:tr>
        <w:tc>
          <w:tcPr>
            <w:tcW w:type="dxa" w:w="806"/>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REG-5</w:t>
            </w:r>
          </w:p>
        </w:tc>
        <w:tc>
          <w:tcPr>
            <w:tcW w:type="dxa" w:w="4435"/>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Reg S-P / GLBA safeguards; data minimisation expectations.</w:t>
            </w:r>
          </w:p>
        </w:tc>
        <w:tc>
          <w:tcPr>
            <w:tcW w:type="dxa" w:w="4839"/>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Requires field-level minimisation on the read path and a defensible answer to “why did this third-party model receive this field?”</w:t>
            </w:r>
          </w:p>
        </w:tc>
      </w:tr>
    </w:tbl>
    <w:p>
      <w:pPr>
        <w:pStyle w:val="Heading2"/>
      </w:pPr>
      <w:r>
        <w:rPr>
          <w:rFonts w:ascii="Calibri Light" w:cs="Calibri Light" w:eastAsia="Calibri Light" w:hAnsi="Calibri Light"/>
          <w:color w:val="1B3A5C"/>
          <w:sz w:val="23"/>
          <w:szCs w:val="23"/>
        </w:rPr>
        <w:t xml:space="preserve">2.5  Architecture principles</w:t>
      </w:r>
    </w:p>
    <w:tbl>
      <w:tblPr>
        <w:tblW w:type="dxa" w:w="10080"/>
        <w:tblBorders>
          <w:top w:val="single" w:color="1B3A5C" w:sz="4"/>
          <w:left w:val="none" w:color="FFFFFF" w:sz="0"/>
          <w:bottom w:val="single" w:color="1B3A5C" w:sz="4"/>
          <w:right w:val="none" w:color="FFFFFF" w:sz="0"/>
          <w:insideH w:val="single" w:color="C7D0DA" w:sz="2"/>
          <w:insideV w:val="single" w:color="C7D0DA" w:sz="2"/>
        </w:tblBorders>
      </w:tblPr>
      <w:tblGrid>
        <w:gridCol w:w="806"/>
        <w:gridCol w:w="4637"/>
        <w:gridCol w:w="4637"/>
      </w:tblGrid>
      <w:tr>
        <w:trPr>
          <w:tblHeader/>
        </w:trPr>
        <w:tc>
          <w:tcPr>
            <w:tcW w:type="dxa" w:w="806"/>
            <w:shd w:fill="1B3A5C"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FFFFFF"/>
                <w:sz w:val="17"/>
                <w:szCs w:val="17"/>
              </w:rPr>
              <w:t xml:space="preserve">ID</w:t>
            </w:r>
          </w:p>
        </w:tc>
        <w:tc>
          <w:tcPr>
            <w:tcW w:type="dxa" w:w="4637"/>
            <w:shd w:fill="1B3A5C"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FFFFFF"/>
                <w:sz w:val="17"/>
                <w:szCs w:val="17"/>
              </w:rPr>
              <w:t xml:space="preserve">Principle</w:t>
            </w:r>
          </w:p>
        </w:tc>
        <w:tc>
          <w:tcPr>
            <w:tcW w:type="dxa" w:w="4637"/>
            <w:shd w:fill="1B3A5C"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FFFFFF"/>
                <w:sz w:val="17"/>
                <w:szCs w:val="17"/>
              </w:rPr>
              <w:t xml:space="preserve">Consequence if violated</w:t>
            </w:r>
          </w:p>
        </w:tc>
      </w:tr>
      <w:tr>
        <w:tc>
          <w:tcPr>
            <w:tcW w:type="dxa" w:w="806"/>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AP-1</w:t>
            </w:r>
          </w:p>
        </w:tc>
        <w:tc>
          <w:tcPr>
            <w:tcW w:type="dxa" w:w="4637"/>
            <w:tcMar>
              <w:top w:type="dxa" w:w="60"/>
              <w:left w:type="dxa" w:w="100"/>
              <w:bottom w:type="dxa" w:w="60"/>
              <w:right w:type="dxa" w:w="100"/>
            </w:tcMar>
            <w:vAlign w:val="top"/>
          </w:tcPr>
          <w:p>
            <w:pPr>
              <w:spacing w:after="40" w:before="40" w:line="240"/>
              <w:jc w:val="left"/>
            </w:pPr>
            <w:r>
              <w:rPr>
                <w:rFonts w:ascii="Calibri" w:cs="Calibri" w:eastAsia="Calibri" w:hAnsi="Calibri"/>
                <w:b/>
                <w:bCs/>
                <w:color w:val="22303C"/>
                <w:sz w:val="17"/>
                <w:szCs w:val="17"/>
              </w:rPr>
              <w:t xml:space="preserve">Intent in, effect out.</w:t>
            </w:r>
            <w:r>
              <w:rPr>
                <w:rFonts w:ascii="Calibri" w:cs="Calibri" w:eastAsia="Calibri" w:hAnsi="Calibri"/>
                <w:color w:val="22303C"/>
                <w:sz w:val="17"/>
                <w:szCs w:val="17"/>
              </w:rPr>
              <w:t xml:space="preserve"> External consumers state desired outcomes; the provider chooses the mechanism.</w:t>
            </w:r>
          </w:p>
        </w:tc>
        <w:tc>
          <w:tcPr>
            <w:tcW w:type="dxa" w:w="4637"/>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The provider’s internal call graph becomes a public contract and can never be refactored.</w:t>
            </w:r>
          </w:p>
        </w:tc>
      </w:tr>
      <w:tr>
        <w:tc>
          <w:tcPr>
            <w:tcW w:type="dxa" w:w="806"/>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AP-2</w:t>
            </w:r>
          </w:p>
        </w:tc>
        <w:tc>
          <w:tcPr>
            <w:tcW w:type="dxa" w:w="4637"/>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b/>
                <w:bCs/>
                <w:color w:val="22303C"/>
                <w:sz w:val="17"/>
                <w:szCs w:val="17"/>
              </w:rPr>
              <w:t xml:space="preserve">The trust boundary is the enforcement boundary.</w:t>
            </w:r>
            <w:r>
              <w:rPr>
                <w:rFonts w:ascii="Calibri" w:cs="Calibri" w:eastAsia="Calibri" w:hAnsi="Calibri"/>
                <w:color w:val="22303C"/>
                <w:sz w:val="17"/>
                <w:szCs w:val="17"/>
              </w:rPr>
              <w:t xml:space="preserve"> Nothing outside it may be relied on for a control.</w:t>
            </w:r>
          </w:p>
        </w:tc>
        <w:tc>
          <w:tcPr>
            <w:tcW w:type="dxa" w:w="4637"/>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Controls become advisory, and a compromised agent inherits the provider’s privileges.</w:t>
            </w:r>
          </w:p>
        </w:tc>
      </w:tr>
      <w:tr>
        <w:tc>
          <w:tcPr>
            <w:tcW w:type="dxa" w:w="806"/>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AP-3</w:t>
            </w:r>
          </w:p>
        </w:tc>
        <w:tc>
          <w:tcPr>
            <w:tcW w:type="dxa" w:w="4637"/>
            <w:tcMar>
              <w:top w:type="dxa" w:w="60"/>
              <w:left w:type="dxa" w:w="100"/>
              <w:bottom w:type="dxa" w:w="60"/>
              <w:right w:type="dxa" w:w="100"/>
            </w:tcMar>
            <w:vAlign w:val="top"/>
          </w:tcPr>
          <w:p>
            <w:pPr>
              <w:spacing w:after="40" w:before="40" w:line="240"/>
              <w:jc w:val="left"/>
            </w:pPr>
            <w:r>
              <w:rPr>
                <w:rFonts w:ascii="Calibri" w:cs="Calibri" w:eastAsia="Calibri" w:hAnsi="Calibri"/>
                <w:b/>
                <w:bCs/>
                <w:color w:val="22303C"/>
                <w:sz w:val="17"/>
                <w:szCs w:val="17"/>
              </w:rPr>
              <w:t xml:space="preserve">Authority is per-action, time-boxed and hash-bound.</w:t>
            </w:r>
            <w:r>
              <w:rPr>
                <w:rFonts w:ascii="Calibri" w:cs="Calibri" w:eastAsia="Calibri" w:hAnsi="Calibri"/>
                <w:color w:val="22303C"/>
                <w:sz w:val="17"/>
                <w:szCs w:val="17"/>
              </w:rPr>
              <w:t xml:space="preserve"> No standing write capability.</w:t>
            </w:r>
          </w:p>
        </w:tc>
        <w:tc>
          <w:tcPr>
            <w:tcW w:type="dxa" w:w="4637"/>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One stolen token equals unlimited authority for its lifetime.</w:t>
            </w:r>
          </w:p>
        </w:tc>
      </w:tr>
      <w:tr>
        <w:tc>
          <w:tcPr>
            <w:tcW w:type="dxa" w:w="806"/>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AP-4</w:t>
            </w:r>
          </w:p>
        </w:tc>
        <w:tc>
          <w:tcPr>
            <w:tcW w:type="dxa" w:w="4637"/>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b/>
                <w:bCs/>
                <w:color w:val="22303C"/>
                <w:sz w:val="17"/>
                <w:szCs w:val="17"/>
              </w:rPr>
              <w:t xml:space="preserve">The human signs; the agent proposes.</w:t>
            </w:r>
            <w:r>
              <w:rPr>
                <w:rFonts w:ascii="Calibri" w:cs="Calibri" w:eastAsia="Calibri" w:hAnsi="Calibri"/>
                <w:color w:val="22303C"/>
                <w:sz w:val="17"/>
                <w:szCs w:val="17"/>
              </w:rPr>
              <w:t xml:space="preserve"> Authorisation is anchored in a human credential on a human device.</w:t>
            </w:r>
          </w:p>
        </w:tc>
        <w:tc>
          <w:tcPr>
            <w:tcW w:type="dxa" w:w="4637"/>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Non-repudiation collapses, and dispute resolution has no evidence to weigh.</w:t>
            </w:r>
          </w:p>
        </w:tc>
      </w:tr>
      <w:tr>
        <w:tc>
          <w:tcPr>
            <w:tcW w:type="dxa" w:w="806"/>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AP-5</w:t>
            </w:r>
          </w:p>
        </w:tc>
        <w:tc>
          <w:tcPr>
            <w:tcW w:type="dxa" w:w="4637"/>
            <w:tcMar>
              <w:top w:type="dxa" w:w="60"/>
              <w:left w:type="dxa" w:w="100"/>
              <w:bottom w:type="dxa" w:w="60"/>
              <w:right w:type="dxa" w:w="100"/>
            </w:tcMar>
            <w:vAlign w:val="top"/>
          </w:tcPr>
          <w:p>
            <w:pPr>
              <w:spacing w:after="40" w:before="40" w:line="240"/>
              <w:jc w:val="left"/>
            </w:pPr>
            <w:r>
              <w:rPr>
                <w:rFonts w:ascii="Calibri" w:cs="Calibri" w:eastAsia="Calibri" w:hAnsi="Calibri"/>
                <w:b/>
                <w:bCs/>
                <w:color w:val="22303C"/>
                <w:sz w:val="17"/>
                <w:szCs w:val="17"/>
              </w:rPr>
              <w:t xml:space="preserve">Data is exposed as contracts, not entities.</w:t>
            </w:r>
            <w:r>
              <w:rPr>
                <w:rFonts w:ascii="Calibri" w:cs="Calibri" w:eastAsia="Calibri" w:hAnsi="Calibri"/>
                <w:color w:val="22303C"/>
                <w:sz w:val="17"/>
                <w:szCs w:val="17"/>
              </w:rPr>
              <w:t xml:space="preserve"> Projections with explicit field lists, never tables or objects.</w:t>
            </w:r>
          </w:p>
        </w:tc>
        <w:tc>
          <w:tcPr>
            <w:tcW w:type="dxa" w:w="4637"/>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Every internal schema change becomes a breaking external change, and minimisation is unprovable.</w:t>
            </w:r>
          </w:p>
        </w:tc>
      </w:tr>
      <w:tr>
        <w:tc>
          <w:tcPr>
            <w:tcW w:type="dxa" w:w="806"/>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AP-6</w:t>
            </w:r>
          </w:p>
        </w:tc>
        <w:tc>
          <w:tcPr>
            <w:tcW w:type="dxa" w:w="4637"/>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b/>
                <w:bCs/>
                <w:color w:val="22303C"/>
                <w:sz w:val="17"/>
                <w:szCs w:val="17"/>
              </w:rPr>
              <w:t xml:space="preserve">Discovery is search-first.</w:t>
            </w:r>
            <w:r>
              <w:rPr>
                <w:rFonts w:ascii="Calibri" w:cs="Calibri" w:eastAsia="Calibri" w:hAnsi="Calibri"/>
                <w:color w:val="22303C"/>
                <w:sz w:val="17"/>
                <w:szCs w:val="17"/>
              </w:rPr>
              <w:t xml:space="preserve"> Cost is O(1) in the size of the capability estate.</w:t>
            </w:r>
          </w:p>
        </w:tc>
        <w:tc>
          <w:tcPr>
            <w:tcW w:type="dxa" w:w="4637"/>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Context cost, latency and model quality all degrade as the business grows.</w:t>
            </w:r>
          </w:p>
        </w:tc>
      </w:tr>
      <w:tr>
        <w:tc>
          <w:tcPr>
            <w:tcW w:type="dxa" w:w="806"/>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AP-7</w:t>
            </w:r>
          </w:p>
        </w:tc>
        <w:tc>
          <w:tcPr>
            <w:tcW w:type="dxa" w:w="4637"/>
            <w:tcMar>
              <w:top w:type="dxa" w:w="60"/>
              <w:left w:type="dxa" w:w="100"/>
              <w:bottom w:type="dxa" w:w="60"/>
              <w:right w:type="dxa" w:w="100"/>
            </w:tcMar>
            <w:vAlign w:val="top"/>
          </w:tcPr>
          <w:p>
            <w:pPr>
              <w:spacing w:after="40" w:before="40" w:line="240"/>
              <w:jc w:val="left"/>
            </w:pPr>
            <w:r>
              <w:rPr>
                <w:rFonts w:ascii="Calibri" w:cs="Calibri" w:eastAsia="Calibri" w:hAnsi="Calibri"/>
                <w:b/>
                <w:bCs/>
                <w:color w:val="22303C"/>
                <w:sz w:val="17"/>
                <w:szCs w:val="17"/>
              </w:rPr>
              <w:t xml:space="preserve">Every action is metered and attributable.</w:t>
            </w:r>
            <w:r>
              <w:rPr>
                <w:rFonts w:ascii="Calibri" w:cs="Calibri" w:eastAsia="Calibri" w:hAnsi="Calibri"/>
                <w:color w:val="22303C"/>
                <w:sz w:val="17"/>
                <w:szCs w:val="17"/>
              </w:rPr>
              <w:t xml:space="preserve"> Per agent, per customer, per intent type.</w:t>
            </w:r>
          </w:p>
        </w:tc>
        <w:tc>
          <w:tcPr>
            <w:tcW w:type="dxa" w:w="4637"/>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Cost becomes a function of an external agent’s reasoning loop, and abuse is indistinguishable from use.</w:t>
            </w:r>
          </w:p>
        </w:tc>
      </w:tr>
      <w:tr>
        <w:tc>
          <w:tcPr>
            <w:tcW w:type="dxa" w:w="806"/>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AP-8</w:t>
            </w:r>
          </w:p>
        </w:tc>
        <w:tc>
          <w:tcPr>
            <w:tcW w:type="dxa" w:w="4637"/>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b/>
                <w:bCs/>
                <w:color w:val="22303C"/>
                <w:sz w:val="17"/>
                <w:szCs w:val="17"/>
              </w:rPr>
              <w:t xml:space="preserve">Evidence is a product, not a by-product.</w:t>
            </w:r>
            <w:r>
              <w:rPr>
                <w:rFonts w:ascii="Calibri" w:cs="Calibri" w:eastAsia="Calibri" w:hAnsi="Calibri"/>
                <w:color w:val="22303C"/>
                <w:sz w:val="17"/>
                <w:szCs w:val="17"/>
              </w:rPr>
              <w:t xml:space="preserve"> Receipts are designed, signed and retained deliberately.</w:t>
            </w:r>
          </w:p>
        </w:tc>
        <w:tc>
          <w:tcPr>
            <w:tcW w:type="dxa" w:w="4637"/>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Supervision becomes forensic reconstruction, which is slow, expensive and contestable.</w:t>
            </w:r>
          </w:p>
        </w:tc>
      </w:tr>
      <w:tr>
        <w:tc>
          <w:tcPr>
            <w:tcW w:type="dxa" w:w="806"/>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AP-9</w:t>
            </w:r>
          </w:p>
        </w:tc>
        <w:tc>
          <w:tcPr>
            <w:tcW w:type="dxa" w:w="4637"/>
            <w:tcMar>
              <w:top w:type="dxa" w:w="60"/>
              <w:left w:type="dxa" w:w="100"/>
              <w:bottom w:type="dxa" w:w="60"/>
              <w:right w:type="dxa" w:w="100"/>
            </w:tcMar>
            <w:vAlign w:val="top"/>
          </w:tcPr>
          <w:p>
            <w:pPr>
              <w:spacing w:after="40" w:before="40" w:line="240"/>
              <w:jc w:val="left"/>
            </w:pPr>
            <w:r>
              <w:rPr>
                <w:rFonts w:ascii="Calibri" w:cs="Calibri" w:eastAsia="Calibri" w:hAnsi="Calibri"/>
                <w:b/>
                <w:bCs/>
                <w:color w:val="22303C"/>
                <w:sz w:val="17"/>
                <w:szCs w:val="17"/>
              </w:rPr>
              <w:t xml:space="preserve">Fail closed, degrade read-only.</w:t>
            </w:r>
            <w:r>
              <w:rPr>
                <w:rFonts w:ascii="Calibri" w:cs="Calibri" w:eastAsia="Calibri" w:hAnsi="Calibri"/>
                <w:color w:val="22303C"/>
                <w:sz w:val="17"/>
                <w:szCs w:val="17"/>
              </w:rPr>
              <w:t xml:space="preserve"> Ambiguity blocks writes; loss of a control blocks the path it guards.</w:t>
            </w:r>
          </w:p>
        </w:tc>
        <w:tc>
          <w:tcPr>
            <w:tcW w:type="dxa" w:w="4637"/>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The system’s worst day is an unbounded-loss day.</w:t>
            </w:r>
          </w:p>
        </w:tc>
      </w:tr>
    </w:tbl>
    <w:p>
      <w:pPr>
        <w:pStyle w:val="Heading2"/>
      </w:pPr>
      <w:r>
        <w:rPr>
          <w:rFonts w:ascii="Calibri Light" w:cs="Calibri Light" w:eastAsia="Calibri Light" w:hAnsi="Calibri Light"/>
          <w:color w:val="1B3A5C"/>
          <w:sz w:val="23"/>
          <w:szCs w:val="23"/>
        </w:rPr>
        <w:t xml:space="preserve">2.6  Out of scope</w:t>
      </w:r>
    </w:p>
    <w:p>
      <w:pPr>
        <w:pStyle w:val="ListParagraph"/>
        <w:numPr>
          <w:ilvl w:val="0"/>
          <w:numId w:val="5"/>
        </w:numPr>
        <w:spacing w:after="66" w:before="24" w:line="262"/>
        <w:jc w:val="both"/>
      </w:pPr>
      <w:r>
        <w:rPr>
          <w:rFonts w:ascii="Calibri" w:cs="Calibri" w:eastAsia="Calibri" w:hAnsi="Calibri"/>
          <w:color w:val="22303C"/>
          <w:sz w:val="20"/>
          <w:szCs w:val="20"/>
        </w:rPr>
        <w:t xml:space="preserve">Internal agent platforms operated by the provider for its own employees, where a different threat model applies.</w:t>
      </w:r>
    </w:p>
    <w:p>
      <w:pPr>
        <w:pStyle w:val="ListParagraph"/>
        <w:numPr>
          <w:ilvl w:val="0"/>
          <w:numId w:val="5"/>
        </w:numPr>
        <w:spacing w:after="66" w:before="24" w:line="262"/>
        <w:jc w:val="both"/>
      </w:pPr>
      <w:r>
        <w:rPr>
          <w:rFonts w:ascii="Calibri" w:cs="Calibri" w:eastAsia="Calibri" w:hAnsi="Calibri"/>
          <w:color w:val="22303C"/>
          <w:sz w:val="20"/>
          <w:szCs w:val="20"/>
        </w:rPr>
        <w:t xml:space="preserve">Model selection, prompt engineering and evaluation of the customer’s agent — the provider does not control these and must not depend on them.</w:t>
      </w:r>
    </w:p>
    <w:p>
      <w:pPr>
        <w:pStyle w:val="ListParagraph"/>
        <w:numPr>
          <w:ilvl w:val="0"/>
          <w:numId w:val="5"/>
        </w:numPr>
        <w:spacing w:after="66" w:before="24" w:line="262"/>
        <w:jc w:val="both"/>
      </w:pPr>
      <w:r>
        <w:rPr>
          <w:rFonts w:ascii="Calibri" w:cs="Calibri" w:eastAsia="Calibri" w:hAnsi="Calibri"/>
          <w:color w:val="22303C"/>
          <w:sz w:val="20"/>
          <w:szCs w:val="20"/>
        </w:rPr>
        <w:t xml:space="preserve">Market-data licensing and redistribution terms, which materially constrain what any data product may expose and require separate legal review.</w:t>
      </w:r>
    </w:p>
    <w:p>
      <w:pPr>
        <w:pStyle w:val="ListParagraph"/>
        <w:numPr>
          <w:ilvl w:val="0"/>
          <w:numId w:val="5"/>
        </w:numPr>
        <w:spacing w:after="66" w:before="24" w:line="262"/>
        <w:jc w:val="both"/>
      </w:pPr>
      <w:r>
        <w:rPr>
          <w:rFonts w:ascii="Calibri" w:cs="Calibri" w:eastAsia="Calibri" w:hAnsi="Calibri"/>
          <w:color w:val="22303C"/>
          <w:sz w:val="20"/>
          <w:szCs w:val="20"/>
        </w:rPr>
        <w:t xml:space="preserve">The advisory-versus-self-directed regulatory line, and whether particular agentic behaviour constitutes investment advice. Flagged as an open question in §10.</w:t>
      </w:r>
    </w:p>
    <w:p>
      <w:r>
        <w:br w:type="page"/>
      </w:r>
    </w:p>
    <w:p>
      <w:pPr>
        <w:pStyle w:val="Heading1"/>
      </w:pPr>
      <w:r>
        <w:rPr>
          <w:rFonts w:ascii="Calibri Light" w:cs="Calibri Light" w:eastAsia="Calibri Light" w:hAnsi="Calibri Light"/>
          <w:color w:val="1B3A5C"/>
          <w:sz w:val="28"/>
          <w:szCs w:val="28"/>
        </w:rPr>
        <w:t xml:space="preserve">3  Why Not MCP: Drawbacks, Security Risks and Cost Exposure</w:t>
      </w:r>
    </w:p>
    <w:p>
      <w:pPr>
        <w:spacing w:after="200" w:before="40" w:line="276"/>
        <w:jc w:val="both"/>
      </w:pPr>
      <w:r>
        <w:rPr>
          <w:rFonts w:ascii="Calibri" w:cs="Calibri" w:eastAsia="Calibri" w:hAnsi="Calibri"/>
          <w:color w:val="42566B"/>
          <w:sz w:val="21"/>
          <w:szCs w:val="21"/>
        </w:rPr>
        <w:t xml:space="preserve">MCP is a good protocol solving a different problem. It was designed so that an agent host could compose many tools from many providers into one model’s working context. This document evaluates the inverse problem: how a single regulated provider should expose a narrow, high-consequence capability set to many untrusted hosts. The mismatch is not a matter of maturity; it is directional.</w:t>
      </w:r>
    </w:p>
    <w:p>
      <w:pPr>
        <w:pStyle w:val="Heading2"/>
      </w:pPr>
      <w:r>
        <w:rPr>
          <w:rFonts w:ascii="Calibri Light" w:cs="Calibri Light" w:eastAsia="Calibri Light" w:hAnsi="Calibri Light"/>
          <w:color w:val="1B3A5C"/>
          <w:sz w:val="23"/>
          <w:szCs w:val="23"/>
        </w:rPr>
        <w:t xml:space="preserve">3.1  What MCP gets right — and what this design keeps</w:t>
      </w:r>
    </w:p>
    <w:p>
      <w:pPr>
        <w:keepNext w:val="false"/>
        <w:spacing w:after="130" w:before="0" w:line="268"/>
        <w:jc w:val="both"/>
      </w:pPr>
      <w:r>
        <w:rPr>
          <w:rFonts w:ascii="Calibri" w:cs="Calibri" w:eastAsia="Calibri" w:hAnsi="Calibri"/>
          <w:color w:val="22303C"/>
          <w:sz w:val="20"/>
          <w:szCs w:val="20"/>
        </w:rPr>
        <w:t xml:space="preserve">An architecture document that only lists an option’s faults is advocacy, not analysis. MCP earns its adoption for real reasons, and four of its ideas are load-bearing in the recommended design:</w:t>
      </w:r>
    </w:p>
    <w:p>
      <w:pPr>
        <w:pStyle w:val="ListParagraph"/>
        <w:numPr>
          <w:ilvl w:val="0"/>
          <w:numId w:val="6"/>
        </w:numPr>
        <w:spacing w:after="66" w:before="24" w:line="262"/>
        <w:jc w:val="both"/>
      </w:pPr>
      <w:r>
        <w:rPr>
          <w:rFonts w:ascii="Calibri" w:cs="Calibri" w:eastAsia="Calibri" w:hAnsi="Calibri"/>
          <w:b/>
          <w:bCs/>
          <w:color w:val="22303C"/>
          <w:sz w:val="20"/>
          <w:szCs w:val="20"/>
        </w:rPr>
        <w:t xml:space="preserve">One integration, many clients.</w:t>
      </w:r>
      <w:r>
        <w:rPr>
          <w:rFonts w:ascii="Calibri" w:cs="Calibri" w:eastAsia="Calibri" w:hAnsi="Calibri"/>
          <w:color w:val="22303C"/>
          <w:sz w:val="20"/>
          <w:szCs w:val="20"/>
        </w:rPr>
        <w:t xml:space="preserve"> A single endpoint reachable from every major agent runtime is genuinely valuable, and it is why the market moved so fast. ACE preserves this property by using plain HTTPS and JSON, which every runtime can reach without adopting anything.</w:t>
      </w:r>
    </w:p>
    <w:p>
      <w:pPr>
        <w:pStyle w:val="ListParagraph"/>
        <w:numPr>
          <w:ilvl w:val="0"/>
          <w:numId w:val="6"/>
        </w:numPr>
        <w:spacing w:after="66" w:before="24" w:line="262"/>
        <w:jc w:val="both"/>
      </w:pPr>
      <w:r>
        <w:rPr>
          <w:rFonts w:ascii="Calibri" w:cs="Calibri" w:eastAsia="Calibri" w:hAnsi="Calibri"/>
          <w:b/>
          <w:bCs/>
          <w:color w:val="22303C"/>
          <w:sz w:val="20"/>
          <w:szCs w:val="20"/>
        </w:rPr>
        <w:t xml:space="preserve">Machine-readable capability description.</w:t>
      </w:r>
      <w:r>
        <w:rPr>
          <w:rFonts w:ascii="Calibri" w:cs="Calibri" w:eastAsia="Calibri" w:hAnsi="Calibri"/>
          <w:color w:val="22303C"/>
          <w:sz w:val="20"/>
          <w:szCs w:val="20"/>
        </w:rPr>
        <w:t xml:space="preserve"> Self-describing operations with JSON Schema arguments are the right instinct. ACE keeps schemas; it simply refuses to load all of them at once.</w:t>
      </w:r>
    </w:p>
    <w:p>
      <w:pPr>
        <w:pStyle w:val="ListParagraph"/>
        <w:numPr>
          <w:ilvl w:val="0"/>
          <w:numId w:val="6"/>
        </w:numPr>
        <w:spacing w:after="66" w:before="24" w:line="262"/>
        <w:jc w:val="both"/>
      </w:pPr>
      <w:r>
        <w:rPr>
          <w:rFonts w:ascii="Calibri" w:cs="Calibri" w:eastAsia="Calibri" w:hAnsi="Calibri"/>
          <w:b/>
          <w:bCs/>
          <w:color w:val="22303C"/>
          <w:sz w:val="20"/>
          <w:szCs w:val="20"/>
        </w:rPr>
        <w:t xml:space="preserve">Progressive disclosure and code-mode execution.</w:t>
      </w:r>
      <w:r>
        <w:rPr>
          <w:rFonts w:ascii="Calibri" w:cs="Calibri" w:eastAsia="Calibri" w:hAnsi="Calibri"/>
          <w:color w:val="22303C"/>
          <w:sz w:val="20"/>
          <w:szCs w:val="20"/>
        </w:rPr>
        <w:t xml:space="preserve"> The protocol’s own 2026 direction — tool search, deferred schema loading, server-side sandboxed execution — is an admission that dumping a catalogue into context does not scale. ACE starts from that conclusion rather than retrofitting it.</w:t>
      </w:r>
    </w:p>
    <w:p>
      <w:pPr>
        <w:pStyle w:val="ListParagraph"/>
        <w:numPr>
          <w:ilvl w:val="0"/>
          <w:numId w:val="6"/>
        </w:numPr>
        <w:spacing w:after="66" w:before="24" w:line="262"/>
        <w:jc w:val="both"/>
      </w:pPr>
      <w:r>
        <w:rPr>
          <w:rFonts w:ascii="Calibri" w:cs="Calibri" w:eastAsia="Calibri" w:hAnsi="Calibri"/>
          <w:b/>
          <w:bCs/>
          <w:color w:val="22303C"/>
          <w:sz w:val="20"/>
          <w:szCs w:val="20"/>
        </w:rPr>
        <w:t xml:space="preserve">OAuth 2.1 as the authorisation baseline.</w:t>
      </w:r>
      <w:r>
        <w:rPr>
          <w:rFonts w:ascii="Calibri" w:cs="Calibri" w:eastAsia="Calibri" w:hAnsi="Calibri"/>
          <w:color w:val="22303C"/>
          <w:sz w:val="20"/>
          <w:szCs w:val="20"/>
        </w:rPr>
        <w:t xml:space="preserve"> Resource servers, audience-restricted tokens, PKCE. ACE inherits this and extends it with RFC 9396 authorisation details, RFC 8693 token exchange and sender-constrained tokens.</w:t>
      </w:r>
    </w:p>
    <w:p>
      <w:pPr>
        <w:keepNext w:val="false"/>
        <w:spacing w:after="130" w:before="0" w:line="268"/>
        <w:jc w:val="both"/>
      </w:pPr>
      <w:r>
        <w:rPr>
          <w:rFonts w:ascii="Calibri" w:cs="Calibri" w:eastAsia="Calibri" w:hAnsi="Calibri"/>
          <w:color w:val="22303C"/>
          <w:sz w:val="20"/>
          <w:szCs w:val="20"/>
        </w:rPr>
        <w:t xml:space="preserve">What ACE does not keep is the shape of the interaction: a stateful session in which an untrusted model holds a menu of the provider’s primitive operations and decides, turn by turn, which ones to fire.</w:t>
      </w:r>
    </w:p>
    <w:p>
      <w:pPr>
        <w:pStyle w:val="Heading2"/>
      </w:pPr>
      <w:r>
        <w:rPr>
          <w:rFonts w:ascii="Calibri Light" w:cs="Calibri Light" w:eastAsia="Calibri Light" w:hAnsi="Calibri Light"/>
          <w:color w:val="1B3A5C"/>
          <w:sz w:val="23"/>
          <w:szCs w:val="23"/>
        </w:rPr>
        <w:t xml:space="preserve">3.2  Structural mismatches for a regulated capability provider</w:t>
      </w:r>
    </w:p>
    <w:tbl>
      <w:tblPr>
        <w:tblW w:type="dxa" w:w="10080"/>
        <w:tblBorders>
          <w:top w:val="single" w:color="1B3A5C" w:sz="4"/>
          <w:left w:val="none" w:color="FFFFFF" w:sz="0"/>
          <w:bottom w:val="single" w:color="1B3A5C" w:sz="4"/>
          <w:right w:val="none" w:color="FFFFFF" w:sz="0"/>
          <w:insideH w:val="single" w:color="C7D0DA" w:sz="2"/>
          <w:insideV w:val="single" w:color="C7D0DA" w:sz="2"/>
        </w:tblBorders>
      </w:tblPr>
      <w:tblGrid>
        <w:gridCol w:w="605"/>
        <w:gridCol w:w="4032"/>
        <w:gridCol w:w="5443"/>
      </w:tblGrid>
      <w:tr>
        <w:trPr>
          <w:tblHeader/>
        </w:trPr>
        <w:tc>
          <w:tcPr>
            <w:tcW w:type="dxa" w:w="605"/>
            <w:shd w:fill="1B3A5C"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FFFFFF"/>
                <w:sz w:val="17"/>
                <w:szCs w:val="17"/>
              </w:rPr>
              <w:t xml:space="preserve">#</w:t>
            </w:r>
          </w:p>
        </w:tc>
        <w:tc>
          <w:tcPr>
            <w:tcW w:type="dxa" w:w="4032"/>
            <w:shd w:fill="1B3A5C"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FFFFFF"/>
                <w:sz w:val="17"/>
                <w:szCs w:val="17"/>
              </w:rPr>
              <w:t xml:space="preserve">Mismatch</w:t>
            </w:r>
          </w:p>
        </w:tc>
        <w:tc>
          <w:tcPr>
            <w:tcW w:type="dxa" w:w="5443"/>
            <w:shd w:fill="1B3A5C"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FFFFFF"/>
                <w:sz w:val="17"/>
                <w:szCs w:val="17"/>
              </w:rPr>
              <w:t xml:space="preserve">Why it matters here</w:t>
            </w:r>
          </w:p>
        </w:tc>
      </w:tr>
      <w:tr>
        <w:tc>
          <w:tcPr>
            <w:tcW w:type="dxa" w:w="605"/>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M-1</w:t>
            </w:r>
          </w:p>
        </w:tc>
        <w:tc>
          <w:tcPr>
            <w:tcW w:type="dxa" w:w="4032"/>
            <w:tcMar>
              <w:top w:type="dxa" w:w="60"/>
              <w:left w:type="dxa" w:w="100"/>
              <w:bottom w:type="dxa" w:w="60"/>
              <w:right w:type="dxa" w:w="100"/>
            </w:tcMar>
            <w:vAlign w:val="top"/>
          </w:tcPr>
          <w:p>
            <w:pPr>
              <w:spacing w:after="40" w:before="40" w:line="240"/>
              <w:jc w:val="left"/>
            </w:pPr>
            <w:r>
              <w:rPr>
                <w:rFonts w:ascii="Calibri" w:cs="Calibri" w:eastAsia="Calibri" w:hAnsi="Calibri"/>
                <w:b/>
                <w:bCs/>
                <w:color w:val="22303C"/>
                <w:sz w:val="17"/>
                <w:szCs w:val="17"/>
              </w:rPr>
              <w:t xml:space="preserve">Tool-centric, not outcome-centric.</w:t>
            </w:r>
            <w:r>
              <w:rPr>
                <w:rFonts w:ascii="Calibri" w:cs="Calibri" w:eastAsia="Calibri" w:hAnsi="Calibri"/>
                <w:color w:val="22303C"/>
                <w:sz w:val="17"/>
                <w:szCs w:val="17"/>
              </w:rPr>
              <w:t xml:space="preserve"> The unit of interaction is a function call, so the provider’s internal operation set becomes the external contract.</w:t>
            </w:r>
          </w:p>
        </w:tc>
        <w:tc>
          <w:tcPr>
            <w:tcW w:type="dxa" w:w="5443"/>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The published surface ossifies. Refactoring the OMS becomes a breaking change for every customer’s agent. Worse, the model — not the provider — composes primitives into business outcomes, so the provider cannot reason about, price, or supervise the outcome.</w:t>
            </w:r>
          </w:p>
        </w:tc>
      </w:tr>
      <w:tr>
        <w:tc>
          <w:tcPr>
            <w:tcW w:type="dxa" w:w="605"/>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M-2</w:t>
            </w:r>
          </w:p>
        </w:tc>
        <w:tc>
          <w:tcPr>
            <w:tcW w:type="dxa" w:w="4032"/>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b/>
                <w:bCs/>
                <w:color w:val="22303C"/>
                <w:sz w:val="17"/>
                <w:szCs w:val="17"/>
              </w:rPr>
              <w:t xml:space="preserve">Authority is granted per session, consumed per call.</w:t>
            </w:r>
            <w:r>
              <w:rPr>
                <w:rFonts w:ascii="Calibri" w:cs="Calibri" w:eastAsia="Calibri" w:hAnsi="Calibri"/>
                <w:color w:val="22303C"/>
                <w:sz w:val="17"/>
                <w:szCs w:val="17"/>
              </w:rPr>
              <w:t xml:space="preserve"> A connected agent holds a token whose scope covers everything the tool set can do, for as long as the grant lives.</w:t>
            </w:r>
          </w:p>
        </w:tc>
        <w:tc>
          <w:tcPr>
            <w:tcW w:type="dxa" w:w="5443"/>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Directly conflicts with AP-3 and with REG-2’s per-action expectation. There is no protocol-level place to bind “this authorisation is for this order, at this price, once.”</w:t>
            </w:r>
          </w:p>
        </w:tc>
      </w:tr>
      <w:tr>
        <w:tc>
          <w:tcPr>
            <w:tcW w:type="dxa" w:w="605"/>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M-3</w:t>
            </w:r>
          </w:p>
        </w:tc>
        <w:tc>
          <w:tcPr>
            <w:tcW w:type="dxa" w:w="4032"/>
            <w:tcMar>
              <w:top w:type="dxa" w:w="60"/>
              <w:left w:type="dxa" w:w="100"/>
              <w:bottom w:type="dxa" w:w="60"/>
              <w:right w:type="dxa" w:w="100"/>
            </w:tcMar>
            <w:vAlign w:val="top"/>
          </w:tcPr>
          <w:p>
            <w:pPr>
              <w:spacing w:after="40" w:before="40" w:line="240"/>
              <w:jc w:val="left"/>
            </w:pPr>
            <w:r>
              <w:rPr>
                <w:rFonts w:ascii="Calibri" w:cs="Calibri" w:eastAsia="Calibri" w:hAnsi="Calibri"/>
                <w:b/>
                <w:bCs/>
                <w:color w:val="22303C"/>
                <w:sz w:val="17"/>
                <w:szCs w:val="17"/>
              </w:rPr>
              <w:t xml:space="preserve">Control logic tends to migrate into the description text.</w:t>
            </w:r>
            <w:r>
              <w:rPr>
                <w:rFonts w:ascii="Calibri" w:cs="Calibri" w:eastAsia="Calibri" w:hAnsi="Calibri"/>
                <w:color w:val="22303C"/>
                <w:sz w:val="17"/>
                <w:szCs w:val="17"/>
              </w:rPr>
              <w:t xml:space="preserve"> Constraints get expressed as prose in tool descriptions and hints, which the model may or may not honour.</w:t>
            </w:r>
          </w:p>
        </w:tc>
        <w:tc>
          <w:tcPr>
            <w:tcW w:type="dxa" w:w="5443"/>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Under REG-1 controls must be under the broker-dealer’s direct and exclusive control. A constraint that lives in a string the model can ignore is not a control; it is a suggestion.</w:t>
            </w:r>
          </w:p>
        </w:tc>
      </w:tr>
      <w:tr>
        <w:tc>
          <w:tcPr>
            <w:tcW w:type="dxa" w:w="605"/>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M-4</w:t>
            </w:r>
          </w:p>
        </w:tc>
        <w:tc>
          <w:tcPr>
            <w:tcW w:type="dxa" w:w="4032"/>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b/>
                <w:bCs/>
                <w:color w:val="22303C"/>
                <w:sz w:val="17"/>
                <w:szCs w:val="17"/>
              </w:rPr>
              <w:t xml:space="preserve">Context coupling.</w:t>
            </w:r>
            <w:r>
              <w:rPr>
                <w:rFonts w:ascii="Calibri" w:cs="Calibri" w:eastAsia="Calibri" w:hAnsi="Calibri"/>
                <w:color w:val="22303C"/>
                <w:sz w:val="17"/>
                <w:szCs w:val="17"/>
              </w:rPr>
              <w:t xml:space="preserve"> The provider’s schema verbosity directly consumes the customer’s context window and degrades their agent’s reasoning quality.</w:t>
            </w:r>
          </w:p>
        </w:tc>
        <w:tc>
          <w:tcPr>
            <w:tcW w:type="dxa" w:w="5443"/>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A 44-tool catalogue costs roughly 13,000 tokens of every turn. Published measurements put quality degradation past ~50 loaded tool definitions. The provider is charged for the failure in reputation while the customer is charged for it in tokens.</w:t>
            </w:r>
          </w:p>
        </w:tc>
      </w:tr>
      <w:tr>
        <w:tc>
          <w:tcPr>
            <w:tcW w:type="dxa" w:w="605"/>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M-5</w:t>
            </w:r>
          </w:p>
        </w:tc>
        <w:tc>
          <w:tcPr>
            <w:tcW w:type="dxa" w:w="4032"/>
            <w:tcMar>
              <w:top w:type="dxa" w:w="60"/>
              <w:left w:type="dxa" w:w="100"/>
              <w:bottom w:type="dxa" w:w="60"/>
              <w:right w:type="dxa" w:w="100"/>
            </w:tcMar>
            <w:vAlign w:val="top"/>
          </w:tcPr>
          <w:p>
            <w:pPr>
              <w:spacing w:after="40" w:before="40" w:line="240"/>
              <w:jc w:val="left"/>
            </w:pPr>
            <w:r>
              <w:rPr>
                <w:rFonts w:ascii="Calibri" w:cs="Calibri" w:eastAsia="Calibri" w:hAnsi="Calibri"/>
                <w:b/>
                <w:bCs/>
                <w:color w:val="22303C"/>
                <w:sz w:val="17"/>
                <w:szCs w:val="17"/>
              </w:rPr>
              <w:t xml:space="preserve">Statefulness at the edge.</w:t>
            </w:r>
            <w:r>
              <w:rPr>
                <w:rFonts w:ascii="Calibri" w:cs="Calibri" w:eastAsia="Calibri" w:hAnsi="Calibri"/>
                <w:color w:val="22303C"/>
                <w:sz w:val="17"/>
                <w:szCs w:val="17"/>
              </w:rPr>
              <w:t xml:space="preserve"> Long-lived sessions with server-side state must be maintained, routed stickily, and defended against hijack and replay.</w:t>
            </w:r>
          </w:p>
        </w:tc>
        <w:tc>
          <w:tcPr>
            <w:tcW w:type="dxa" w:w="5443"/>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It is infrastructure the provider pays for on behalf of an external reasoning loop, and an attack surface that a request-scoped design simply does not have.</w:t>
            </w:r>
          </w:p>
        </w:tc>
      </w:tr>
      <w:tr>
        <w:tc>
          <w:tcPr>
            <w:tcW w:type="dxa" w:w="605"/>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M-6</w:t>
            </w:r>
          </w:p>
        </w:tc>
        <w:tc>
          <w:tcPr>
            <w:tcW w:type="dxa" w:w="4032"/>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b/>
                <w:bCs/>
                <w:color w:val="22303C"/>
                <w:sz w:val="17"/>
                <w:szCs w:val="17"/>
              </w:rPr>
              <w:t xml:space="preserve">Read/write symmetry.</w:t>
            </w:r>
            <w:r>
              <w:rPr>
                <w:rFonts w:ascii="Calibri" w:cs="Calibri" w:eastAsia="Calibri" w:hAnsi="Calibri"/>
                <w:color w:val="22303C"/>
                <w:sz w:val="17"/>
                <w:szCs w:val="17"/>
              </w:rPr>
              <w:t xml:space="preserve"> Reads and writes are the same kind of thing — a tool call — so they attract the same ceremony and the same (weak) guarantees.</w:t>
            </w:r>
          </w:p>
        </w:tc>
        <w:tc>
          <w:tcPr>
            <w:tcW w:type="dxa" w:w="5443"/>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In a brokerage the asymmetry is the whole point. Reads should be cheap, broad and metered; writes should be rare, expensive, simulated and signed.</w:t>
            </w:r>
          </w:p>
        </w:tc>
      </w:tr>
      <w:tr>
        <w:tc>
          <w:tcPr>
            <w:tcW w:type="dxa" w:w="605"/>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M-7</w:t>
            </w:r>
          </w:p>
        </w:tc>
        <w:tc>
          <w:tcPr>
            <w:tcW w:type="dxa" w:w="4032"/>
            <w:tcMar>
              <w:top w:type="dxa" w:w="60"/>
              <w:left w:type="dxa" w:w="100"/>
              <w:bottom w:type="dxa" w:w="60"/>
              <w:right w:type="dxa" w:w="100"/>
            </w:tcMar>
            <w:vAlign w:val="top"/>
          </w:tcPr>
          <w:p>
            <w:pPr>
              <w:spacing w:after="40" w:before="40" w:line="240"/>
              <w:jc w:val="left"/>
            </w:pPr>
            <w:r>
              <w:rPr>
                <w:rFonts w:ascii="Calibri" w:cs="Calibri" w:eastAsia="Calibri" w:hAnsi="Calibri"/>
                <w:b/>
                <w:bCs/>
                <w:color w:val="22303C"/>
                <w:sz w:val="17"/>
                <w:szCs w:val="17"/>
              </w:rPr>
              <w:t xml:space="preserve">Evidence is incidental.</w:t>
            </w:r>
            <w:r>
              <w:rPr>
                <w:rFonts w:ascii="Calibri" w:cs="Calibri" w:eastAsia="Calibri" w:hAnsi="Calibri"/>
                <w:color w:val="22303C"/>
                <w:sz w:val="17"/>
                <w:szCs w:val="17"/>
              </w:rPr>
              <w:t xml:space="preserve"> The durable artefact is “the model called </w:t>
            </w:r>
            <w:r>
              <w:rPr>
                <w:rFonts w:ascii="Consolas" w:cs="Consolas" w:eastAsia="Consolas" w:hAnsi="Consolas"/>
                <w:color w:val="12293F"/>
                <w:sz w:val="14"/>
                <w:szCs w:val="14"/>
              </w:rPr>
              <w:t xml:space="preserve">place_equity_order</w:t>
            </w:r>
            <w:r>
              <w:rPr>
                <w:rFonts w:ascii="Calibri" w:cs="Calibri" w:eastAsia="Calibri" w:hAnsi="Calibri"/>
                <w:color w:val="22303C"/>
                <w:sz w:val="17"/>
                <w:szCs w:val="17"/>
              </w:rPr>
              <w:t xml:space="preserve"> with these arguments.”</w:t>
            </w:r>
          </w:p>
        </w:tc>
        <w:tc>
          <w:tcPr>
            <w:tcW w:type="dxa" w:w="5443"/>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That is not evidence of authorisation. It cannot answer “what did the customer agree to, at what price, at what time, with what credential?” — the exact question a dispute or an examiner asks.</w:t>
            </w:r>
          </w:p>
        </w:tc>
      </w:tr>
      <w:tr>
        <w:tc>
          <w:tcPr>
            <w:tcW w:type="dxa" w:w="605"/>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M-8</w:t>
            </w:r>
          </w:p>
        </w:tc>
        <w:tc>
          <w:tcPr>
            <w:tcW w:type="dxa" w:w="4032"/>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b/>
                <w:bCs/>
                <w:color w:val="22303C"/>
                <w:sz w:val="17"/>
                <w:szCs w:val="17"/>
              </w:rPr>
              <w:t xml:space="preserve">Client-matrix ownership.</w:t>
            </w:r>
            <w:r>
              <w:rPr>
                <w:rFonts w:ascii="Calibri" w:cs="Calibri" w:eastAsia="Calibri" w:hAnsi="Calibri"/>
                <w:color w:val="22303C"/>
                <w:sz w:val="17"/>
                <w:szCs w:val="17"/>
              </w:rPr>
              <w:t xml:space="preserve"> The provider inherits responsibility for behaviour across every host runtime, each with its own approval UI, tool limits and version cadence.</w:t>
            </w:r>
          </w:p>
        </w:tc>
        <w:tc>
          <w:tcPr>
            <w:tcW w:type="dxa" w:w="5443"/>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Support and compatibility cost scale with the number of client platforms, not with the number of features the provider ships. Published troubleshooting guidance for these products largely reduces to “disconnect and reconnect” — an honest signal of where the operational burden lands.</w:t>
            </w:r>
          </w:p>
        </w:tc>
      </w:tr>
    </w:tbl>
    <w:p>
      <w:pPr>
        <w:pStyle w:val="Heading2"/>
      </w:pPr>
      <w:r>
        <w:rPr>
          <w:rFonts w:ascii="Calibri Light" w:cs="Calibri Light" w:eastAsia="Calibri Light" w:hAnsi="Calibri Light"/>
          <w:color w:val="1B3A5C"/>
          <w:sz w:val="23"/>
          <w:szCs w:val="23"/>
        </w:rPr>
        <w:t xml:space="preserve">3.3  Security risk register</w:t>
      </w:r>
    </w:p>
    <w:p>
      <w:pPr>
        <w:keepNext w:val="false"/>
        <w:spacing w:after="130" w:before="0" w:line="268"/>
        <w:jc w:val="both"/>
      </w:pPr>
      <w:r>
        <w:rPr>
          <w:rFonts w:ascii="Calibri" w:cs="Calibri" w:eastAsia="Calibri" w:hAnsi="Calibri"/>
          <w:color w:val="22303C"/>
          <w:sz w:val="20"/>
          <w:szCs w:val="20"/>
        </w:rPr>
        <w:t xml:space="preserve">The risks below are drawn from the 2025–2026 public record: the OWASP MCP Top 10 and Agentic Top 10, the Coalition for Secure AI MCP threat catalogue, vendor incident write-ups, and disclosed CVEs in MCP servers and clients. The final column is the one that matters for this decision: whether the risk is a defect that will be patched, or a property of the interaction shape.</w:t>
      </w:r>
    </w:p>
    <w:tbl>
      <w:tblPr>
        <w:tblW w:type="dxa" w:w="10080"/>
        <w:tblBorders>
          <w:top w:val="single" w:color="1B3A5C" w:sz="4"/>
          <w:left w:val="none" w:color="FFFFFF" w:sz="0"/>
          <w:bottom w:val="single" w:color="1B3A5C" w:sz="4"/>
          <w:right w:val="none" w:color="FFFFFF" w:sz="0"/>
          <w:insideH w:val="single" w:color="C7D0DA" w:sz="2"/>
          <w:insideV w:val="single" w:color="C7D0DA" w:sz="2"/>
        </w:tblBorders>
      </w:tblPr>
      <w:tblGrid>
        <w:gridCol w:w="504"/>
        <w:gridCol w:w="1512"/>
        <w:gridCol w:w="2722"/>
        <w:gridCol w:w="2722"/>
        <w:gridCol w:w="2620"/>
      </w:tblGrid>
      <w:tr>
        <w:trPr>
          <w:tblHeader/>
        </w:trPr>
        <w:tc>
          <w:tcPr>
            <w:tcW w:type="dxa" w:w="504"/>
            <w:shd w:fill="1B3A5C"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FFFFFF"/>
                <w:sz w:val="15"/>
                <w:szCs w:val="15"/>
              </w:rPr>
              <w:t xml:space="preserve">ID</w:t>
            </w:r>
          </w:p>
        </w:tc>
        <w:tc>
          <w:tcPr>
            <w:tcW w:type="dxa" w:w="1512"/>
            <w:shd w:fill="1B3A5C"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FFFFFF"/>
                <w:sz w:val="15"/>
                <w:szCs w:val="15"/>
              </w:rPr>
              <w:t xml:space="preserve">Risk</w:t>
            </w:r>
          </w:p>
        </w:tc>
        <w:tc>
          <w:tcPr>
            <w:tcW w:type="dxa" w:w="2722"/>
            <w:shd w:fill="1B3A5C"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FFFFFF"/>
                <w:sz w:val="15"/>
                <w:szCs w:val="15"/>
              </w:rPr>
              <w:t xml:space="preserve">Mechanism</w:t>
            </w:r>
          </w:p>
        </w:tc>
        <w:tc>
          <w:tcPr>
            <w:tcW w:type="dxa" w:w="2722"/>
            <w:shd w:fill="1B3A5C"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FFFFFF"/>
                <w:sz w:val="15"/>
                <w:szCs w:val="15"/>
              </w:rPr>
              <w:t xml:space="preserve">Brokerage impact</w:t>
            </w:r>
          </w:p>
        </w:tc>
        <w:tc>
          <w:tcPr>
            <w:tcW w:type="dxa" w:w="2620"/>
            <w:shd w:fill="1B3A5C"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FFFFFF"/>
                <w:sz w:val="15"/>
                <w:szCs w:val="15"/>
              </w:rPr>
              <w:t xml:space="preserve">Structural?</w:t>
            </w:r>
          </w:p>
        </w:tc>
      </w:tr>
      <w:tr>
        <w:tc>
          <w:tcPr>
            <w:tcW w:type="dxa" w:w="504"/>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S-1</w:t>
            </w:r>
          </w:p>
        </w:tc>
        <w:tc>
          <w:tcPr>
            <w:tcW w:type="dxa" w:w="1512"/>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Tool poisoning</w:t>
            </w:r>
          </w:p>
        </w:tc>
        <w:tc>
          <w:tcPr>
            <w:tcW w:type="dxa" w:w="2722"/>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Instructions embedded in a tool description or schema execute inside the model’s reasoning, since descriptions are read as authoritative text.</w:t>
            </w:r>
          </w:p>
        </w:tc>
        <w:tc>
          <w:tcPr>
            <w:tcW w:type="dxa" w:w="2722"/>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A poisoned description on any connected server can steer the model toward </w:t>
            </w:r>
            <w:r>
              <w:rPr>
                <w:rFonts w:ascii="Consolas" w:cs="Consolas" w:eastAsia="Consolas" w:hAnsi="Consolas"/>
                <w:color w:val="12293F"/>
                <w:sz w:val="14"/>
                <w:szCs w:val="14"/>
              </w:rPr>
              <w:t xml:space="preserve">place_equity_order</w:t>
            </w:r>
            <w:r>
              <w:rPr>
                <w:rFonts w:ascii="Calibri" w:cs="Calibri" w:eastAsia="Calibri" w:hAnsi="Calibri"/>
                <w:color w:val="22303C"/>
                <w:sz w:val="15"/>
                <w:szCs w:val="15"/>
              </w:rPr>
              <w:t xml:space="preserve"> with attacker-chosen arguments.</w:t>
            </w:r>
          </w:p>
        </w:tc>
        <w:tc>
          <w:tcPr>
            <w:tcW w:type="dxa" w:w="2620"/>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Yes — descriptions are the interface.</w:t>
            </w:r>
          </w:p>
        </w:tc>
      </w:tr>
      <w:tr>
        <w:tc>
          <w:tcPr>
            <w:tcW w:type="dxa" w:w="504"/>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S-2</w:t>
            </w:r>
          </w:p>
        </w:tc>
        <w:tc>
          <w:tcPr>
            <w:tcW w:type="dxa" w:w="1512"/>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Silent redefinition (“rug pull”)</w:t>
            </w:r>
          </w:p>
        </w:tc>
        <w:tc>
          <w:tcPr>
            <w:tcW w:type="dxa" w:w="2722"/>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A server changes a tool’s definition after the user approved it; many clients re-trust without re-approval.</w:t>
            </w:r>
          </w:p>
        </w:tc>
        <w:tc>
          <w:tcPr>
            <w:tcW w:type="dxa" w:w="2722"/>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The reviewed and the executed capability differ. Consent becomes stale and unverifiable.</w:t>
            </w:r>
          </w:p>
        </w:tc>
        <w:tc>
          <w:tcPr>
            <w:tcW w:type="dxa" w:w="2620"/>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Yes — no binding between approval and definition.</w:t>
            </w:r>
          </w:p>
        </w:tc>
      </w:tr>
      <w:tr>
        <w:tc>
          <w:tcPr>
            <w:tcW w:type="dxa" w:w="504"/>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S-3</w:t>
            </w:r>
          </w:p>
        </w:tc>
        <w:tc>
          <w:tcPr>
            <w:tcW w:type="dxa" w:w="1512"/>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Tool shadowing / cross-server interference</w:t>
            </w:r>
          </w:p>
        </w:tc>
        <w:tc>
          <w:tcPr>
            <w:tcW w:type="dxa" w:w="2722"/>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A malicious server’s definitions alter how the model uses a legitimate server’s tools; cascade rates above 70% are reported when multiple servers are compromised.</w:t>
            </w:r>
          </w:p>
        </w:tc>
        <w:tc>
          <w:tcPr>
            <w:tcW w:type="dxa" w:w="2722"/>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The broker’s honest tools become the exfiltration or execution path for another vendor’s compromise.</w:t>
            </w:r>
          </w:p>
        </w:tc>
        <w:tc>
          <w:tcPr>
            <w:tcW w:type="dxa" w:w="2620"/>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Yes — shared context, no isolation.</w:t>
            </w:r>
          </w:p>
        </w:tc>
      </w:tr>
      <w:tr>
        <w:tc>
          <w:tcPr>
            <w:tcW w:type="dxa" w:w="504"/>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S-4</w:t>
            </w:r>
          </w:p>
        </w:tc>
        <w:tc>
          <w:tcPr>
            <w:tcW w:type="dxa" w:w="1512"/>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Confused deputy via OAuth proxying</w:t>
            </w:r>
          </w:p>
        </w:tc>
        <w:tc>
          <w:tcPr>
            <w:tcW w:type="dxa" w:w="2722"/>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A proxy with a static client ID plus dynamic client registration can be induced to reuse an existing consent cookie and hand an attacker an authorisation code.</w:t>
            </w:r>
          </w:p>
        </w:tc>
        <w:tc>
          <w:tcPr>
            <w:tcW w:type="dxa" w:w="2722"/>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Account linkage without the customer ever seeing a consent screen.</w:t>
            </w:r>
          </w:p>
        </w:tc>
        <w:tc>
          <w:tcPr>
            <w:tcW w:type="dxa" w:w="2620"/>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Partly — avoidable, but the proxy pattern invites it.</w:t>
            </w:r>
          </w:p>
        </w:tc>
      </w:tr>
      <w:tr>
        <w:tc>
          <w:tcPr>
            <w:tcW w:type="dxa" w:w="504"/>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S-5</w:t>
            </w:r>
          </w:p>
        </w:tc>
        <w:tc>
          <w:tcPr>
            <w:tcW w:type="dxa" w:w="1512"/>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Token passthrough / audience confusion</w:t>
            </w:r>
          </w:p>
        </w:tc>
        <w:tc>
          <w:tcPr>
            <w:tcW w:type="dxa" w:w="2722"/>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A server accepts tokens not issued for it and forwards them downstream, defeating audience validation and accountability.</w:t>
            </w:r>
          </w:p>
        </w:tc>
        <w:tc>
          <w:tcPr>
            <w:tcW w:type="dxa" w:w="2722"/>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Downstream systems cannot tell which principal acted; attribution and revocation both fail.</w:t>
            </w:r>
          </w:p>
        </w:tc>
        <w:tc>
          <w:tcPr>
            <w:tcW w:type="dxa" w:w="2620"/>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No — an anti-pattern, but common.</w:t>
            </w:r>
          </w:p>
        </w:tc>
      </w:tr>
      <w:tr>
        <w:tc>
          <w:tcPr>
            <w:tcW w:type="dxa" w:w="504"/>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S-6</w:t>
            </w:r>
          </w:p>
        </w:tc>
        <w:tc>
          <w:tcPr>
            <w:tcW w:type="dxa" w:w="1512"/>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Credential aggregation in client config</w:t>
            </w:r>
          </w:p>
        </w:tc>
        <w:tc>
          <w:tcPr>
            <w:tcW w:type="dxa" w:w="2722"/>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Keys and tokens accumulate in client configuration files on the user’s machine; audits have surfaced tens of thousands of exposed secrets.</w:t>
            </w:r>
          </w:p>
        </w:tc>
        <w:tc>
          <w:tcPr>
            <w:tcW w:type="dxa" w:w="2722"/>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One compromised laptop yields brokerage credentials alongside every other connected service.</w:t>
            </w:r>
          </w:p>
        </w:tc>
        <w:tc>
          <w:tcPr>
            <w:tcW w:type="dxa" w:w="2620"/>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Yes — the client is the credential store.</w:t>
            </w:r>
          </w:p>
        </w:tc>
      </w:tr>
      <w:tr>
        <w:tc>
          <w:tcPr>
            <w:tcW w:type="dxa" w:w="504"/>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S-7</w:t>
            </w:r>
          </w:p>
        </w:tc>
        <w:tc>
          <w:tcPr>
            <w:tcW w:type="dxa" w:w="1512"/>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Indirect prompt injection to tool misuse</w:t>
            </w:r>
          </w:p>
        </w:tc>
        <w:tc>
          <w:tcPr>
            <w:tcW w:type="dxa" w:w="2722"/>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Untrusted content the agent reads becomes instructions; the agent then uses its legitimate authority.</w:t>
            </w:r>
          </w:p>
        </w:tc>
        <w:tc>
          <w:tcPr>
            <w:tcW w:type="dxa" w:w="2722"/>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“Sell everything and buy X” originating from a web page, executed with the customer’s own authority.</w:t>
            </w:r>
          </w:p>
        </w:tc>
        <w:tc>
          <w:tcPr>
            <w:tcW w:type="dxa" w:w="2620"/>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Yes — and not solved by any transport.</w:t>
            </w:r>
          </w:p>
        </w:tc>
      </w:tr>
      <w:tr>
        <w:tc>
          <w:tcPr>
            <w:tcW w:type="dxa" w:w="504"/>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S-8</w:t>
            </w:r>
          </w:p>
        </w:tc>
        <w:tc>
          <w:tcPr>
            <w:tcW w:type="dxa" w:w="1512"/>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Approval-view fidelity gap</w:t>
            </w:r>
          </w:p>
        </w:tc>
        <w:tc>
          <w:tcPr>
            <w:tcW w:type="dxa" w:w="2722"/>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What the approval dialog renders differs from what is transmitted — for example via concealed Unicode tag blocks in tool metadata, demonstrated across independent server implementations in 2026.</w:t>
            </w:r>
          </w:p>
        </w:tc>
        <w:tc>
          <w:tcPr>
            <w:tcW w:type="dxa" w:w="2722"/>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The customer approves a $250 order and a different order executes. Consent is worthless if the rendered artefact is not the signed artefact.</w:t>
            </w:r>
          </w:p>
        </w:tc>
        <w:tc>
          <w:tcPr>
            <w:tcW w:type="dxa" w:w="2620"/>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Yes — unless approval is cryptographically hash-bound.</w:t>
            </w:r>
          </w:p>
        </w:tc>
      </w:tr>
      <w:tr>
        <w:tc>
          <w:tcPr>
            <w:tcW w:type="dxa" w:w="504"/>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S-9</w:t>
            </w:r>
          </w:p>
        </w:tc>
        <w:tc>
          <w:tcPr>
            <w:tcW w:type="dxa" w:w="1512"/>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Over-broad read scope</w:t>
            </w:r>
          </w:p>
        </w:tc>
        <w:tc>
          <w:tcPr>
            <w:tcW w:type="dxa" w:w="2722"/>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Connection-time grants are coarse; published disclosures for shipping products include read access to all accounts, account numbers, all positions, balances and transaction history.</w:t>
            </w:r>
          </w:p>
        </w:tc>
        <w:tc>
          <w:tcPr>
            <w:tcW w:type="dxa" w:w="2722"/>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Full financial profile of the customer, plus account identifiers, resident in a third-party model’s context and logs.</w:t>
            </w:r>
          </w:p>
        </w:tc>
        <w:tc>
          <w:tcPr>
            <w:tcW w:type="dxa" w:w="2620"/>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Partly — scope design, but the grant model encourages breadth.</w:t>
            </w:r>
          </w:p>
        </w:tc>
      </w:tr>
      <w:tr>
        <w:tc>
          <w:tcPr>
            <w:tcW w:type="dxa" w:w="504"/>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S-10</w:t>
            </w:r>
          </w:p>
        </w:tc>
        <w:tc>
          <w:tcPr>
            <w:tcW w:type="dxa" w:w="1512"/>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Server implementation vulnerabilities</w:t>
            </w:r>
          </w:p>
        </w:tc>
        <w:tc>
          <w:tcPr>
            <w:tcW w:type="dxa" w:w="2722"/>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SSRF, command injection, arbitrary file write and RCE have been disclosed in widely used servers, proxies and inspectors.</w:t>
            </w:r>
          </w:p>
        </w:tc>
        <w:tc>
          <w:tcPr>
            <w:tcW w:type="dxa" w:w="2722"/>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Standard appsec exposure, but on a component whose whole job is to hold privileged credentials.</w:t>
            </w:r>
          </w:p>
        </w:tc>
        <w:tc>
          <w:tcPr>
            <w:tcW w:type="dxa" w:w="2620"/>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No — ordinary defect class.</w:t>
            </w:r>
          </w:p>
        </w:tc>
      </w:tr>
      <w:tr>
        <w:tc>
          <w:tcPr>
            <w:tcW w:type="dxa" w:w="504"/>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S-11</w:t>
            </w:r>
          </w:p>
        </w:tc>
        <w:tc>
          <w:tcPr>
            <w:tcW w:type="dxa" w:w="1512"/>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Session hijack and replay</w:t>
            </w:r>
          </w:p>
        </w:tc>
        <w:tc>
          <w:tcPr>
            <w:tcW w:type="dxa" w:w="2722"/>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Long-lived sessions and session-as-authentication patterns extend the window for stolen state to be reused.</w:t>
            </w:r>
          </w:p>
        </w:tc>
        <w:tc>
          <w:tcPr>
            <w:tcW w:type="dxa" w:w="2722"/>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Order submission from a replayed session with no fresh human authority.</w:t>
            </w:r>
          </w:p>
        </w:tc>
        <w:tc>
          <w:tcPr>
            <w:tcW w:type="dxa" w:w="2620"/>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Yes — a property of stateful sessions.</w:t>
            </w:r>
          </w:p>
        </w:tc>
      </w:tr>
      <w:tr>
        <w:tc>
          <w:tcPr>
            <w:tcW w:type="dxa" w:w="504"/>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S-12</w:t>
            </w:r>
          </w:p>
        </w:tc>
        <w:tc>
          <w:tcPr>
            <w:tcW w:type="dxa" w:w="1512"/>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Unbounded agency</w:t>
            </w:r>
          </w:p>
        </w:tc>
        <w:tc>
          <w:tcPr>
            <w:tcW w:type="dxa" w:w="2722"/>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Nothing in the protocol expresses a per-action ceiling, a spend cap, an instrument whitelist, or a binding to a specific approved outcome.</w:t>
            </w:r>
          </w:p>
        </w:tc>
        <w:tc>
          <w:tcPr>
            <w:tcW w:type="dxa" w:w="2722"/>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The gap between “the agent may trade” and “the agent may buy 12 ROAR at ≤ 205.00, once, in the next five minutes” is the entire risk.</w:t>
            </w:r>
          </w:p>
        </w:tc>
        <w:tc>
          <w:tcPr>
            <w:tcW w:type="dxa" w:w="2620"/>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Yes — the protocol has no place to put it.</w:t>
            </w:r>
          </w:p>
        </w:tc>
      </w:tr>
    </w:tbl>
    <w:p>
      <w:pPr>
        <w:pStyle w:val="Heading2"/>
      </w:pPr>
      <w:r>
        <w:rPr>
          <w:rFonts w:ascii="Calibri Light" w:cs="Calibri Light" w:eastAsia="Calibri Light" w:hAnsi="Calibri Light"/>
          <w:color w:val="1B3A5C"/>
          <w:sz w:val="23"/>
          <w:szCs w:val="23"/>
        </w:rPr>
        <w:t xml:space="preserve">3.4  What this architecture does not fix</w:t>
      </w:r>
    </w:p>
    <w:tbl>
      <w:tblPr>
        <w:tblW w:type="dxa" w:w="10080"/>
        <w:tblBorders>
          <w:top w:val="single" w:color="A83B32" w:sz="2"/>
          <w:left w:val="single" w:color="A83B32" w:sz="14"/>
          <w:bottom w:val="single" w:color="A83B32" w:sz="2"/>
          <w:right w:val="single" w:color="A83B32" w:sz="2"/>
          <w:insideH w:val="none" w:color="F8ECEA" w:sz="0"/>
          <w:insideV w:val="none" w:color="F8ECEA" w:sz="0"/>
        </w:tblBorders>
      </w:tblPr>
      <w:tblGrid>
        <w:gridCol w:w="10080"/>
      </w:tblGrid>
      <w:tr>
        <w:tc>
          <w:tcPr>
            <w:tcW w:type="dxa" w:w="10080"/>
            <w:shd w:fill="F8ECEA" w:color="auto" w:val="clear"/>
            <w:tcMar>
              <w:top w:type="dxa" w:w="120"/>
              <w:left w:type="dxa" w:w="160"/>
              <w:bottom w:type="dxa" w:w="120"/>
              <w:right w:type="dxa" w:w="160"/>
            </w:tcMar>
          </w:tcPr>
          <w:p>
            <w:pPr>
              <w:keepNext/>
              <w:spacing w:after="60" w:before="20"/>
            </w:pPr>
            <w:r>
              <w:rPr>
                <w:rFonts w:ascii="Calibri" w:cs="Calibri" w:eastAsia="Calibri" w:hAnsi="Calibri"/>
                <w:color w:val="A83B32"/>
                <w:sz w:val="18"/>
                <w:szCs w:val="18"/>
              </w:rPr>
              <w:t xml:space="preserve">The honest limit of the claim</w:t>
            </w:r>
          </w:p>
          <w:p>
            <w:pPr>
              <w:spacing w:after="80" w:before="0" w:line="254"/>
              <w:jc w:val="both"/>
            </w:pPr>
            <w:r>
              <w:rPr>
                <w:rFonts w:ascii="Calibri" w:cs="Calibri" w:eastAsia="Calibri" w:hAnsi="Calibri"/>
                <w:b/>
                <w:bCs/>
                <w:color w:val="22303C"/>
                <w:sz w:val="18"/>
                <w:szCs w:val="18"/>
              </w:rPr>
              <w:t xml:space="preserve">Prompt injection is not solved by changing the transport.</w:t>
            </w:r>
            <w:r>
              <w:rPr>
                <w:rFonts w:ascii="Calibri" w:cs="Calibri" w:eastAsia="Calibri" w:hAnsi="Calibri"/>
                <w:color w:val="22303C"/>
                <w:sz w:val="18"/>
                <w:szCs w:val="18"/>
              </w:rPr>
              <w:t xml:space="preserve"> If an agent is hijacked, it will submit hostile intents. Any architecture that claims otherwise is selling something.</w:t>
            </w:r>
          </w:p>
          <w:p>
            <w:pPr>
              <w:spacing w:after="80" w:before="0" w:line="254"/>
              <w:jc w:val="both"/>
            </w:pPr>
            <w:r>
              <w:rPr>
                <w:rFonts w:ascii="Calibri" w:cs="Calibri" w:eastAsia="Calibri" w:hAnsi="Calibri"/>
                <w:color w:val="22303C"/>
                <w:sz w:val="18"/>
                <w:szCs w:val="18"/>
              </w:rPr>
              <w:t xml:space="preserve">What can be changed is the consequence. Under MCP, a hijacked agent holds session-scoped authority over a menu of primitives, and the provider’s only defences are hints in prose and a client-side dialog it does not control. Under ACE, a hijacked agent can submit an intent — and then it must survive server-side deterministic validation, fit inside a mandate the human signed on a separate device with a hash of that exact intent, respect per-action and per-day caps, target a segregated account, and pass a second pre-trade gate at the execution boundary. Every one of those checks runs on the provider’s premises, in code the provider tests and versions.</w:t>
            </w:r>
          </w:p>
          <w:p>
            <w:pPr>
              <w:spacing w:after="30" w:before="0" w:line="254"/>
              <w:jc w:val="both"/>
            </w:pPr>
            <w:r>
              <w:rPr>
                <w:rFonts w:ascii="Calibri" w:cs="Calibri" w:eastAsia="Calibri" w:hAnsi="Calibri"/>
                <w:color w:val="22303C"/>
                <w:sz w:val="18"/>
                <w:szCs w:val="18"/>
              </w:rPr>
              <w:t xml:space="preserve">The design goal is therefore explicit: </w:t>
            </w:r>
            <w:r>
              <w:rPr>
                <w:rFonts w:ascii="Calibri" w:cs="Calibri" w:eastAsia="Calibri" w:hAnsi="Calibri"/>
                <w:b/>
                <w:bCs/>
                <w:color w:val="22303C"/>
                <w:sz w:val="18"/>
                <w:szCs w:val="18"/>
              </w:rPr>
              <w:t xml:space="preserve">bound the blast radius, make the attempt visible, and make the outcome provable and reversible.</w:t>
            </w:r>
            <w:r>
              <w:rPr>
                <w:rFonts w:ascii="Calibri" w:cs="Calibri" w:eastAsia="Calibri" w:hAnsi="Calibri"/>
                <w:color w:val="22303C"/>
                <w:sz w:val="18"/>
                <w:szCs w:val="18"/>
              </w:rPr>
              <w:t xml:space="preserve"> Risks S-1, S-2, S-3, S-6, S-8, S-11 and S-12 are eliminated or made irrelevant because the mechanisms they exploit do not exist here. S-7 is contained, not removed.</w:t>
            </w:r>
          </w:p>
        </w:tc>
      </w:tr>
    </w:tbl>
    <w:p>
      <w:pPr>
        <w:pStyle w:val="Heading2"/>
      </w:pPr>
      <w:r>
        <w:rPr>
          <w:rFonts w:ascii="Calibri Light" w:cs="Calibri Light" w:eastAsia="Calibri Light" w:hAnsi="Calibri Light"/>
          <w:color w:val="1B3A5C"/>
          <w:sz w:val="23"/>
          <w:szCs w:val="23"/>
        </w:rPr>
        <w:t xml:space="preserve">3.5  Cost exposure borne by the capability provider</w:t>
      </w:r>
    </w:p>
    <w:p>
      <w:pPr>
        <w:keepNext w:val="false"/>
        <w:spacing w:after="130" w:before="0" w:line="268"/>
        <w:jc w:val="both"/>
      </w:pPr>
      <w:r>
        <w:rPr>
          <w:rFonts w:ascii="Calibri" w:cs="Calibri" w:eastAsia="Calibri" w:hAnsi="Calibri"/>
          <w:color w:val="22303C"/>
          <w:sz w:val="20"/>
          <w:szCs w:val="20"/>
        </w:rPr>
        <w:t xml:space="preserve">The token-overhead discussion in the public literature is mostly about the agent operator’s bill. That matters commercially — an expensive, degraded agent experience reflects on the provider — but it is not the provider’s own cost problem. The provider’s cost problem is that under MCP, its infrastructure, support and compliance spend become functions of an external model’s reasoning loop.</w:t>
      </w:r>
    </w:p>
    <w:p>
      <w:pPr>
        <w:pStyle w:val="Heading3"/>
      </w:pPr>
      <w:r>
        <w:rPr>
          <w:rFonts w:ascii="Calibri" w:cs="Calibri" w:eastAsia="Calibri" w:hAnsi="Calibri"/>
          <w:color w:val="42566B"/>
          <w:sz w:val="20"/>
          <w:szCs w:val="20"/>
        </w:rPr>
        <w:t xml:space="preserve">3.5.1  Where the money actually goes</w:t>
      </w:r>
    </w:p>
    <w:tbl>
      <w:tblPr>
        <w:tblW w:type="dxa" w:w="10080"/>
        <w:tblBorders>
          <w:top w:val="single" w:color="1B3A5C" w:sz="4"/>
          <w:left w:val="none" w:color="FFFFFF" w:sz="0"/>
          <w:bottom w:val="single" w:color="1B3A5C" w:sz="4"/>
          <w:right w:val="none" w:color="FFFFFF" w:sz="0"/>
          <w:insideH w:val="single" w:color="C7D0DA" w:sz="2"/>
          <w:insideV w:val="single" w:color="C7D0DA" w:sz="2"/>
        </w:tblBorders>
      </w:tblPr>
      <w:tblGrid>
        <w:gridCol w:w="1814"/>
        <w:gridCol w:w="4435"/>
        <w:gridCol w:w="3831"/>
      </w:tblGrid>
      <w:tr>
        <w:trPr>
          <w:tblHeader/>
        </w:trPr>
        <w:tc>
          <w:tcPr>
            <w:tcW w:type="dxa" w:w="1814"/>
            <w:shd w:fill="1B3A5C"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FFFFFF"/>
                <w:sz w:val="17"/>
                <w:szCs w:val="17"/>
              </w:rPr>
              <w:t xml:space="preserve">Driver</w:t>
            </w:r>
          </w:p>
        </w:tc>
        <w:tc>
          <w:tcPr>
            <w:tcW w:type="dxa" w:w="4435"/>
            <w:shd w:fill="1B3A5C"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FFFFFF"/>
                <w:sz w:val="17"/>
                <w:szCs w:val="17"/>
              </w:rPr>
              <w:t xml:space="preserve">Mechanism</w:t>
            </w:r>
          </w:p>
        </w:tc>
        <w:tc>
          <w:tcPr>
            <w:tcW w:type="dxa" w:w="3831"/>
            <w:shd w:fill="1B3A5C"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FFFFFF"/>
                <w:sz w:val="17"/>
                <w:szCs w:val="17"/>
              </w:rPr>
              <w:t xml:space="preserve">Why the provider cannot control it</w:t>
            </w:r>
          </w:p>
        </w:tc>
      </w:tr>
      <w:tr>
        <w:tc>
          <w:tcPr>
            <w:tcW w:type="dxa" w:w="1814"/>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Call amplification</w:t>
            </w:r>
          </w:p>
        </w:tc>
        <w:tc>
          <w:tcPr>
            <w:tcW w:type="dxa" w:w="4435"/>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One user goal becomes many primitive calls. “How is my portfolio doing and should I rebalance?” becomes quote, historical, fundamentals, positions, balances, P&amp;L and scan calls — commonly 15–40 tool calls where a purpose-built read is one or two.</w:t>
            </w:r>
          </w:p>
        </w:tc>
        <w:tc>
          <w:tcPr>
            <w:tcW w:type="dxa" w:w="3831"/>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The decomposition happens inside the model. Changing it requires changing somebody else’s agent.</w:t>
            </w:r>
          </w:p>
        </w:tc>
      </w:tr>
      <w:tr>
        <w:tc>
          <w:tcPr>
            <w:tcW w:type="dxa" w:w="1814"/>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Fan-out and N+1 reads</w:t>
            </w:r>
          </w:p>
        </w:tc>
        <w:tc>
          <w:tcPr>
            <w:tcW w:type="dxa" w:w="4435"/>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Per-symbol loops over quotes, chains and historicals; no query planner exists to batch them.</w:t>
            </w:r>
          </w:p>
        </w:tc>
        <w:tc>
          <w:tcPr>
            <w:tcW w:type="dxa" w:w="3831"/>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The provider sees only the resulting request storm and must scale to absorb it.</w:t>
            </w:r>
          </w:p>
        </w:tc>
      </w:tr>
      <w:tr>
        <w:tc>
          <w:tcPr>
            <w:tcW w:type="dxa" w:w="1814"/>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Repair loops</w:t>
            </w:r>
          </w:p>
        </w:tc>
        <w:tc>
          <w:tcPr>
            <w:tcW w:type="dxa" w:w="4435"/>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Mis-shaped arguments produce errors; the model retries with variations. Failed calls still consume authentication, validation, logging and audit capacity.</w:t>
            </w:r>
          </w:p>
        </w:tc>
        <w:tc>
          <w:tcPr>
            <w:tcW w:type="dxa" w:w="3831"/>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Failure cost is paid by the provider and is invisible in the agent’s own telemetry.</w:t>
            </w:r>
          </w:p>
        </w:tc>
      </w:tr>
      <w:tr>
        <w:tc>
          <w:tcPr>
            <w:tcW w:type="dxa" w:w="1814"/>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Stateful session infrastructure</w:t>
            </w:r>
          </w:p>
        </w:tc>
        <w:tc>
          <w:tcPr>
            <w:tcW w:type="dxa" w:w="4435"/>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Long-lived connections, session stores, sticky routing, token refresh churn, and idle sessions held open across a user’s working day.</w:t>
            </w:r>
          </w:p>
        </w:tc>
        <w:tc>
          <w:tcPr>
            <w:tcW w:type="dxa" w:w="3831"/>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Cost scales with connected agents rather than with completed business.</w:t>
            </w:r>
          </w:p>
        </w:tc>
      </w:tr>
      <w:tr>
        <w:tc>
          <w:tcPr>
            <w:tcW w:type="dxa" w:w="1814"/>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Cache hostility</w:t>
            </w:r>
          </w:p>
        </w:tc>
        <w:tc>
          <w:tcPr>
            <w:tcW w:type="dxa" w:w="4435"/>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Unpredictable argument combinations and agent polling defeat conventional caching and CDN strategies.</w:t>
            </w:r>
          </w:p>
        </w:tc>
        <w:tc>
          <w:tcPr>
            <w:tcW w:type="dxa" w:w="3831"/>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Hit ratios are set by model behaviour, not by product design.</w:t>
            </w:r>
          </w:p>
        </w:tc>
      </w:tr>
      <w:tr>
        <w:tc>
          <w:tcPr>
            <w:tcW w:type="dxa" w:w="1814"/>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Client-matrix support</w:t>
            </w:r>
          </w:p>
        </w:tc>
        <w:tc>
          <w:tcPr>
            <w:tcW w:type="dxa" w:w="4435"/>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Seven-plus host runtimes, each with distinct approval UX, tool limits, transport quirks and release cadence; users report failures to the provider, not to the host.</w:t>
            </w:r>
          </w:p>
        </w:tc>
        <w:tc>
          <w:tcPr>
            <w:tcW w:type="dxa" w:w="3831"/>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Every host release is an uncontrolled change to the provider’s production surface.</w:t>
            </w:r>
          </w:p>
        </w:tc>
      </w:tr>
      <w:tr>
        <w:tc>
          <w:tcPr>
            <w:tcW w:type="dxa" w:w="1814"/>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Protocol churn</w:t>
            </w:r>
          </w:p>
        </w:tc>
        <w:tc>
          <w:tcPr>
            <w:tcW w:type="dxa" w:w="4435"/>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Specification revisions, authorisation-model changes and SDK majors arrive on an external cadence and must be tracked to stay compatible.</w:t>
            </w:r>
          </w:p>
        </w:tc>
        <w:tc>
          <w:tcPr>
            <w:tcW w:type="dxa" w:w="3831"/>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Roadmap capacity is consumed by integration maintenance rather than capability delivery.</w:t>
            </w:r>
          </w:p>
        </w:tc>
      </w:tr>
      <w:tr>
        <w:tc>
          <w:tcPr>
            <w:tcW w:type="dxa" w:w="1814"/>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Evidence reconstruction</w:t>
            </w:r>
          </w:p>
        </w:tc>
        <w:tc>
          <w:tcPr>
            <w:tcW w:type="dxa" w:w="4435"/>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Compliance needs intent-level records; the transport produces call-level logs, so a reconciliation pipeline must infer business events from function calls.</w:t>
            </w:r>
          </w:p>
        </w:tc>
        <w:tc>
          <w:tcPr>
            <w:tcW w:type="dxa" w:w="3831"/>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The gap is permanent, so the pipeline and the headcount that runs it are permanent.</w:t>
            </w:r>
          </w:p>
        </w:tc>
      </w:tr>
      <w:tr>
        <w:tc>
          <w:tcPr>
            <w:tcW w:type="dxa" w:w="1814"/>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Unattributable spend</w:t>
            </w:r>
          </w:p>
        </w:tc>
        <w:tc>
          <w:tcPr>
            <w:tcW w:type="dxa" w:w="4435"/>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Metering is per call, so a runaway agent loop is indistinguishable from an engaged customer until the invoice arrives.</w:t>
            </w:r>
          </w:p>
        </w:tc>
        <w:tc>
          <w:tcPr>
            <w:tcW w:type="dxa" w:w="3831"/>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Throttling risks breaking legitimate use; not throttling risks unbounded cost.</w:t>
            </w:r>
          </w:p>
        </w:tc>
      </w:tr>
    </w:tbl>
    <w:p>
      <w:pPr>
        <w:pStyle w:val="Heading3"/>
      </w:pPr>
      <w:r>
        <w:rPr>
          <w:rFonts w:ascii="Calibri" w:cs="Calibri" w:eastAsia="Calibri" w:hAnsi="Calibri"/>
          <w:color w:val="42566B"/>
          <w:sz w:val="20"/>
          <w:szCs w:val="20"/>
        </w:rPr>
        <w:t xml:space="preserve">3.5.2  Illustrative cost model</w:t>
      </w:r>
    </w:p>
    <w:p>
      <w:pPr>
        <w:keepNext w:val="false"/>
        <w:spacing w:after="130" w:before="0" w:line="268"/>
        <w:jc w:val="both"/>
      </w:pPr>
      <w:r>
        <w:rPr>
          <w:rFonts w:ascii="Calibri" w:cs="Calibri" w:eastAsia="Calibri" w:hAnsi="Calibri"/>
          <w:color w:val="22303C"/>
          <w:sz w:val="20"/>
          <w:szCs w:val="20"/>
        </w:rPr>
        <w:t xml:space="preserve">The figures below are a planning model, not a measurement. They are shown so that the assumptions can be attacked directly: substitute your own and the ranking is unlikely to change, because the dominant terms are human costs (support and engineering), which scale with client-matrix breadth and evidence gaps rather than with compute.</w:t>
      </w:r>
    </w:p>
    <w:p>
      <w:pPr>
        <w:keepLines/>
        <w:pBdr>
          <w:top w:val="single" w:color="C7D0DA" w:sz="2" w:space="2"/>
          <w:left w:val="single" w:color="1E7B96" w:sz="12" w:space="6"/>
        </w:pBdr>
        <w:shd w:fill="F3F5F8" w:color="auto" w:val="clear"/>
        <w:spacing w:after="0" w:before="90" w:line="208"/>
        <w:ind w:left="130" w:right="90"/>
        <w:jc w:val="left"/>
      </w:pPr>
      <w:r>
        <w:rPr>
          <w:rFonts w:ascii="Consolas" w:cs="Consolas" w:eastAsia="Consolas" w:hAnsi="Consolas"/>
          <w:color w:val="12293F"/>
          <w:sz w:val="15"/>
          <w:szCs w:val="15"/>
        </w:rPr>
        <w:t xml:space="preserve">Scenario assumptions (identical customer behaviour under both options)</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  connected agentic accounts .................  250,000</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  weekly active ..............................  30%  -&gt;  75,000 WAU</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  sessions per active customer per week ......  3     -&gt;  975,000 sessions / month</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  MCP:  agent turns per session ..............  12    -&gt;  11.7 M turns / month</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        tool calls per turn ..................  1.6   -&gt;  18.7 M tool calls / month</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        internal API calls per tool call .....  1.4   -&gt;  26.2 M internal calls / month</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        tool-definition context per turn .....  44 tools x ~300 tokens = ~13,200 tokens</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  ACE:  requests per session .................  5     -&gt;   4.9 M requests / month</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        internal API calls per request .......  1.2   -&gt;   5.9 M internal calls / month</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        context per session ..................  1,500 manifest + ~600 search = ~2,100 tokens</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  unit costs: internal call $0.00035 fully loaded; support contact $9.00;</w:t>
      </w:r>
    </w:p>
    <w:p>
      <w:pPr>
        <w:keepLines/>
        <w:pBdr>
          <w:bottom w:val="single" w:color="C7D0DA" w:sz="2" w:space="2"/>
          <w:left w:val="single" w:color="1E7B96" w:sz="12" w:space="6"/>
        </w:pBdr>
        <w:shd w:fill="F3F5F8" w:color="auto" w:val="clear"/>
        <w:spacing w:after="150" w:before="0" w:line="208"/>
        <w:ind w:left="130" w:right="90"/>
        <w:jc w:val="left"/>
      </w:pPr>
      <w:r>
        <w:rPr>
          <w:rFonts w:ascii="Consolas" w:cs="Consolas" w:eastAsia="Consolas" w:hAnsi="Consolas"/>
          <w:color w:val="12293F"/>
          <w:sz w:val="15"/>
          <w:szCs w:val="15"/>
        </w:rPr>
        <w:t xml:space="preserve">              engineer $27,500 / month loaded; LLM input $3.00 / M tokens</w:t>
      </w:r>
    </w:p>
    <w:p>
      <w:pPr>
        <w:spacing w:after="60"/>
      </w:pPr>
    </w:p>
    <w:tbl>
      <w:tblPr>
        <w:tblW w:type="dxa" w:w="10080"/>
        <w:tblBorders>
          <w:top w:val="single" w:color="1B3A5C" w:sz="4"/>
          <w:left w:val="none" w:color="FFFFFF" w:sz="0"/>
          <w:bottom w:val="single" w:color="1B3A5C" w:sz="4"/>
          <w:right w:val="none" w:color="FFFFFF" w:sz="0"/>
          <w:insideH w:val="single" w:color="C7D0DA" w:sz="2"/>
          <w:insideV w:val="single" w:color="C7D0DA" w:sz="2"/>
        </w:tblBorders>
      </w:tblPr>
      <w:tblGrid>
        <w:gridCol w:w="4637"/>
        <w:gridCol w:w="1814"/>
        <w:gridCol w:w="1814"/>
        <w:gridCol w:w="1815"/>
      </w:tblGrid>
      <w:tr>
        <w:trPr>
          <w:tblHeader/>
        </w:trPr>
        <w:tc>
          <w:tcPr>
            <w:tcW w:type="dxa" w:w="4637"/>
            <w:shd w:fill="1B3A5C"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FFFFFF"/>
                <w:sz w:val="17"/>
                <w:szCs w:val="17"/>
              </w:rPr>
              <w:t xml:space="preserve">Cost line</w:t>
            </w:r>
          </w:p>
        </w:tc>
        <w:tc>
          <w:tcPr>
            <w:tcW w:type="dxa" w:w="1814"/>
            <w:shd w:fill="1B3A5C"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FFFFFF"/>
                <w:sz w:val="17"/>
                <w:szCs w:val="17"/>
              </w:rPr>
              <w:t xml:space="preserve">MCP endpoint</w:t>
            </w:r>
          </w:p>
        </w:tc>
        <w:tc>
          <w:tcPr>
            <w:tcW w:type="dxa" w:w="1814"/>
            <w:shd w:fill="1B3A5C"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FFFFFF"/>
                <w:sz w:val="17"/>
                <w:szCs w:val="17"/>
              </w:rPr>
              <w:t xml:space="preserve">ACE exchange</w:t>
            </w:r>
          </w:p>
        </w:tc>
        <w:tc>
          <w:tcPr>
            <w:tcW w:type="dxa" w:w="1815"/>
            <w:shd w:fill="1B3A5C"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FFFFFF"/>
                <w:sz w:val="17"/>
                <w:szCs w:val="17"/>
              </w:rPr>
              <w:t xml:space="preserve">Delta</w:t>
            </w:r>
          </w:p>
        </w:tc>
      </w:tr>
      <w:tr>
        <w:tc>
          <w:tcPr>
            <w:tcW w:type="dxa" w:w="4637"/>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6"/>
                <w:szCs w:val="16"/>
              </w:rPr>
              <w:t xml:space="preserve">Internal capability API compute (26.2 M vs 5.9 M calls)</w:t>
            </w:r>
          </w:p>
        </w:tc>
        <w:tc>
          <w:tcPr>
            <w:tcW w:type="dxa" w:w="1814"/>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6"/>
                <w:szCs w:val="16"/>
              </w:rPr>
              <w:t xml:space="preserve">$9,200 / mo</w:t>
            </w:r>
          </w:p>
        </w:tc>
        <w:tc>
          <w:tcPr>
            <w:tcW w:type="dxa" w:w="1814"/>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6"/>
                <w:szCs w:val="16"/>
              </w:rPr>
              <w:t xml:space="preserve">$2,100 / mo</w:t>
            </w:r>
          </w:p>
        </w:tc>
        <w:tc>
          <w:tcPr>
            <w:tcW w:type="dxa" w:w="1815"/>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6"/>
                <w:szCs w:val="16"/>
              </w:rPr>
              <w:t xml:space="preserve">–77%</w:t>
            </w:r>
          </w:p>
        </w:tc>
      </w:tr>
      <w:tr>
        <w:tc>
          <w:tcPr>
            <w:tcW w:type="dxa" w:w="4637"/>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6"/>
                <w:szCs w:val="16"/>
              </w:rPr>
              <w:t xml:space="preserve">Edge and session infrastructure (stateful vs request-scoped)</w:t>
            </w:r>
          </w:p>
        </w:tc>
        <w:tc>
          <w:tcPr>
            <w:tcW w:type="dxa" w:w="1814"/>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6"/>
                <w:szCs w:val="16"/>
              </w:rPr>
              <w:t xml:space="preserve">$18,000 / mo</w:t>
            </w:r>
          </w:p>
        </w:tc>
        <w:tc>
          <w:tcPr>
            <w:tcW w:type="dxa" w:w="1814"/>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6"/>
                <w:szCs w:val="16"/>
              </w:rPr>
              <w:t xml:space="preserve">$4,000 / mo</w:t>
            </w:r>
          </w:p>
        </w:tc>
        <w:tc>
          <w:tcPr>
            <w:tcW w:type="dxa" w:w="1815"/>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6"/>
                <w:szCs w:val="16"/>
              </w:rPr>
              <w:t xml:space="preserve">–78%</w:t>
            </w:r>
          </w:p>
        </w:tc>
      </w:tr>
      <w:tr>
        <w:tc>
          <w:tcPr>
            <w:tcW w:type="dxa" w:w="4637"/>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6"/>
                <w:szCs w:val="16"/>
              </w:rPr>
              <w:t xml:space="preserve">Customer support (connection, client-quirk and “why did it do that” contacts)</w:t>
            </w:r>
          </w:p>
        </w:tc>
        <w:tc>
          <w:tcPr>
            <w:tcW w:type="dxa" w:w="1814"/>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6"/>
                <w:szCs w:val="16"/>
              </w:rPr>
              <w:t xml:space="preserve">$105,000 / mo</w:t>
            </w:r>
          </w:p>
        </w:tc>
        <w:tc>
          <w:tcPr>
            <w:tcW w:type="dxa" w:w="1814"/>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6"/>
                <w:szCs w:val="16"/>
              </w:rPr>
              <w:t xml:space="preserve">$26,000 / mo</w:t>
            </w:r>
          </w:p>
        </w:tc>
        <w:tc>
          <w:tcPr>
            <w:tcW w:type="dxa" w:w="1815"/>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6"/>
                <w:szCs w:val="16"/>
              </w:rPr>
              <w:t xml:space="preserve">–75%</w:t>
            </w:r>
          </w:p>
        </w:tc>
      </w:tr>
      <w:tr>
        <w:tc>
          <w:tcPr>
            <w:tcW w:type="dxa" w:w="4637"/>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6"/>
                <w:szCs w:val="16"/>
              </w:rPr>
              <w:t xml:space="preserve">Engineering run-rate (server, 7-client compatibility, protocol churn)</w:t>
            </w:r>
          </w:p>
        </w:tc>
        <w:tc>
          <w:tcPr>
            <w:tcW w:type="dxa" w:w="1814"/>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6"/>
                <w:szCs w:val="16"/>
              </w:rPr>
              <w:t xml:space="preserve">$110,000 / mo</w:t>
            </w:r>
          </w:p>
        </w:tc>
        <w:tc>
          <w:tcPr>
            <w:tcW w:type="dxa" w:w="1814"/>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6"/>
                <w:szCs w:val="16"/>
              </w:rPr>
              <w:t xml:space="preserve">$55,000 / mo</w:t>
            </w:r>
          </w:p>
        </w:tc>
        <w:tc>
          <w:tcPr>
            <w:tcW w:type="dxa" w:w="1815"/>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6"/>
                <w:szCs w:val="16"/>
              </w:rPr>
              <w:t xml:space="preserve">–50%</w:t>
            </w:r>
          </w:p>
        </w:tc>
      </w:tr>
      <w:tr>
        <w:tc>
          <w:tcPr>
            <w:tcW w:type="dxa" w:w="4637"/>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6"/>
                <w:szCs w:val="16"/>
              </w:rPr>
              <w:t xml:space="preserve">Compliance engineering and evidence reconstruction</w:t>
            </w:r>
          </w:p>
        </w:tc>
        <w:tc>
          <w:tcPr>
            <w:tcW w:type="dxa" w:w="1814"/>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6"/>
                <w:szCs w:val="16"/>
              </w:rPr>
              <w:t xml:space="preserve">$45,000 / mo</w:t>
            </w:r>
          </w:p>
        </w:tc>
        <w:tc>
          <w:tcPr>
            <w:tcW w:type="dxa" w:w="1814"/>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6"/>
                <w:szCs w:val="16"/>
              </w:rPr>
              <w:t xml:space="preserve">$12,000 / mo</w:t>
            </w:r>
          </w:p>
        </w:tc>
        <w:tc>
          <w:tcPr>
            <w:tcW w:type="dxa" w:w="1815"/>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6"/>
                <w:szCs w:val="16"/>
              </w:rPr>
              <w:t xml:space="preserve">–73%</w:t>
            </w:r>
          </w:p>
        </w:tc>
      </w:tr>
      <w:tr>
        <w:tc>
          <w:tcPr>
            <w:tcW w:type="dxa" w:w="4637"/>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b/>
                <w:bCs/>
                <w:color w:val="22303C"/>
                <w:sz w:val="16"/>
                <w:szCs w:val="16"/>
              </w:rPr>
              <w:t xml:space="preserve">Provider-borne total</w:t>
            </w:r>
          </w:p>
        </w:tc>
        <w:tc>
          <w:tcPr>
            <w:tcW w:type="dxa" w:w="1814"/>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b/>
                <w:bCs/>
                <w:color w:val="22303C"/>
                <w:sz w:val="16"/>
                <w:szCs w:val="16"/>
              </w:rPr>
              <w:t xml:space="preserve">$287,200 / mo</w:t>
            </w:r>
          </w:p>
        </w:tc>
        <w:tc>
          <w:tcPr>
            <w:tcW w:type="dxa" w:w="1814"/>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b/>
                <w:bCs/>
                <w:color w:val="22303C"/>
                <w:sz w:val="16"/>
                <w:szCs w:val="16"/>
              </w:rPr>
              <w:t xml:space="preserve">$99,100 / mo</w:t>
            </w:r>
          </w:p>
        </w:tc>
        <w:tc>
          <w:tcPr>
            <w:tcW w:type="dxa" w:w="1815"/>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b/>
                <w:bCs/>
                <w:color w:val="22303C"/>
                <w:sz w:val="16"/>
                <w:szCs w:val="16"/>
              </w:rPr>
              <w:t xml:space="preserve">–65%</w:t>
            </w:r>
          </w:p>
        </w:tc>
      </w:tr>
      <w:tr>
        <w:tc>
          <w:tcPr>
            <w:tcW w:type="dxa" w:w="4637"/>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6"/>
                <w:szCs w:val="16"/>
              </w:rPr>
              <w:t xml:space="preserve">Agent-side context overhead (borne by customers; 154 B vs 2.1 B tokens / mo)</w:t>
            </w:r>
          </w:p>
        </w:tc>
        <w:tc>
          <w:tcPr>
            <w:tcW w:type="dxa" w:w="1814"/>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6"/>
                <w:szCs w:val="16"/>
              </w:rPr>
              <w:t xml:space="preserve">$463,000 / mo</w:t>
            </w:r>
          </w:p>
        </w:tc>
        <w:tc>
          <w:tcPr>
            <w:tcW w:type="dxa" w:w="1814"/>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6"/>
                <w:szCs w:val="16"/>
              </w:rPr>
              <w:t xml:space="preserve">$6,200 / mo</w:t>
            </w:r>
          </w:p>
        </w:tc>
        <w:tc>
          <w:tcPr>
            <w:tcW w:type="dxa" w:w="1815"/>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6"/>
                <w:szCs w:val="16"/>
              </w:rPr>
              <w:t xml:space="preserve">–98.7%</w:t>
            </w:r>
          </w:p>
        </w:tc>
      </w:tr>
    </w:tbl>
    <w:p>
      <w:pPr>
        <w:keepNext w:val="false"/>
        <w:spacing w:after="130" w:before="0" w:line="268"/>
        <w:jc w:val="both"/>
      </w:pPr>
      <w:r>
        <w:rPr>
          <w:rFonts w:ascii="Calibri" w:cs="Calibri" w:eastAsia="Calibri" w:hAnsi="Calibri"/>
          <w:color w:val="22303C"/>
          <w:sz w:val="20"/>
          <w:szCs w:val="20"/>
        </w:rPr>
        <w:t xml:space="preserve">Two observations matter more than the totals. First, the largest provider-borne lines are </w:t>
      </w:r>
      <w:r>
        <w:rPr>
          <w:rFonts w:ascii="Calibri" w:cs="Calibri" w:eastAsia="Calibri" w:hAnsi="Calibri"/>
          <w:b/>
          <w:bCs/>
          <w:color w:val="22303C"/>
          <w:sz w:val="20"/>
          <w:szCs w:val="20"/>
        </w:rPr>
        <w:t xml:space="preserve">support and engineering</w:t>
      </w:r>
      <w:r>
        <w:rPr>
          <w:rFonts w:ascii="Calibri" w:cs="Calibri" w:eastAsia="Calibri" w:hAnsi="Calibri"/>
          <w:color w:val="22303C"/>
          <w:sz w:val="20"/>
          <w:szCs w:val="20"/>
        </w:rPr>
        <w:t xml:space="preserve">, and both scale with the number of external host runtimes the provider must keep working — a variable that ACE removes by targeting plain HTTP instead of a client ecosystem. Second, the customer-borne line is where the reputational damage lives: the customer pays roughly seventy-five times more for tool metadata under MCP, receives measurably worse agent reasoning because the context is full of unused schemas, and attributes both to the provider.</w:t>
      </w:r>
    </w:p>
    <w:p>
      <w:pPr>
        <w:pStyle w:val="Heading3"/>
      </w:pPr>
      <w:r>
        <w:rPr>
          <w:rFonts w:ascii="Calibri" w:cs="Calibri" w:eastAsia="Calibri" w:hAnsi="Calibri"/>
          <w:color w:val="42566B"/>
          <w:sz w:val="20"/>
          <w:szCs w:val="20"/>
        </w:rPr>
        <w:t xml:space="preserve">3.5.3  The pricing problem underneath</w:t>
      </w:r>
    </w:p>
    <w:p>
      <w:pPr>
        <w:keepNext w:val="false"/>
        <w:spacing w:after="130" w:before="0" w:line="268"/>
        <w:jc w:val="both"/>
      </w:pPr>
      <w:r>
        <w:rPr>
          <w:rFonts w:ascii="Calibri" w:cs="Calibri" w:eastAsia="Calibri" w:hAnsi="Calibri"/>
          <w:color w:val="22303C"/>
          <w:sz w:val="20"/>
          <w:szCs w:val="20"/>
        </w:rPr>
        <w:t xml:space="preserve">A capability provider ultimately needs to charge for value delivered, whether in fees, spread, subscription or retained assets. Under a tool-call model, the provider’s cost driver is the model’s exploratory behaviour, which correlates poorly with value. Under an intent model, cost correlates with </w:t>
      </w:r>
      <w:r>
        <w:rPr>
          <w:rFonts w:ascii="Calibri" w:cs="Calibri" w:eastAsia="Calibri" w:hAnsi="Calibri"/>
          <w:b/>
          <w:bCs/>
          <w:color w:val="22303C"/>
          <w:sz w:val="20"/>
          <w:szCs w:val="20"/>
        </w:rPr>
        <w:t xml:space="preserve">approved business outcomes</w:t>
      </w:r>
      <w:r>
        <w:rPr>
          <w:rFonts w:ascii="Calibri" w:cs="Calibri" w:eastAsia="Calibri" w:hAnsi="Calibri"/>
          <w:color w:val="22303C"/>
          <w:sz w:val="20"/>
          <w:szCs w:val="20"/>
        </w:rPr>
        <w:t xml:space="preserve">, which is exactly what commercial terms, capacity planning and abuse thresholds can be written against. That alignment, not the compute saving, is the real economic argument.</w:t>
      </w:r>
    </w:p>
    <w:p>
      <w:pPr>
        <w:pStyle w:val="Heading2"/>
      </w:pPr>
      <w:r>
        <w:rPr>
          <w:rFonts w:ascii="Calibri Light" w:cs="Calibri Light" w:eastAsia="Calibri Light" w:hAnsi="Calibri Light"/>
          <w:color w:val="1B3A5C"/>
          <w:sz w:val="23"/>
          <w:szCs w:val="23"/>
        </w:rPr>
        <w:t xml:space="preserve">3.6  Compliance and evidentiary gaps</w:t>
      </w:r>
    </w:p>
    <w:tbl>
      <w:tblPr>
        <w:tblW w:type="dxa" w:w="10080"/>
        <w:tblBorders>
          <w:top w:val="single" w:color="1B3A5C" w:sz="4"/>
          <w:left w:val="none" w:color="FFFFFF" w:sz="0"/>
          <w:bottom w:val="single" w:color="1B3A5C" w:sz="4"/>
          <w:right w:val="none" w:color="FFFFFF" w:sz="0"/>
          <w:insideH w:val="single" w:color="C7D0DA" w:sz="2"/>
          <w:insideV w:val="single" w:color="C7D0DA" w:sz="2"/>
        </w:tblBorders>
      </w:tblPr>
      <w:tblGrid>
        <w:gridCol w:w="2218"/>
        <w:gridCol w:w="4234"/>
        <w:gridCol w:w="3628"/>
      </w:tblGrid>
      <w:tr>
        <w:trPr>
          <w:tblHeader/>
        </w:trPr>
        <w:tc>
          <w:tcPr>
            <w:tcW w:type="dxa" w:w="2218"/>
            <w:shd w:fill="1B3A5C"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FFFFFF"/>
                <w:sz w:val="17"/>
                <w:szCs w:val="17"/>
              </w:rPr>
              <w:t xml:space="preserve">Obligation</w:t>
            </w:r>
          </w:p>
        </w:tc>
        <w:tc>
          <w:tcPr>
            <w:tcW w:type="dxa" w:w="4234"/>
            <w:shd w:fill="1B3A5C"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FFFFFF"/>
                <w:sz w:val="17"/>
                <w:szCs w:val="17"/>
              </w:rPr>
              <w:t xml:space="preserve">Gap under a tool-call transport</w:t>
            </w:r>
          </w:p>
        </w:tc>
        <w:tc>
          <w:tcPr>
            <w:tcW w:type="dxa" w:w="3628"/>
            <w:shd w:fill="1B3A5C"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FFFFFF"/>
                <w:sz w:val="17"/>
                <w:szCs w:val="17"/>
              </w:rPr>
              <w:t xml:space="preserve">What is needed instead</w:t>
            </w:r>
          </w:p>
        </w:tc>
      </w:tr>
      <w:tr>
        <w:tc>
          <w:tcPr>
            <w:tcW w:type="dxa" w:w="2218"/>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SEA 15c3-5 — controls under the broker-dealer’s direct and exclusive control, applied pre-trade to every order</w:t>
            </w:r>
          </w:p>
        </w:tc>
        <w:tc>
          <w:tcPr>
            <w:tcW w:type="dxa" w:w="4234"/>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Controls are enforceable server-side, but the *decision context* (why this order, within what authority) exists only in the customer’s agent. Constraints expressed in tool descriptions are outside the firm’s control by construction.</w:t>
            </w:r>
          </w:p>
        </w:tc>
        <w:tc>
          <w:tcPr>
            <w:tcW w:type="dxa" w:w="3628"/>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A server-side intent object carrying the constraints, validated deterministically before any market-bound action exists.</w:t>
            </w:r>
          </w:p>
        </w:tc>
      </w:tr>
      <w:tr>
        <w:tc>
          <w:tcPr>
            <w:tcW w:type="dxa" w:w="2218"/>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FINRA 3110 supervision; 2026 guidance on autonomous agents</w:t>
            </w:r>
          </w:p>
        </w:tc>
        <w:tc>
          <w:tcPr>
            <w:tcW w:type="dxa" w:w="4234"/>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No first-class agent identity, no per-action authorisation record, no natural place to define “out of bounds” for an agent, so monitoring is behavioural guesswork over call logs.</w:t>
            </w:r>
          </w:p>
        </w:tc>
        <w:tc>
          <w:tcPr>
            <w:tcW w:type="dxa" w:w="3628"/>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Agent as a registered principal with its own identity, envelope, behavioural baseline and independent revocation.</w:t>
            </w:r>
          </w:p>
        </w:tc>
      </w:tr>
      <w:tr>
        <w:tc>
          <w:tcPr>
            <w:tcW w:type="dxa" w:w="2218"/>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SEC 17a-4 recordkeeping; CAT</w:t>
            </w:r>
          </w:p>
        </w:tc>
        <w:tc>
          <w:tcPr>
            <w:tcW w:type="dxa" w:w="4234"/>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Function-call logs are not a record of customer instruction. Linking a market event back to what the customer authorised requires inference.</w:t>
            </w:r>
          </w:p>
        </w:tc>
        <w:tc>
          <w:tcPr>
            <w:tcW w:type="dxa" w:w="3628"/>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A hash-chained intent → mandate → decision → execution receipt, WORM-retained and independently verifiable.</w:t>
            </w:r>
          </w:p>
        </w:tc>
      </w:tr>
      <w:tr>
        <w:tc>
          <w:tcPr>
            <w:tcW w:type="dxa" w:w="2218"/>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Reg BI / suitability</w:t>
            </w:r>
          </w:p>
        </w:tc>
        <w:tc>
          <w:tcPr>
            <w:tcW w:type="dxa" w:w="4234"/>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Suitability is evaluated, if at all, after the agent has already chosen an order shape.</w:t>
            </w:r>
          </w:p>
        </w:tc>
        <w:tc>
          <w:tcPr>
            <w:tcW w:type="dxa" w:w="3628"/>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Suitability as a named deterministic control inside validation, with its result recorded in the receipt.</w:t>
            </w:r>
          </w:p>
        </w:tc>
      </w:tr>
      <w:tr>
        <w:tc>
          <w:tcPr>
            <w:tcW w:type="dxa" w:w="2218"/>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Dispute resolution and non-repudiation</w:t>
            </w:r>
          </w:p>
        </w:tc>
        <w:tc>
          <w:tcPr>
            <w:tcW w:type="dxa" w:w="4234"/>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“The model called this function” cannot establish what the human agreed to. The approval-view fidelity gap (S-8) makes rendered consent contestable.</w:t>
            </w:r>
          </w:p>
        </w:tc>
        <w:tc>
          <w:tcPr>
            <w:tcW w:type="dxa" w:w="3628"/>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A human signature over a hash of the exact, priced action, produced on a device the agent cannot reach.</w:t>
            </w:r>
          </w:p>
        </w:tc>
      </w:tr>
      <w:tr>
        <w:tc>
          <w:tcPr>
            <w:tcW w:type="dxa" w:w="2218"/>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Reg S-P / data minimisation</w:t>
            </w:r>
          </w:p>
        </w:tc>
        <w:tc>
          <w:tcPr>
            <w:tcW w:type="dxa" w:w="4234"/>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Coarse connection-time read grants send whole entities, including identifiers, to third-party models.</w:t>
            </w:r>
          </w:p>
        </w:tc>
        <w:tc>
          <w:tcPr>
            <w:tcW w:type="dxa" w:w="3628"/>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Field-level projections with per-purpose justification and egress accounting.</w:t>
            </w:r>
          </w:p>
        </w:tc>
      </w:tr>
    </w:tbl>
    <w:p>
      <w:pPr>
        <w:pStyle w:val="Heading2"/>
      </w:pPr>
      <w:r>
        <w:rPr>
          <w:rFonts w:ascii="Calibri Light" w:cs="Calibri Light" w:eastAsia="Calibri Light" w:hAnsi="Calibri Light"/>
          <w:color w:val="1B3A5C"/>
          <w:sz w:val="23"/>
          <w:szCs w:val="23"/>
        </w:rPr>
        <w:t xml:space="preserve">3.7  Summary of the case against</w:t>
      </w:r>
    </w:p>
    <w:p>
      <w:pPr>
        <w:keepNext w:val="false"/>
        <w:spacing w:after="130" w:before="0" w:line="268"/>
        <w:jc w:val="both"/>
      </w:pPr>
      <w:r>
        <w:rPr>
          <w:rFonts w:ascii="Calibri" w:cs="Calibri" w:eastAsia="Calibri" w:hAnsi="Calibri"/>
          <w:color w:val="22303C"/>
          <w:sz w:val="20"/>
          <w:szCs w:val="20"/>
        </w:rPr>
        <w:t xml:space="preserve">MCP is the right shape when the agent host is the integrator and the tools are low-consequence. It is the wrong shape when the provider is accountable for outcomes, the actions are irreversible, and the consumer is an untrusted, non-deterministic process on somebody else’s infrastructure. The three failures compound: </w:t>
      </w:r>
      <w:r>
        <w:rPr>
          <w:rFonts w:ascii="Calibri" w:cs="Calibri" w:eastAsia="Calibri" w:hAnsi="Calibri"/>
          <w:b/>
          <w:bCs/>
          <w:color w:val="22303C"/>
          <w:sz w:val="20"/>
          <w:szCs w:val="20"/>
        </w:rPr>
        <w:t xml:space="preserve">the security model has nowhere to express per-action authority (S-12), the cost model is driven by an external reasoning loop (§3.5.1), and the evidence model produces call logs where the regulator expects records of instruction (§3.6).</w:t>
      </w:r>
      <w:r>
        <w:rPr>
          <w:rFonts w:ascii="Calibri" w:cs="Calibri" w:eastAsia="Calibri" w:hAnsi="Calibri"/>
          <w:color w:val="22303C"/>
          <w:sz w:val="20"/>
          <w:szCs w:val="20"/>
        </w:rPr>
        <w:t xml:space="preserve"> None of the three is fixed by a better server implementation, because all three follow from making the function call the unit of interaction.</w:t>
      </w:r>
    </w:p>
    <w:p>
      <w:r>
        <w:br w:type="page"/>
      </w:r>
    </w:p>
    <w:p>
      <w:pPr>
        <w:pStyle w:val="Heading1"/>
      </w:pPr>
      <w:r>
        <w:rPr>
          <w:rFonts w:ascii="Calibri Light" w:cs="Calibri Light" w:eastAsia="Calibri Light" w:hAnsi="Calibri Light"/>
          <w:color w:val="1B3A5C"/>
          <w:sz w:val="28"/>
          <w:szCs w:val="28"/>
        </w:rPr>
        <w:t xml:space="preserve">4  Technical Alternatives Considered</w:t>
      </w:r>
    </w:p>
    <w:p>
      <w:pPr>
        <w:spacing w:after="200" w:before="40" w:line="276"/>
        <w:jc w:val="both"/>
      </w:pPr>
      <w:r>
        <w:rPr>
          <w:rFonts w:ascii="Calibri" w:cs="Calibri" w:eastAsia="Calibri" w:hAnsi="Calibri"/>
          <w:color w:val="42566B"/>
          <w:sz w:val="21"/>
          <w:szCs w:val="21"/>
        </w:rPr>
        <w:t xml:space="preserve">Nine options were evaluated, including MCP itself as the baseline. Each is a real pattern in production somewhere in 2026. The evaluation deliberately separates two questions that are often conflated: does the option satisfy the mandatory requirements at all, and if so, how well does it score on the criteria that differentiate the survivors.</w:t>
      </w:r>
    </w:p>
    <w:p>
      <w:pPr>
        <w:pStyle w:val="Heading2"/>
      </w:pPr>
      <w:r>
        <w:rPr>
          <w:rFonts w:ascii="Calibri Light" w:cs="Calibri Light" w:eastAsia="Calibri Light" w:hAnsi="Calibri Light"/>
          <w:color w:val="1B3A5C"/>
          <w:sz w:val="23"/>
          <w:szCs w:val="23"/>
        </w:rPr>
        <w:t xml:space="preserve">4.1  Evaluation method</w:t>
      </w:r>
    </w:p>
    <w:p>
      <w:pPr>
        <w:keepNext w:val="false"/>
        <w:spacing w:after="130" w:before="0" w:line="268"/>
        <w:jc w:val="both"/>
      </w:pPr>
      <w:r>
        <w:rPr>
          <w:rFonts w:ascii="Calibri" w:cs="Calibri" w:eastAsia="Calibri" w:hAnsi="Calibri"/>
          <w:color w:val="22303C"/>
          <w:sz w:val="20"/>
          <w:szCs w:val="20"/>
        </w:rPr>
        <w:t xml:space="preserve">Seven weighted criteria were derived from §2.4 and §2.5. Scores are 1 (poor) to 5 (excellent), applied by the architecture team and reviewed with security architecture and compliance technology. Any option that fails a mandatory functional requirement is gated out regardless of score, and the gate is recorded explicitly so that partially useful options can be harvested rather than discarded.</w:t>
      </w:r>
    </w:p>
    <w:tbl>
      <w:tblPr>
        <w:tblW w:type="dxa" w:w="10080"/>
        <w:tblBorders>
          <w:top w:val="single" w:color="1B3A5C" w:sz="4"/>
          <w:left w:val="none" w:color="FFFFFF" w:sz="0"/>
          <w:bottom w:val="single" w:color="1B3A5C" w:sz="4"/>
          <w:right w:val="none" w:color="FFFFFF" w:sz="0"/>
          <w:insideH w:val="single" w:color="C7D0DA" w:sz="2"/>
          <w:insideV w:val="single" w:color="C7D0DA" w:sz="2"/>
        </w:tblBorders>
      </w:tblPr>
      <w:tblGrid>
        <w:gridCol w:w="3024"/>
        <w:gridCol w:w="1008"/>
        <w:gridCol w:w="6048"/>
      </w:tblGrid>
      <w:tr>
        <w:trPr>
          <w:tblHeader/>
        </w:trPr>
        <w:tc>
          <w:tcPr>
            <w:tcW w:type="dxa" w:w="3024"/>
            <w:shd w:fill="1B3A5C"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FFFFFF"/>
                <w:sz w:val="17"/>
                <w:szCs w:val="17"/>
              </w:rPr>
              <w:t xml:space="preserve">Criterion</w:t>
            </w:r>
          </w:p>
        </w:tc>
        <w:tc>
          <w:tcPr>
            <w:tcW w:type="dxa" w:w="1008"/>
            <w:shd w:fill="1B3A5C"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FFFFFF"/>
                <w:sz w:val="17"/>
                <w:szCs w:val="17"/>
              </w:rPr>
              <w:t xml:space="preserve">Weight</w:t>
            </w:r>
          </w:p>
        </w:tc>
        <w:tc>
          <w:tcPr>
            <w:tcW w:type="dxa" w:w="6048"/>
            <w:shd w:fill="1B3A5C"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FFFFFF"/>
                <w:sz w:val="17"/>
                <w:szCs w:val="17"/>
              </w:rPr>
              <w:t xml:space="preserve">What a score of 5 looks like</w:t>
            </w:r>
          </w:p>
        </w:tc>
      </w:tr>
      <w:tr>
        <w:tc>
          <w:tcPr>
            <w:tcW w:type="dxa" w:w="3024"/>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C1 — Blast-radius containment</w:t>
            </w:r>
          </w:p>
        </w:tc>
        <w:tc>
          <w:tcPr>
            <w:tcW w:type="dxa" w:w="1008"/>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20%</w:t>
            </w:r>
          </w:p>
        </w:tc>
        <w:tc>
          <w:tcPr>
            <w:tcW w:type="dxa" w:w="6048"/>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A fully compromised agent cannot exceed a pre-authorised, per-action ceiling, cannot reach a second account, and cannot act outside a signed scope.</w:t>
            </w:r>
          </w:p>
        </w:tc>
      </w:tr>
      <w:tr>
        <w:tc>
          <w:tcPr>
            <w:tcW w:type="dxa" w:w="3024"/>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C2 — Evidentiary quality and supervisability</w:t>
            </w:r>
          </w:p>
        </w:tc>
        <w:tc>
          <w:tcPr>
            <w:tcW w:type="dxa" w:w="1008"/>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15%</w:t>
            </w:r>
          </w:p>
        </w:tc>
        <w:tc>
          <w:tcPr>
            <w:tcW w:type="dxa" w:w="6048"/>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Every action yields a verifiable, non-repudiable record of human authorisation, controls applied and effect produced, retained to regulatory standard.</w:t>
            </w:r>
          </w:p>
        </w:tc>
      </w:tr>
      <w:tr>
        <w:tc>
          <w:tcPr>
            <w:tcW w:type="dxa" w:w="3024"/>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C3 — Provider cost predictability</w:t>
            </w:r>
          </w:p>
        </w:tc>
        <w:tc>
          <w:tcPr>
            <w:tcW w:type="dxa" w:w="1008"/>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15%</w:t>
            </w:r>
          </w:p>
        </w:tc>
        <w:tc>
          <w:tcPr>
            <w:tcW w:type="dxa" w:w="6048"/>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Provider cost is a function of approved business outcomes, metered and attributable per agent and per customer.</w:t>
            </w:r>
          </w:p>
        </w:tc>
      </w:tr>
      <w:tr>
        <w:tc>
          <w:tcPr>
            <w:tcW w:type="dxa" w:w="3024"/>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C4 — Agent-side context efficiency</w:t>
            </w:r>
          </w:p>
        </w:tc>
        <w:tc>
          <w:tcPr>
            <w:tcW w:type="dxa" w:w="1008"/>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12%</w:t>
            </w:r>
          </w:p>
        </w:tc>
        <w:tc>
          <w:tcPr>
            <w:tcW w:type="dxa" w:w="6048"/>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Context cost is bounded and independent of the size of the capability estate.</w:t>
            </w:r>
          </w:p>
        </w:tc>
      </w:tr>
      <w:tr>
        <w:tc>
          <w:tcPr>
            <w:tcW w:type="dxa" w:w="3024"/>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C5 — Client-agnostic reach</w:t>
            </w:r>
          </w:p>
        </w:tc>
        <w:tc>
          <w:tcPr>
            <w:tcW w:type="dxa" w:w="1008"/>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12%</w:t>
            </w:r>
          </w:p>
        </w:tc>
        <w:tc>
          <w:tcPr>
            <w:tcW w:type="dxa" w:w="6048"/>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Works from any agent runtime with no provider-supplied client, plug-in or protocol adoption.</w:t>
            </w:r>
          </w:p>
        </w:tc>
      </w:tr>
      <w:tr>
        <w:tc>
          <w:tcPr>
            <w:tcW w:type="dxa" w:w="3024"/>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C6 — Deterministic control enforcement</w:t>
            </w:r>
          </w:p>
        </w:tc>
        <w:tc>
          <w:tcPr>
            <w:tcW w:type="dxa" w:w="1008"/>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14%</w:t>
            </w:r>
          </w:p>
        </w:tc>
        <w:tc>
          <w:tcPr>
            <w:tcW w:type="dxa" w:w="6048"/>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Every control is server-side, unavoidable, versioned and testable; nothing depends on model behaviour.</w:t>
            </w:r>
          </w:p>
        </w:tc>
      </w:tr>
      <w:tr>
        <w:tc>
          <w:tcPr>
            <w:tcW w:type="dxa" w:w="3024"/>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C7 — Build effort and time to market</w:t>
            </w:r>
          </w:p>
        </w:tc>
        <w:tc>
          <w:tcPr>
            <w:tcW w:type="dxa" w:w="1008"/>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12%</w:t>
            </w:r>
          </w:p>
        </w:tc>
        <w:tc>
          <w:tcPr>
            <w:tcW w:type="dxa" w:w="6048"/>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Deliverable by a small team on existing platform capabilities within a quarter.</w:t>
            </w:r>
          </w:p>
        </w:tc>
      </w:tr>
    </w:tbl>
    <w:p>
      <w:pPr>
        <w:pStyle w:val="Heading2"/>
      </w:pPr>
      <w:r>
        <w:rPr>
          <w:rFonts w:ascii="Calibri Light" w:cs="Calibri Light" w:eastAsia="Calibri Light" w:hAnsi="Calibri Light"/>
          <w:color w:val="1B3A5C"/>
          <w:sz w:val="23"/>
          <w:szCs w:val="23"/>
        </w:rPr>
        <w:t xml:space="preserve">4.2  ALT-0 (baseline) — Publish an MCP server</w:t>
      </w:r>
    </w:p>
    <w:p>
      <w:pPr>
        <w:keepNext w:val="false"/>
        <w:spacing w:after="130" w:before="0" w:line="268"/>
        <w:jc w:val="both"/>
      </w:pPr>
      <w:r>
        <w:rPr>
          <w:rFonts w:ascii="Calibri" w:cs="Calibri" w:eastAsia="Calibri" w:hAnsi="Calibri"/>
          <w:b/>
          <w:bCs/>
          <w:color w:val="22303C"/>
          <w:sz w:val="20"/>
          <w:szCs w:val="20"/>
        </w:rPr>
        <w:t xml:space="preserve">What it is.</w:t>
      </w:r>
      <w:r>
        <w:rPr>
          <w:rFonts w:ascii="Calibri" w:cs="Calibri" w:eastAsia="Calibri" w:hAnsi="Calibri"/>
          <w:color w:val="22303C"/>
          <w:sz w:val="20"/>
          <w:szCs w:val="20"/>
        </w:rPr>
        <w:t xml:space="preserve"> Wrap the existing capability estate in tool definitions and expose one endpoint to any MCP-capable host. The pattern in production at several brokerages today.</w:t>
      </w:r>
    </w:p>
    <w:p>
      <w:pPr>
        <w:keepNext w:val="false"/>
        <w:spacing w:after="130" w:before="0" w:line="268"/>
        <w:jc w:val="both"/>
      </w:pPr>
      <w:r>
        <w:rPr>
          <w:rFonts w:ascii="Calibri" w:cs="Calibri" w:eastAsia="Calibri" w:hAnsi="Calibri"/>
          <w:b/>
          <w:bCs/>
          <w:color w:val="22303C"/>
          <w:sz w:val="20"/>
          <w:szCs w:val="20"/>
        </w:rPr>
        <w:t xml:space="preserve">How it works.</w:t>
      </w:r>
      <w:r>
        <w:rPr>
          <w:rFonts w:ascii="Calibri" w:cs="Calibri" w:eastAsia="Calibri" w:hAnsi="Calibri"/>
          <w:color w:val="22303C"/>
          <w:sz w:val="20"/>
          <w:szCs w:val="20"/>
        </w:rPr>
        <w:t xml:space="preserve"> Host discovers tools at session start, loads schemas into context, and invokes them turn by turn under an OAuth 2.1 grant obtained at connection time.</w:t>
      </w:r>
    </w:p>
    <w:p>
      <w:pPr>
        <w:keepNext w:val="false"/>
        <w:spacing w:after="130" w:before="0" w:line="268"/>
        <w:jc w:val="both"/>
      </w:pPr>
      <w:r>
        <w:rPr>
          <w:rFonts w:ascii="Calibri" w:cs="Calibri" w:eastAsia="Calibri" w:hAnsi="Calibri"/>
          <w:b/>
          <w:bCs/>
          <w:color w:val="22303C"/>
          <w:sz w:val="20"/>
          <w:szCs w:val="20"/>
        </w:rPr>
        <w:t xml:space="preserve">Strengths</w:t>
      </w:r>
    </w:p>
    <w:p>
      <w:pPr>
        <w:pStyle w:val="ListParagraph"/>
        <w:numPr>
          <w:ilvl w:val="0"/>
          <w:numId w:val="7"/>
        </w:numPr>
        <w:spacing w:after="66" w:before="24" w:line="262"/>
        <w:jc w:val="both"/>
      </w:pPr>
      <w:r>
        <w:rPr>
          <w:rFonts w:ascii="Calibri" w:cs="Calibri" w:eastAsia="Calibri" w:hAnsi="Calibri"/>
          <w:color w:val="22303C"/>
          <w:sz w:val="20"/>
          <w:szCs w:val="20"/>
        </w:rPr>
        <w:t xml:space="preserve">Broadest immediate reach: seven-plus host runtimes with no work per client.</w:t>
      </w:r>
    </w:p>
    <w:p>
      <w:pPr>
        <w:pStyle w:val="ListParagraph"/>
        <w:numPr>
          <w:ilvl w:val="0"/>
          <w:numId w:val="7"/>
        </w:numPr>
        <w:spacing w:after="66" w:before="24" w:line="262"/>
        <w:jc w:val="both"/>
      </w:pPr>
      <w:r>
        <w:rPr>
          <w:rFonts w:ascii="Calibri" w:cs="Calibri" w:eastAsia="Calibri" w:hAnsi="Calibri"/>
          <w:color w:val="22303C"/>
          <w:sz w:val="20"/>
          <w:szCs w:val="20"/>
        </w:rPr>
        <w:t xml:space="preserve">Well-understood developer experience; abundant SDKs and examples.</w:t>
      </w:r>
    </w:p>
    <w:p>
      <w:pPr>
        <w:pStyle w:val="ListParagraph"/>
        <w:numPr>
          <w:ilvl w:val="0"/>
          <w:numId w:val="7"/>
        </w:numPr>
        <w:spacing w:after="66" w:before="24" w:line="262"/>
        <w:jc w:val="both"/>
      </w:pPr>
      <w:r>
        <w:rPr>
          <w:rFonts w:ascii="Calibri" w:cs="Calibri" w:eastAsia="Calibri" w:hAnsi="Calibri"/>
          <w:color w:val="22303C"/>
          <w:sz w:val="20"/>
          <w:szCs w:val="20"/>
        </w:rPr>
        <w:t xml:space="preserve">Fastest path to a demonstrable product.</w:t>
      </w:r>
    </w:p>
    <w:p>
      <w:pPr>
        <w:keepNext w:val="false"/>
        <w:spacing w:after="130" w:before="0" w:line="268"/>
        <w:jc w:val="both"/>
      </w:pPr>
      <w:r>
        <w:rPr>
          <w:rFonts w:ascii="Calibri" w:cs="Calibri" w:eastAsia="Calibri" w:hAnsi="Calibri"/>
          <w:b/>
          <w:bCs/>
          <w:color w:val="22303C"/>
          <w:sz w:val="20"/>
          <w:szCs w:val="20"/>
        </w:rPr>
        <w:t xml:space="preserve">Weaknesses</w:t>
      </w:r>
    </w:p>
    <w:p>
      <w:pPr>
        <w:pStyle w:val="ListParagraph"/>
        <w:numPr>
          <w:ilvl w:val="0"/>
          <w:numId w:val="8"/>
        </w:numPr>
        <w:spacing w:after="66" w:before="24" w:line="262"/>
        <w:jc w:val="both"/>
      </w:pPr>
      <w:r>
        <w:rPr>
          <w:rFonts w:ascii="Calibri" w:cs="Calibri" w:eastAsia="Calibri" w:hAnsi="Calibri"/>
          <w:color w:val="22303C"/>
          <w:sz w:val="20"/>
          <w:szCs w:val="20"/>
        </w:rPr>
        <w:t xml:space="preserve">No place to express per-action authority (S-12); authority is session-scoped.</w:t>
      </w:r>
    </w:p>
    <w:p>
      <w:pPr>
        <w:pStyle w:val="ListParagraph"/>
        <w:numPr>
          <w:ilvl w:val="0"/>
          <w:numId w:val="8"/>
        </w:numPr>
        <w:spacing w:after="66" w:before="24" w:line="262"/>
        <w:jc w:val="both"/>
      </w:pPr>
      <w:r>
        <w:rPr>
          <w:rFonts w:ascii="Calibri" w:cs="Calibri" w:eastAsia="Calibri" w:hAnsi="Calibri"/>
          <w:color w:val="22303C"/>
          <w:sz w:val="20"/>
          <w:szCs w:val="20"/>
        </w:rPr>
        <w:t xml:space="preserve">Security risk register in §3.3, of which seven items are structural.</w:t>
      </w:r>
    </w:p>
    <w:p>
      <w:pPr>
        <w:pStyle w:val="ListParagraph"/>
        <w:numPr>
          <w:ilvl w:val="0"/>
          <w:numId w:val="8"/>
        </w:numPr>
        <w:spacing w:after="66" w:before="24" w:line="262"/>
        <w:jc w:val="both"/>
      </w:pPr>
      <w:r>
        <w:rPr>
          <w:rFonts w:ascii="Calibri" w:cs="Calibri" w:eastAsia="Calibri" w:hAnsi="Calibri"/>
          <w:color w:val="22303C"/>
          <w:sz w:val="20"/>
          <w:szCs w:val="20"/>
        </w:rPr>
        <w:t xml:space="preserve">Provider cost driven by an external reasoning loop (§3.5).</w:t>
      </w:r>
    </w:p>
    <w:p>
      <w:pPr>
        <w:pStyle w:val="ListParagraph"/>
        <w:numPr>
          <w:ilvl w:val="0"/>
          <w:numId w:val="8"/>
        </w:numPr>
        <w:spacing w:after="66" w:before="24" w:line="262"/>
        <w:jc w:val="both"/>
      </w:pPr>
      <w:r>
        <w:rPr>
          <w:rFonts w:ascii="Calibri" w:cs="Calibri" w:eastAsia="Calibri" w:hAnsi="Calibri"/>
          <w:color w:val="22303C"/>
          <w:sz w:val="20"/>
          <w:szCs w:val="20"/>
        </w:rPr>
        <w:t xml:space="preserve">Evidence is a call log, not a record of instruction (§3.6).</w:t>
      </w:r>
    </w:p>
    <w:p>
      <w:pPr>
        <w:keepNext w:val="false"/>
        <w:spacing w:after="130" w:before="0" w:line="268"/>
        <w:jc w:val="both"/>
      </w:pPr>
      <w:r>
        <w:rPr>
          <w:rFonts w:ascii="Calibri" w:cs="Calibri" w:eastAsia="Calibri" w:hAnsi="Calibri"/>
          <w:b/>
          <w:bCs/>
          <w:color w:val="22303C"/>
          <w:sz w:val="20"/>
          <w:szCs w:val="20"/>
        </w:rPr>
        <w:t xml:space="preserve">Verdict.</w:t>
      </w:r>
      <w:r>
        <w:rPr>
          <w:rFonts w:ascii="Calibri" w:cs="Calibri" w:eastAsia="Calibri" w:hAnsi="Calibri"/>
          <w:color w:val="22303C"/>
          <w:sz w:val="20"/>
          <w:szCs w:val="20"/>
        </w:rPr>
        <w:t xml:space="preserve"> Rejected. Weighted score 2.33. Retained only as the fallback contingency discussed in §10.</w:t>
      </w:r>
    </w:p>
    <w:p>
      <w:pPr>
        <w:pStyle w:val="Heading2"/>
      </w:pPr>
      <w:r>
        <w:rPr>
          <w:rFonts w:ascii="Calibri Light" w:cs="Calibri Light" w:eastAsia="Calibri Light" w:hAnsi="Calibri Light"/>
          <w:color w:val="1B3A5C"/>
          <w:sz w:val="23"/>
          <w:szCs w:val="23"/>
        </w:rPr>
        <w:t xml:space="preserve">4.3  ALT-1 — Direct OAuth-protected REST / OpenAPI</w:t>
      </w:r>
    </w:p>
    <w:p>
      <w:pPr>
        <w:keepNext w:val="false"/>
        <w:spacing w:after="130" w:before="0" w:line="268"/>
        <w:jc w:val="both"/>
      </w:pPr>
      <w:r>
        <w:rPr>
          <w:rFonts w:ascii="Calibri" w:cs="Calibri" w:eastAsia="Calibri" w:hAnsi="Calibri"/>
          <w:b/>
          <w:bCs/>
          <w:color w:val="22303C"/>
          <w:sz w:val="20"/>
          <w:szCs w:val="20"/>
        </w:rPr>
        <w:t xml:space="preserve">What it is.</w:t>
      </w:r>
      <w:r>
        <w:rPr>
          <w:rFonts w:ascii="Calibri" w:cs="Calibri" w:eastAsia="Calibri" w:hAnsi="Calibri"/>
          <w:color w:val="22303C"/>
          <w:sz w:val="20"/>
          <w:szCs w:val="20"/>
        </w:rPr>
        <w:t xml:space="preserve"> Publish the existing capability APIs, protected by OAuth 2.1, and let the customer’s agent call them directly from an OpenAPI description.</w:t>
      </w:r>
    </w:p>
    <w:p>
      <w:pPr>
        <w:keepNext w:val="false"/>
        <w:spacing w:after="130" w:before="0" w:line="268"/>
        <w:jc w:val="both"/>
      </w:pPr>
      <w:r>
        <w:rPr>
          <w:rFonts w:ascii="Calibri" w:cs="Calibri" w:eastAsia="Calibri" w:hAnsi="Calibri"/>
          <w:b/>
          <w:bCs/>
          <w:color w:val="22303C"/>
          <w:sz w:val="20"/>
          <w:szCs w:val="20"/>
        </w:rPr>
        <w:t xml:space="preserve">How it works.</w:t>
      </w:r>
      <w:r>
        <w:rPr>
          <w:rFonts w:ascii="Calibri" w:cs="Calibri" w:eastAsia="Calibri" w:hAnsi="Calibri"/>
          <w:color w:val="22303C"/>
          <w:sz w:val="20"/>
          <w:szCs w:val="20"/>
        </w:rPr>
        <w:t xml:space="preserve"> The agent obtains a token via authorisation code with PKCE and calls documented endpoints. Any agent that can make HTTP requests can participate.</w:t>
      </w:r>
    </w:p>
    <w:p>
      <w:pPr>
        <w:keepNext w:val="false"/>
        <w:spacing w:after="130" w:before="0" w:line="268"/>
        <w:jc w:val="both"/>
      </w:pPr>
      <w:r>
        <w:rPr>
          <w:rFonts w:ascii="Calibri" w:cs="Calibri" w:eastAsia="Calibri" w:hAnsi="Calibri"/>
          <w:b/>
          <w:bCs/>
          <w:color w:val="22303C"/>
          <w:sz w:val="20"/>
          <w:szCs w:val="20"/>
        </w:rPr>
        <w:t xml:space="preserve">Strengths</w:t>
      </w:r>
    </w:p>
    <w:p>
      <w:pPr>
        <w:pStyle w:val="ListParagraph"/>
        <w:numPr>
          <w:ilvl w:val="0"/>
          <w:numId w:val="9"/>
        </w:numPr>
        <w:spacing w:after="66" w:before="24" w:line="262"/>
        <w:jc w:val="both"/>
      </w:pPr>
      <w:r>
        <w:rPr>
          <w:rFonts w:ascii="Calibri" w:cs="Calibri" w:eastAsia="Calibri" w:hAnsi="Calibri"/>
          <w:color w:val="22303C"/>
          <w:sz w:val="20"/>
          <w:szCs w:val="20"/>
        </w:rPr>
        <w:t xml:space="preserve">Maximum reach and zero protocol adoption; every runtime, language and script works.</w:t>
      </w:r>
    </w:p>
    <w:p>
      <w:pPr>
        <w:pStyle w:val="ListParagraph"/>
        <w:numPr>
          <w:ilvl w:val="0"/>
          <w:numId w:val="9"/>
        </w:numPr>
        <w:spacing w:after="66" w:before="24" w:line="262"/>
        <w:jc w:val="both"/>
      </w:pPr>
      <w:r>
        <w:rPr>
          <w:rFonts w:ascii="Calibri" w:cs="Calibri" w:eastAsia="Calibri" w:hAnsi="Calibri"/>
          <w:color w:val="22303C"/>
          <w:sz w:val="20"/>
          <w:szCs w:val="20"/>
        </w:rPr>
        <w:t xml:space="preserve">No new server component; reuses existing gateway, throttling and observability.</w:t>
      </w:r>
    </w:p>
    <w:p>
      <w:pPr>
        <w:pStyle w:val="ListParagraph"/>
        <w:numPr>
          <w:ilvl w:val="0"/>
          <w:numId w:val="9"/>
        </w:numPr>
        <w:spacing w:after="66" w:before="24" w:line="262"/>
        <w:jc w:val="both"/>
      </w:pPr>
      <w:r>
        <w:rPr>
          <w:rFonts w:ascii="Calibri" w:cs="Calibri" w:eastAsia="Calibri" w:hAnsi="Calibri"/>
          <w:color w:val="22303C"/>
          <w:sz w:val="20"/>
          <w:szCs w:val="20"/>
        </w:rPr>
        <w:t xml:space="preserve">Trivial to document and to test.</w:t>
      </w:r>
    </w:p>
    <w:p>
      <w:pPr>
        <w:keepNext w:val="false"/>
        <w:spacing w:after="130" w:before="0" w:line="268"/>
        <w:jc w:val="both"/>
      </w:pPr>
      <w:r>
        <w:rPr>
          <w:rFonts w:ascii="Calibri" w:cs="Calibri" w:eastAsia="Calibri" w:hAnsi="Calibri"/>
          <w:b/>
          <w:bCs/>
          <w:color w:val="22303C"/>
          <w:sz w:val="20"/>
          <w:szCs w:val="20"/>
        </w:rPr>
        <w:t xml:space="preserve">Weaknesses</w:t>
      </w:r>
    </w:p>
    <w:p>
      <w:pPr>
        <w:pStyle w:val="ListParagraph"/>
        <w:numPr>
          <w:ilvl w:val="0"/>
          <w:numId w:val="10"/>
        </w:numPr>
        <w:spacing w:after="66" w:before="24" w:line="262"/>
        <w:jc w:val="both"/>
      </w:pPr>
      <w:r>
        <w:rPr>
          <w:rFonts w:ascii="Calibri" w:cs="Calibri" w:eastAsia="Calibri" w:hAnsi="Calibri"/>
          <w:color w:val="22303C"/>
          <w:sz w:val="20"/>
          <w:szCs w:val="20"/>
        </w:rPr>
        <w:t xml:space="preserve">Exports the internal call surface as a public contract, violating AP-1 permanently.</w:t>
      </w:r>
    </w:p>
    <w:p>
      <w:pPr>
        <w:pStyle w:val="ListParagraph"/>
        <w:numPr>
          <w:ilvl w:val="0"/>
          <w:numId w:val="10"/>
        </w:numPr>
        <w:spacing w:after="66" w:before="24" w:line="262"/>
        <w:jc w:val="both"/>
      </w:pPr>
      <w:r>
        <w:rPr>
          <w:rFonts w:ascii="Calibri" w:cs="Calibri" w:eastAsia="Calibri" w:hAnsi="Calibri"/>
          <w:color w:val="22303C"/>
          <w:sz w:val="20"/>
          <w:szCs w:val="20"/>
        </w:rPr>
        <w:t xml:space="preserve">Provides no place for intent binding, simulation, human approval or receipts.</w:t>
      </w:r>
    </w:p>
    <w:p>
      <w:pPr>
        <w:pStyle w:val="ListParagraph"/>
        <w:numPr>
          <w:ilvl w:val="0"/>
          <w:numId w:val="10"/>
        </w:numPr>
        <w:spacing w:after="66" w:before="24" w:line="262"/>
        <w:jc w:val="both"/>
      </w:pPr>
      <w:r>
        <w:rPr>
          <w:rFonts w:ascii="Calibri" w:cs="Calibri" w:eastAsia="Calibri" w:hAnsi="Calibri"/>
          <w:color w:val="22303C"/>
          <w:sz w:val="20"/>
          <w:szCs w:val="20"/>
        </w:rPr>
        <w:t xml:space="preserve">A large OpenAPI document is as context-hostile as a large tool catalogue.</w:t>
      </w:r>
    </w:p>
    <w:p>
      <w:pPr>
        <w:pStyle w:val="ListParagraph"/>
        <w:numPr>
          <w:ilvl w:val="0"/>
          <w:numId w:val="10"/>
        </w:numPr>
        <w:spacing w:after="66" w:before="24" w:line="262"/>
        <w:jc w:val="both"/>
      </w:pPr>
      <w:r>
        <w:rPr>
          <w:rFonts w:ascii="Calibri" w:cs="Calibri" w:eastAsia="Calibri" w:hAnsi="Calibri"/>
          <w:color w:val="22303C"/>
          <w:sz w:val="20"/>
          <w:szCs w:val="20"/>
        </w:rPr>
        <w:t xml:space="preserve">Every downstream refactor becomes a breaking change for third-party agents.</w:t>
      </w:r>
    </w:p>
    <w:p>
      <w:pPr>
        <w:keepNext w:val="false"/>
        <w:spacing w:after="130" w:before="0" w:line="268"/>
        <w:jc w:val="both"/>
      </w:pPr>
      <w:r>
        <w:rPr>
          <w:rFonts w:ascii="Calibri" w:cs="Calibri" w:eastAsia="Calibri" w:hAnsi="Calibri"/>
          <w:b/>
          <w:bCs/>
          <w:color w:val="22303C"/>
          <w:sz w:val="20"/>
          <w:szCs w:val="20"/>
        </w:rPr>
        <w:t xml:space="preserve">Verdict.</w:t>
      </w:r>
      <w:r>
        <w:rPr>
          <w:rFonts w:ascii="Calibri" w:cs="Calibri" w:eastAsia="Calibri" w:hAnsi="Calibri"/>
          <w:color w:val="22303C"/>
          <w:sz w:val="20"/>
          <w:szCs w:val="20"/>
        </w:rPr>
        <w:t xml:space="preserve"> Rejected as a complete answer (score 2.74), but its transport choice — plain HTTPS and OpenAPI — is adopted by the recommendation.</w:t>
      </w:r>
    </w:p>
    <w:p>
      <w:pPr>
        <w:pStyle w:val="Heading2"/>
      </w:pPr>
      <w:r>
        <w:rPr>
          <w:rFonts w:ascii="Calibri Light" w:cs="Calibri Light" w:eastAsia="Calibri Light" w:hAnsi="Calibri Light"/>
          <w:color w:val="1B3A5C"/>
          <w:sz w:val="23"/>
          <w:szCs w:val="23"/>
        </w:rPr>
        <w:t xml:space="preserve">4.4  ALT-2 — GraphQL back-end for agents</w:t>
      </w:r>
    </w:p>
    <w:p>
      <w:pPr>
        <w:keepNext w:val="false"/>
        <w:spacing w:after="130" w:before="0" w:line="268"/>
        <w:jc w:val="both"/>
      </w:pPr>
      <w:r>
        <w:rPr>
          <w:rFonts w:ascii="Calibri" w:cs="Calibri" w:eastAsia="Calibri" w:hAnsi="Calibri"/>
          <w:b/>
          <w:bCs/>
          <w:color w:val="22303C"/>
          <w:sz w:val="20"/>
          <w:szCs w:val="20"/>
        </w:rPr>
        <w:t xml:space="preserve">What it is.</w:t>
      </w:r>
      <w:r>
        <w:rPr>
          <w:rFonts w:ascii="Calibri" w:cs="Calibri" w:eastAsia="Calibri" w:hAnsi="Calibri"/>
          <w:color w:val="22303C"/>
          <w:sz w:val="20"/>
          <w:szCs w:val="20"/>
        </w:rPr>
        <w:t xml:space="preserve"> A single GraphQL endpoint with a schema designed for agent consumption.</w:t>
      </w:r>
    </w:p>
    <w:p>
      <w:pPr>
        <w:keepNext w:val="false"/>
        <w:spacing w:after="130" w:before="0" w:line="268"/>
        <w:jc w:val="both"/>
      </w:pPr>
      <w:r>
        <w:rPr>
          <w:rFonts w:ascii="Calibri" w:cs="Calibri" w:eastAsia="Calibri" w:hAnsi="Calibri"/>
          <w:b/>
          <w:bCs/>
          <w:color w:val="22303C"/>
          <w:sz w:val="20"/>
          <w:szCs w:val="20"/>
        </w:rPr>
        <w:t xml:space="preserve">How it works.</w:t>
      </w:r>
      <w:r>
        <w:rPr>
          <w:rFonts w:ascii="Calibri" w:cs="Calibri" w:eastAsia="Calibri" w:hAnsi="Calibri"/>
          <w:color w:val="22303C"/>
          <w:sz w:val="20"/>
          <w:szCs w:val="20"/>
        </w:rPr>
        <w:t xml:space="preserve"> The agent composes queries and mutations; resolvers fan out to internal services.</w:t>
      </w:r>
    </w:p>
    <w:p>
      <w:pPr>
        <w:keepNext w:val="false"/>
        <w:spacing w:after="130" w:before="0" w:line="268"/>
        <w:jc w:val="both"/>
      </w:pPr>
      <w:r>
        <w:rPr>
          <w:rFonts w:ascii="Calibri" w:cs="Calibri" w:eastAsia="Calibri" w:hAnsi="Calibri"/>
          <w:b/>
          <w:bCs/>
          <w:color w:val="22303C"/>
          <w:sz w:val="20"/>
          <w:szCs w:val="20"/>
        </w:rPr>
        <w:t xml:space="preserve">Strengths</w:t>
      </w:r>
    </w:p>
    <w:p>
      <w:pPr>
        <w:pStyle w:val="ListParagraph"/>
        <w:numPr>
          <w:ilvl w:val="0"/>
          <w:numId w:val="11"/>
        </w:numPr>
        <w:spacing w:after="66" w:before="24" w:line="262"/>
        <w:jc w:val="both"/>
      </w:pPr>
      <w:r>
        <w:rPr>
          <w:rFonts w:ascii="Calibri" w:cs="Calibri" w:eastAsia="Calibri" w:hAnsi="Calibri"/>
          <w:color w:val="22303C"/>
          <w:sz w:val="20"/>
          <w:szCs w:val="20"/>
        </w:rPr>
        <w:t xml:space="preserve">One endpoint; the agent fetches exactly the fields it wants.</w:t>
      </w:r>
    </w:p>
    <w:p>
      <w:pPr>
        <w:pStyle w:val="ListParagraph"/>
        <w:numPr>
          <w:ilvl w:val="0"/>
          <w:numId w:val="11"/>
        </w:numPr>
        <w:spacing w:after="66" w:before="24" w:line="262"/>
        <w:jc w:val="both"/>
      </w:pPr>
      <w:r>
        <w:rPr>
          <w:rFonts w:ascii="Calibri" w:cs="Calibri" w:eastAsia="Calibri" w:hAnsi="Calibri"/>
          <w:color w:val="22303C"/>
          <w:sz w:val="20"/>
          <w:szCs w:val="20"/>
        </w:rPr>
        <w:t xml:space="preserve">Introspection provides machine-readable discovery for free.</w:t>
      </w:r>
    </w:p>
    <w:p>
      <w:pPr>
        <w:pStyle w:val="ListParagraph"/>
        <w:numPr>
          <w:ilvl w:val="0"/>
          <w:numId w:val="11"/>
        </w:numPr>
        <w:spacing w:after="66" w:before="24" w:line="262"/>
        <w:jc w:val="both"/>
      </w:pPr>
      <w:r>
        <w:rPr>
          <w:rFonts w:ascii="Calibri" w:cs="Calibri" w:eastAsia="Calibri" w:hAnsi="Calibri"/>
          <w:color w:val="22303C"/>
          <w:sz w:val="20"/>
          <w:szCs w:val="20"/>
        </w:rPr>
        <w:t xml:space="preserve">Familiar to front-end platform teams; existing tooling.</w:t>
      </w:r>
    </w:p>
    <w:p>
      <w:pPr>
        <w:keepNext w:val="false"/>
        <w:spacing w:after="130" w:before="0" w:line="268"/>
        <w:jc w:val="both"/>
      </w:pPr>
      <w:r>
        <w:rPr>
          <w:rFonts w:ascii="Calibri" w:cs="Calibri" w:eastAsia="Calibri" w:hAnsi="Calibri"/>
          <w:b/>
          <w:bCs/>
          <w:color w:val="22303C"/>
          <w:sz w:val="20"/>
          <w:szCs w:val="20"/>
        </w:rPr>
        <w:t xml:space="preserve">Weaknesses</w:t>
      </w:r>
    </w:p>
    <w:p>
      <w:pPr>
        <w:pStyle w:val="ListParagraph"/>
        <w:numPr>
          <w:ilvl w:val="0"/>
          <w:numId w:val="12"/>
        </w:numPr>
        <w:spacing w:after="66" w:before="24" w:line="262"/>
        <w:jc w:val="both"/>
      </w:pPr>
      <w:r>
        <w:rPr>
          <w:rFonts w:ascii="Calibri" w:cs="Calibri" w:eastAsia="Calibri" w:hAnsi="Calibri"/>
          <w:color w:val="22303C"/>
          <w:sz w:val="20"/>
          <w:szCs w:val="20"/>
        </w:rPr>
        <w:t xml:space="preserve">Query composition is exactly the freedom that must be denied: cost, depth and field selection become attacker- or model-controlled.</w:t>
      </w:r>
    </w:p>
    <w:p>
      <w:pPr>
        <w:pStyle w:val="ListParagraph"/>
        <w:numPr>
          <w:ilvl w:val="0"/>
          <w:numId w:val="12"/>
        </w:numPr>
        <w:spacing w:after="66" w:before="24" w:line="262"/>
        <w:jc w:val="both"/>
      </w:pPr>
      <w:r>
        <w:rPr>
          <w:rFonts w:ascii="Calibri" w:cs="Calibri" w:eastAsia="Calibri" w:hAnsi="Calibri"/>
          <w:color w:val="22303C"/>
          <w:sz w:val="20"/>
          <w:szCs w:val="20"/>
        </w:rPr>
        <w:t xml:space="preserve">Introspection of a large schema is a substantial context cost, and disabling it removes the discovery benefit.</w:t>
      </w:r>
    </w:p>
    <w:p>
      <w:pPr>
        <w:pStyle w:val="ListParagraph"/>
        <w:numPr>
          <w:ilvl w:val="0"/>
          <w:numId w:val="12"/>
        </w:numPr>
        <w:spacing w:after="66" w:before="24" w:line="262"/>
        <w:jc w:val="both"/>
      </w:pPr>
      <w:r>
        <w:rPr>
          <w:rFonts w:ascii="Calibri" w:cs="Calibri" w:eastAsia="Calibri" w:hAnsi="Calibri"/>
          <w:color w:val="22303C"/>
          <w:sz w:val="20"/>
          <w:szCs w:val="20"/>
        </w:rPr>
        <w:t xml:space="preserve">Query cost analysis, depth limiting and persisted-query allowlisting reintroduce all the constraint the flexibility was meant to avoid — at which point it is a parameterised API with extra machinery.</w:t>
      </w:r>
    </w:p>
    <w:p>
      <w:pPr>
        <w:pStyle w:val="ListParagraph"/>
        <w:numPr>
          <w:ilvl w:val="0"/>
          <w:numId w:val="12"/>
        </w:numPr>
        <w:spacing w:after="66" w:before="24" w:line="262"/>
        <w:jc w:val="both"/>
      </w:pPr>
      <w:r>
        <w:rPr>
          <w:rFonts w:ascii="Calibri" w:cs="Calibri" w:eastAsia="Calibri" w:hAnsi="Calibri"/>
          <w:color w:val="22303C"/>
          <w:sz w:val="20"/>
          <w:szCs w:val="20"/>
        </w:rPr>
        <w:t xml:space="preserve">Mutations carry no notion of pre-validation, approval or receipt.</w:t>
      </w:r>
    </w:p>
    <w:p>
      <w:pPr>
        <w:keepNext w:val="false"/>
        <w:spacing w:after="130" w:before="0" w:line="268"/>
        <w:jc w:val="both"/>
      </w:pPr>
      <w:r>
        <w:rPr>
          <w:rFonts w:ascii="Calibri" w:cs="Calibri" w:eastAsia="Calibri" w:hAnsi="Calibri"/>
          <w:b/>
          <w:bCs/>
          <w:color w:val="22303C"/>
          <w:sz w:val="20"/>
          <w:szCs w:val="20"/>
        </w:rPr>
        <w:t xml:space="preserve">Verdict.</w:t>
      </w:r>
      <w:r>
        <w:rPr>
          <w:rFonts w:ascii="Calibri" w:cs="Calibri" w:eastAsia="Calibri" w:hAnsi="Calibri"/>
          <w:color w:val="22303C"/>
          <w:sz w:val="20"/>
          <w:szCs w:val="20"/>
        </w:rPr>
        <w:t xml:space="preserve"> Rejected (score 2.59). Persisted, allow-listed operations are effectively ALT-6’s data products with a heavier runtime.</w:t>
      </w:r>
    </w:p>
    <w:p>
      <w:pPr>
        <w:pStyle w:val="Heading2"/>
      </w:pPr>
      <w:r>
        <w:rPr>
          <w:rFonts w:ascii="Calibri Light" w:cs="Calibri Light" w:eastAsia="Calibri Light" w:hAnsi="Calibri Light"/>
          <w:color w:val="1B3A5C"/>
          <w:sz w:val="23"/>
          <w:szCs w:val="23"/>
        </w:rPr>
        <w:t xml:space="preserve">4.5  ALT-3 — Agent gateway in front of unchanged APIs</w:t>
      </w:r>
    </w:p>
    <w:p>
      <w:pPr>
        <w:keepNext w:val="false"/>
        <w:spacing w:after="130" w:before="0" w:line="268"/>
        <w:jc w:val="both"/>
      </w:pPr>
      <w:r>
        <w:rPr>
          <w:rFonts w:ascii="Calibri" w:cs="Calibri" w:eastAsia="Calibri" w:hAnsi="Calibri"/>
          <w:b/>
          <w:bCs/>
          <w:color w:val="22303C"/>
          <w:sz w:val="20"/>
          <w:szCs w:val="20"/>
        </w:rPr>
        <w:t xml:space="preserve">What it is.</w:t>
      </w:r>
      <w:r>
        <w:rPr>
          <w:rFonts w:ascii="Calibri" w:cs="Calibri" w:eastAsia="Calibri" w:hAnsi="Calibri"/>
          <w:color w:val="22303C"/>
          <w:sz w:val="20"/>
          <w:szCs w:val="20"/>
        </w:rPr>
        <w:t xml:space="preserve"> Deploy a gateway that mediates between agents and existing APIs, adding authentication, schema filtering, rate limiting, audit and tool-surface reduction.</w:t>
      </w:r>
    </w:p>
    <w:p>
      <w:pPr>
        <w:keepNext w:val="false"/>
        <w:spacing w:after="130" w:before="0" w:line="268"/>
        <w:jc w:val="both"/>
      </w:pPr>
      <w:r>
        <w:rPr>
          <w:rFonts w:ascii="Calibri" w:cs="Calibri" w:eastAsia="Calibri" w:hAnsi="Calibri"/>
          <w:b/>
          <w:bCs/>
          <w:color w:val="22303C"/>
          <w:sz w:val="20"/>
          <w:szCs w:val="20"/>
        </w:rPr>
        <w:t xml:space="preserve">How it works.</w:t>
      </w:r>
      <w:r>
        <w:rPr>
          <w:rFonts w:ascii="Calibri" w:cs="Calibri" w:eastAsia="Calibri" w:hAnsi="Calibri"/>
          <w:color w:val="22303C"/>
          <w:sz w:val="20"/>
          <w:szCs w:val="20"/>
        </w:rPr>
        <w:t xml:space="preserve"> The gateway translates a reduced, curated operation surface into internal calls, applies policy, and centralises logging and quota enforcement.</w:t>
      </w:r>
    </w:p>
    <w:p>
      <w:pPr>
        <w:keepNext w:val="false"/>
        <w:spacing w:after="130" w:before="0" w:line="268"/>
        <w:jc w:val="both"/>
      </w:pPr>
      <w:r>
        <w:rPr>
          <w:rFonts w:ascii="Calibri" w:cs="Calibri" w:eastAsia="Calibri" w:hAnsi="Calibri"/>
          <w:b/>
          <w:bCs/>
          <w:color w:val="22303C"/>
          <w:sz w:val="20"/>
          <w:szCs w:val="20"/>
        </w:rPr>
        <w:t xml:space="preserve">Strengths</w:t>
      </w:r>
    </w:p>
    <w:p>
      <w:pPr>
        <w:pStyle w:val="ListParagraph"/>
        <w:numPr>
          <w:ilvl w:val="0"/>
          <w:numId w:val="13"/>
        </w:numPr>
        <w:spacing w:after="66" w:before="24" w:line="262"/>
        <w:jc w:val="both"/>
      </w:pPr>
      <w:r>
        <w:rPr>
          <w:rFonts w:ascii="Calibri" w:cs="Calibri" w:eastAsia="Calibri" w:hAnsi="Calibri"/>
          <w:color w:val="22303C"/>
          <w:sz w:val="20"/>
          <w:szCs w:val="20"/>
        </w:rPr>
        <w:t xml:space="preserve">Substantial improvement over direct exposure with no change to internal services.</w:t>
      </w:r>
    </w:p>
    <w:p>
      <w:pPr>
        <w:pStyle w:val="ListParagraph"/>
        <w:numPr>
          <w:ilvl w:val="0"/>
          <w:numId w:val="13"/>
        </w:numPr>
        <w:spacing w:after="66" w:before="24" w:line="262"/>
        <w:jc w:val="both"/>
      </w:pPr>
      <w:r>
        <w:rPr>
          <w:rFonts w:ascii="Calibri" w:cs="Calibri" w:eastAsia="Calibri" w:hAnsi="Calibri"/>
          <w:color w:val="22303C"/>
          <w:sz w:val="20"/>
          <w:szCs w:val="20"/>
        </w:rPr>
        <w:t xml:space="preserve">Central policy enforcement point; consistent audit; per-agent quotas.</w:t>
      </w:r>
    </w:p>
    <w:p>
      <w:pPr>
        <w:pStyle w:val="ListParagraph"/>
        <w:numPr>
          <w:ilvl w:val="0"/>
          <w:numId w:val="13"/>
        </w:numPr>
        <w:spacing w:after="66" w:before="24" w:line="262"/>
        <w:jc w:val="both"/>
      </w:pPr>
      <w:r>
        <w:rPr>
          <w:rFonts w:ascii="Calibri" w:cs="Calibri" w:eastAsia="Calibri" w:hAnsi="Calibri"/>
          <w:color w:val="22303C"/>
          <w:sz w:val="20"/>
          <w:szCs w:val="20"/>
        </w:rPr>
        <w:t xml:space="preserve">Mature commercial and open-source options exist; short delivery timeline.</w:t>
      </w:r>
    </w:p>
    <w:p>
      <w:pPr>
        <w:keepNext w:val="false"/>
        <w:spacing w:after="130" w:before="0" w:line="268"/>
        <w:jc w:val="both"/>
      </w:pPr>
      <w:r>
        <w:rPr>
          <w:rFonts w:ascii="Calibri" w:cs="Calibri" w:eastAsia="Calibri" w:hAnsi="Calibri"/>
          <w:b/>
          <w:bCs/>
          <w:color w:val="22303C"/>
          <w:sz w:val="20"/>
          <w:szCs w:val="20"/>
        </w:rPr>
        <w:t xml:space="preserve">Weaknesses</w:t>
      </w:r>
    </w:p>
    <w:p>
      <w:pPr>
        <w:pStyle w:val="ListParagraph"/>
        <w:numPr>
          <w:ilvl w:val="0"/>
          <w:numId w:val="14"/>
        </w:numPr>
        <w:spacing w:after="66" w:before="24" w:line="262"/>
        <w:jc w:val="both"/>
      </w:pPr>
      <w:r>
        <w:rPr>
          <w:rFonts w:ascii="Calibri" w:cs="Calibri" w:eastAsia="Calibri" w:hAnsi="Calibri"/>
          <w:color w:val="22303C"/>
          <w:sz w:val="20"/>
          <w:szCs w:val="20"/>
        </w:rPr>
        <w:t xml:space="preserve">Without a redesigned interaction model it is still primitive calls, just filtered ones — the gateway constrains *which* calls, not *what outcome* is authorised.</w:t>
      </w:r>
    </w:p>
    <w:p>
      <w:pPr>
        <w:pStyle w:val="ListParagraph"/>
        <w:numPr>
          <w:ilvl w:val="0"/>
          <w:numId w:val="14"/>
        </w:numPr>
        <w:spacing w:after="66" w:before="24" w:line="262"/>
        <w:jc w:val="both"/>
      </w:pPr>
      <w:r>
        <w:rPr>
          <w:rFonts w:ascii="Calibri" w:cs="Calibri" w:eastAsia="Calibri" w:hAnsi="Calibri"/>
          <w:color w:val="22303C"/>
          <w:sz w:val="20"/>
          <w:szCs w:val="20"/>
        </w:rPr>
        <w:t xml:space="preserve">No intent object means no simulation, no human-signed mandate and no receipt.</w:t>
      </w:r>
    </w:p>
    <w:p>
      <w:pPr>
        <w:pStyle w:val="ListParagraph"/>
        <w:numPr>
          <w:ilvl w:val="0"/>
          <w:numId w:val="14"/>
        </w:numPr>
        <w:spacing w:after="66" w:before="24" w:line="262"/>
        <w:jc w:val="both"/>
      </w:pPr>
      <w:r>
        <w:rPr>
          <w:rFonts w:ascii="Calibri" w:cs="Calibri" w:eastAsia="Calibri" w:hAnsi="Calibri"/>
          <w:color w:val="22303C"/>
          <w:sz w:val="20"/>
          <w:szCs w:val="20"/>
        </w:rPr>
        <w:t xml:space="preserve">Curation is manual and drifts as the estate changes.</w:t>
      </w:r>
    </w:p>
    <w:p>
      <w:pPr>
        <w:keepNext w:val="false"/>
        <w:spacing w:after="130" w:before="0" w:line="268"/>
        <w:jc w:val="both"/>
      </w:pPr>
      <w:r>
        <w:rPr>
          <w:rFonts w:ascii="Calibri" w:cs="Calibri" w:eastAsia="Calibri" w:hAnsi="Calibri"/>
          <w:b/>
          <w:bCs/>
          <w:color w:val="22303C"/>
          <w:sz w:val="20"/>
          <w:szCs w:val="20"/>
        </w:rPr>
        <w:t xml:space="preserve">Verdict.</w:t>
      </w:r>
      <w:r>
        <w:rPr>
          <w:rFonts w:ascii="Calibri" w:cs="Calibri" w:eastAsia="Calibri" w:hAnsi="Calibri"/>
          <w:color w:val="22303C"/>
          <w:sz w:val="20"/>
          <w:szCs w:val="20"/>
        </w:rPr>
        <w:t xml:space="preserve"> Rejected as the whole answer (score 3.24). Its enforcement-point role is adopted as ACE’s Agent Edge (Zone 1).</w:t>
      </w:r>
    </w:p>
    <w:p>
      <w:pPr>
        <w:pStyle w:val="Heading2"/>
      </w:pPr>
      <w:r>
        <w:rPr>
          <w:rFonts w:ascii="Calibri Light" w:cs="Calibri Light" w:eastAsia="Calibri Light" w:hAnsi="Calibri Light"/>
          <w:color w:val="1B3A5C"/>
          <w:sz w:val="23"/>
          <w:szCs w:val="23"/>
        </w:rPr>
        <w:t xml:space="preserve">4.6  ALT-4 — Server-side sandboxed code execution</w:t>
      </w:r>
    </w:p>
    <w:p>
      <w:pPr>
        <w:keepNext w:val="false"/>
        <w:spacing w:after="130" w:before="0" w:line="268"/>
        <w:jc w:val="both"/>
      </w:pPr>
      <w:r>
        <w:rPr>
          <w:rFonts w:ascii="Calibri" w:cs="Calibri" w:eastAsia="Calibri" w:hAnsi="Calibri"/>
          <w:b/>
          <w:bCs/>
          <w:color w:val="22303C"/>
          <w:sz w:val="20"/>
          <w:szCs w:val="20"/>
        </w:rPr>
        <w:t xml:space="preserve">What it is.</w:t>
      </w:r>
      <w:r>
        <w:rPr>
          <w:rFonts w:ascii="Calibri" w:cs="Calibri" w:eastAsia="Calibri" w:hAnsi="Calibri"/>
          <w:color w:val="22303C"/>
          <w:sz w:val="20"/>
          <w:szCs w:val="20"/>
        </w:rPr>
        <w:t xml:space="preserve"> Instead of exposing many operations, expose a sandbox in which the agent submits a short program that calls a provider-supplied SDK; the program runs inside the provider’s isolate.</w:t>
      </w:r>
    </w:p>
    <w:p>
      <w:pPr>
        <w:keepNext w:val="false"/>
        <w:spacing w:after="130" w:before="0" w:line="268"/>
        <w:jc w:val="both"/>
      </w:pPr>
      <w:r>
        <w:rPr>
          <w:rFonts w:ascii="Calibri" w:cs="Calibri" w:eastAsia="Calibri" w:hAnsi="Calibri"/>
          <w:b/>
          <w:bCs/>
          <w:color w:val="22303C"/>
          <w:sz w:val="20"/>
          <w:szCs w:val="20"/>
        </w:rPr>
        <w:t xml:space="preserve">How it works.</w:t>
      </w:r>
      <w:r>
        <w:rPr>
          <w:rFonts w:ascii="Calibri" w:cs="Calibri" w:eastAsia="Calibri" w:hAnsi="Calibri"/>
          <w:color w:val="22303C"/>
          <w:sz w:val="20"/>
          <w:szCs w:val="20"/>
        </w:rPr>
        <w:t xml:space="preserve"> Two entry points — roughly “discover API surface” and “run this code” — collapse an arbitrarily large estate into a fixed, small context cost, with loops and conditionals executing next to the data.</w:t>
      </w:r>
    </w:p>
    <w:p>
      <w:pPr>
        <w:keepNext w:val="false"/>
        <w:spacing w:after="130" w:before="0" w:line="268"/>
        <w:jc w:val="both"/>
      </w:pPr>
      <w:r>
        <w:rPr>
          <w:rFonts w:ascii="Calibri" w:cs="Calibri" w:eastAsia="Calibri" w:hAnsi="Calibri"/>
          <w:b/>
          <w:bCs/>
          <w:color w:val="22303C"/>
          <w:sz w:val="20"/>
          <w:szCs w:val="20"/>
        </w:rPr>
        <w:t xml:space="preserve">Strengths</w:t>
      </w:r>
    </w:p>
    <w:p>
      <w:pPr>
        <w:pStyle w:val="ListParagraph"/>
        <w:numPr>
          <w:ilvl w:val="0"/>
          <w:numId w:val="15"/>
        </w:numPr>
        <w:spacing w:after="66" w:before="24" w:line="262"/>
        <w:jc w:val="both"/>
      </w:pPr>
      <w:r>
        <w:rPr>
          <w:rFonts w:ascii="Calibri" w:cs="Calibri" w:eastAsia="Calibri" w:hAnsi="Calibri"/>
          <w:color w:val="22303C"/>
          <w:sz w:val="20"/>
          <w:szCs w:val="20"/>
        </w:rPr>
        <w:t xml:space="preserve">Best-in-class context efficiency: thousands of operations for a fixed token budget.</w:t>
      </w:r>
    </w:p>
    <w:p>
      <w:pPr>
        <w:pStyle w:val="ListParagraph"/>
        <w:numPr>
          <w:ilvl w:val="0"/>
          <w:numId w:val="15"/>
        </w:numPr>
        <w:spacing w:after="66" w:before="24" w:line="262"/>
        <w:jc w:val="both"/>
      </w:pPr>
      <w:r>
        <w:rPr>
          <w:rFonts w:ascii="Calibri" w:cs="Calibri" w:eastAsia="Calibri" w:hAnsi="Calibri"/>
          <w:color w:val="22303C"/>
          <w:sz w:val="20"/>
          <w:szCs w:val="20"/>
        </w:rPr>
        <w:t xml:space="preserve">Eliminates chatty round-trips; composition happens server-side, so fan-out and N+1 patterns collapse.</w:t>
      </w:r>
    </w:p>
    <w:p>
      <w:pPr>
        <w:pStyle w:val="ListParagraph"/>
        <w:numPr>
          <w:ilvl w:val="0"/>
          <w:numId w:val="15"/>
        </w:numPr>
        <w:spacing w:after="66" w:before="24" w:line="262"/>
        <w:jc w:val="both"/>
      </w:pPr>
      <w:r>
        <w:rPr>
          <w:rFonts w:ascii="Calibri" w:cs="Calibri" w:eastAsia="Calibri" w:hAnsi="Calibri"/>
          <w:color w:val="22303C"/>
          <w:sz w:val="20"/>
          <w:szCs w:val="20"/>
        </w:rPr>
        <w:t xml:space="preserve">Natural progressive disclosure; the agent fetches only the type definitions it needs.</w:t>
      </w:r>
    </w:p>
    <w:p>
      <w:pPr>
        <w:keepNext w:val="false"/>
        <w:spacing w:after="130" w:before="0" w:line="268"/>
        <w:jc w:val="both"/>
      </w:pPr>
      <w:r>
        <w:rPr>
          <w:rFonts w:ascii="Calibri" w:cs="Calibri" w:eastAsia="Calibri" w:hAnsi="Calibri"/>
          <w:b/>
          <w:bCs/>
          <w:color w:val="22303C"/>
          <w:sz w:val="20"/>
          <w:szCs w:val="20"/>
        </w:rPr>
        <w:t xml:space="preserve">Weaknesses</w:t>
      </w:r>
    </w:p>
    <w:p>
      <w:pPr>
        <w:pStyle w:val="ListParagraph"/>
        <w:numPr>
          <w:ilvl w:val="0"/>
          <w:numId w:val="16"/>
        </w:numPr>
        <w:spacing w:after="66" w:before="24" w:line="262"/>
        <w:jc w:val="both"/>
      </w:pPr>
      <w:r>
        <w:rPr>
          <w:rFonts w:ascii="Calibri" w:cs="Calibri" w:eastAsia="Calibri" w:hAnsi="Calibri"/>
          <w:color w:val="22303C"/>
          <w:sz w:val="20"/>
          <w:szCs w:val="20"/>
        </w:rPr>
        <w:t xml:space="preserve">Accepting arbitrary code from an untrusted, injectable process is a serious escalation of the threat model: isolate escape, resource exhaustion, and data-exfiltration-by-computation all become live concerns.</w:t>
      </w:r>
    </w:p>
    <w:p>
      <w:pPr>
        <w:pStyle w:val="ListParagraph"/>
        <w:numPr>
          <w:ilvl w:val="0"/>
          <w:numId w:val="16"/>
        </w:numPr>
        <w:spacing w:after="66" w:before="24" w:line="262"/>
        <w:jc w:val="both"/>
      </w:pPr>
      <w:r>
        <w:rPr>
          <w:rFonts w:ascii="Calibri" w:cs="Calibri" w:eastAsia="Calibri" w:hAnsi="Calibri"/>
          <w:color w:val="22303C"/>
          <w:sz w:val="20"/>
          <w:szCs w:val="20"/>
        </w:rPr>
        <w:t xml:space="preserve">Extremely hard to reason about pre-trade control coverage when the caller can express arbitrary control flow. Demonstrating “direct and exclusive control” under REG-1 over a Turing-complete caller is not a conversation worth having with an examiner.</w:t>
      </w:r>
    </w:p>
    <w:p>
      <w:pPr>
        <w:pStyle w:val="ListParagraph"/>
        <w:numPr>
          <w:ilvl w:val="0"/>
          <w:numId w:val="16"/>
        </w:numPr>
        <w:spacing w:after="66" w:before="24" w:line="262"/>
        <w:jc w:val="both"/>
      </w:pPr>
      <w:r>
        <w:rPr>
          <w:rFonts w:ascii="Calibri" w:cs="Calibri" w:eastAsia="Calibri" w:hAnsi="Calibri"/>
          <w:color w:val="22303C"/>
          <w:sz w:val="20"/>
          <w:szCs w:val="20"/>
        </w:rPr>
        <w:t xml:space="preserve">Non-determinism moves inside the trust boundary, which is the opposite of the intended direction.</w:t>
      </w:r>
    </w:p>
    <w:p>
      <w:pPr>
        <w:pStyle w:val="ListParagraph"/>
        <w:numPr>
          <w:ilvl w:val="0"/>
          <w:numId w:val="16"/>
        </w:numPr>
        <w:spacing w:after="66" w:before="24" w:line="262"/>
        <w:jc w:val="both"/>
      </w:pPr>
      <w:r>
        <w:rPr>
          <w:rFonts w:ascii="Calibri" w:cs="Calibri" w:eastAsia="Calibri" w:hAnsi="Calibri"/>
          <w:color w:val="22303C"/>
          <w:sz w:val="20"/>
          <w:szCs w:val="20"/>
        </w:rPr>
        <w:t xml:space="preserve">Substantial platform investment: isolation, egress control, CPU/memory metering, SDK versioning.</w:t>
      </w:r>
    </w:p>
    <w:p>
      <w:pPr>
        <w:keepNext w:val="false"/>
        <w:spacing w:after="130" w:before="0" w:line="268"/>
        <w:jc w:val="both"/>
      </w:pPr>
      <w:r>
        <w:rPr>
          <w:rFonts w:ascii="Calibri" w:cs="Calibri" w:eastAsia="Calibri" w:hAnsi="Calibri"/>
          <w:b/>
          <w:bCs/>
          <w:color w:val="22303C"/>
          <w:sz w:val="20"/>
          <w:szCs w:val="20"/>
        </w:rPr>
        <w:t xml:space="preserve">Verdict.</w:t>
      </w:r>
      <w:r>
        <w:rPr>
          <w:rFonts w:ascii="Calibri" w:cs="Calibri" w:eastAsia="Calibri" w:hAnsi="Calibri"/>
          <w:color w:val="22303C"/>
          <w:sz w:val="20"/>
          <w:szCs w:val="20"/>
        </w:rPr>
        <w:t xml:space="preserve"> Rejected for regulated write paths (score 3.24). Its efficiency insight — do the composition server-side — is adopted, but expressed as declarative intents and data products rather than as customer-supplied code. Worth revisiting for read-only analytics in a later phase.</w:t>
      </w:r>
    </w:p>
    <w:p>
      <w:pPr>
        <w:pStyle w:val="Heading2"/>
      </w:pPr>
      <w:r>
        <w:rPr>
          <w:rFonts w:ascii="Calibri Light" w:cs="Calibri Light" w:eastAsia="Calibri Light" w:hAnsi="Calibri Light"/>
          <w:color w:val="1B3A5C"/>
          <w:sz w:val="23"/>
          <w:szCs w:val="23"/>
        </w:rPr>
        <w:t xml:space="preserve">4.7  ALT-5 — Delegated task endpoint (A2A-style)</w:t>
      </w:r>
    </w:p>
    <w:p>
      <w:pPr>
        <w:keepNext w:val="false"/>
        <w:spacing w:after="130" w:before="0" w:line="268"/>
        <w:jc w:val="both"/>
      </w:pPr>
      <w:r>
        <w:rPr>
          <w:rFonts w:ascii="Calibri" w:cs="Calibri" w:eastAsia="Calibri" w:hAnsi="Calibri"/>
          <w:b/>
          <w:bCs/>
          <w:color w:val="22303C"/>
          <w:sz w:val="20"/>
          <w:szCs w:val="20"/>
        </w:rPr>
        <w:t xml:space="preserve">What it is.</w:t>
      </w:r>
      <w:r>
        <w:rPr>
          <w:rFonts w:ascii="Calibri" w:cs="Calibri" w:eastAsia="Calibri" w:hAnsi="Calibri"/>
          <w:color w:val="22303C"/>
          <w:sz w:val="20"/>
          <w:szCs w:val="20"/>
        </w:rPr>
        <w:t xml:space="preserve"> Model the provider as an agent that accepts tasks. Publish a capability card at a well-known URI; accept task submissions with a defined lifecycle (submitted, working, input-required, auth-required, completed, failed, cancelled) over JSON-RPC, gRPC or REST bindings.</w:t>
      </w:r>
    </w:p>
    <w:p>
      <w:pPr>
        <w:keepNext w:val="false"/>
        <w:spacing w:after="130" w:before="0" w:line="268"/>
        <w:jc w:val="both"/>
      </w:pPr>
      <w:r>
        <w:rPr>
          <w:rFonts w:ascii="Calibri" w:cs="Calibri" w:eastAsia="Calibri" w:hAnsi="Calibri"/>
          <w:b/>
          <w:bCs/>
          <w:color w:val="22303C"/>
          <w:sz w:val="20"/>
          <w:szCs w:val="20"/>
        </w:rPr>
        <w:t xml:space="preserve">How it works.</w:t>
      </w:r>
      <w:r>
        <w:rPr>
          <w:rFonts w:ascii="Calibri" w:cs="Calibri" w:eastAsia="Calibri" w:hAnsi="Calibri"/>
          <w:color w:val="22303C"/>
          <w:sz w:val="20"/>
          <w:szCs w:val="20"/>
        </w:rPr>
        <w:t xml:space="preserve"> The customer’s agent discovers the card, submits a task, subscribes to updates by streaming or webhook, and supplies additional input or authorisation when the task requests it.</w:t>
      </w:r>
    </w:p>
    <w:p>
      <w:pPr>
        <w:keepNext w:val="false"/>
        <w:spacing w:after="130" w:before="0" w:line="268"/>
        <w:jc w:val="both"/>
      </w:pPr>
      <w:r>
        <w:rPr>
          <w:rFonts w:ascii="Calibri" w:cs="Calibri" w:eastAsia="Calibri" w:hAnsi="Calibri"/>
          <w:b/>
          <w:bCs/>
          <w:color w:val="22303C"/>
          <w:sz w:val="20"/>
          <w:szCs w:val="20"/>
        </w:rPr>
        <w:t xml:space="preserve">Strengths</w:t>
      </w:r>
    </w:p>
    <w:p>
      <w:pPr>
        <w:pStyle w:val="ListParagraph"/>
        <w:numPr>
          <w:ilvl w:val="0"/>
          <w:numId w:val="17"/>
        </w:numPr>
        <w:spacing w:after="66" w:before="24" w:line="262"/>
        <w:jc w:val="both"/>
      </w:pPr>
      <w:r>
        <w:rPr>
          <w:rFonts w:ascii="Calibri" w:cs="Calibri" w:eastAsia="Calibri" w:hAnsi="Calibri"/>
          <w:color w:val="22303C"/>
          <w:sz w:val="20"/>
          <w:szCs w:val="20"/>
        </w:rPr>
        <w:t xml:space="preserve">Genuinely outcome-oriented: the unit of work is a task, not a function call.</w:t>
      </w:r>
    </w:p>
    <w:p>
      <w:pPr>
        <w:pStyle w:val="ListParagraph"/>
        <w:numPr>
          <w:ilvl w:val="0"/>
          <w:numId w:val="17"/>
        </w:numPr>
        <w:spacing w:after="66" w:before="24" w:line="262"/>
        <w:jc w:val="both"/>
      </w:pPr>
      <w:r>
        <w:rPr>
          <w:rFonts w:ascii="Calibri" w:cs="Calibri" w:eastAsia="Calibri" w:hAnsi="Calibri"/>
          <w:color w:val="22303C"/>
          <w:sz w:val="20"/>
          <w:szCs w:val="20"/>
        </w:rPr>
        <w:t xml:space="preserve">First-class asynchrony and a state machine that already includes an </w:t>
      </w:r>
      <w:r>
        <w:rPr>
          <w:rFonts w:ascii="Consolas" w:cs="Consolas" w:eastAsia="Consolas" w:hAnsi="Consolas"/>
          <w:color w:val="12293F"/>
          <w:sz w:val="17"/>
          <w:szCs w:val="17"/>
        </w:rPr>
        <w:t xml:space="preserve">auth-required</w:t>
      </w:r>
      <w:r>
        <w:rPr>
          <w:rFonts w:ascii="Calibri" w:cs="Calibri" w:eastAsia="Calibri" w:hAnsi="Calibri"/>
          <w:color w:val="22303C"/>
          <w:sz w:val="20"/>
          <w:szCs w:val="20"/>
        </w:rPr>
        <w:t xml:space="preserve"> state — the natural home for a human approval step.</w:t>
      </w:r>
    </w:p>
    <w:p>
      <w:pPr>
        <w:pStyle w:val="ListParagraph"/>
        <w:numPr>
          <w:ilvl w:val="0"/>
          <w:numId w:val="17"/>
        </w:numPr>
        <w:spacing w:after="66" w:before="24" w:line="262"/>
        <w:jc w:val="both"/>
      </w:pPr>
      <w:r>
        <w:rPr>
          <w:rFonts w:ascii="Calibri" w:cs="Calibri" w:eastAsia="Calibri" w:hAnsi="Calibri"/>
          <w:color w:val="22303C"/>
          <w:sz w:val="20"/>
          <w:szCs w:val="20"/>
        </w:rPr>
        <w:t xml:space="preserve">Vendor-neutral governance and growing enterprise adoption; cards give bounded discovery.</w:t>
      </w:r>
    </w:p>
    <w:p>
      <w:pPr>
        <w:pStyle w:val="ListParagraph"/>
        <w:numPr>
          <w:ilvl w:val="0"/>
          <w:numId w:val="17"/>
        </w:numPr>
        <w:spacing w:after="66" w:before="24" w:line="262"/>
        <w:jc w:val="both"/>
      </w:pPr>
      <w:r>
        <w:rPr>
          <w:rFonts w:ascii="Calibri" w:cs="Calibri" w:eastAsia="Calibri" w:hAnsi="Calibri"/>
          <w:color w:val="22303C"/>
          <w:sz w:val="20"/>
          <w:szCs w:val="20"/>
        </w:rPr>
        <w:t xml:space="preserve">Long-running work, streaming progress and cancellation are all native.</w:t>
      </w:r>
    </w:p>
    <w:p>
      <w:pPr>
        <w:keepNext w:val="false"/>
        <w:spacing w:after="130" w:before="0" w:line="268"/>
        <w:jc w:val="both"/>
      </w:pPr>
      <w:r>
        <w:rPr>
          <w:rFonts w:ascii="Calibri" w:cs="Calibri" w:eastAsia="Calibri" w:hAnsi="Calibri"/>
          <w:b/>
          <w:bCs/>
          <w:color w:val="22303C"/>
          <w:sz w:val="20"/>
          <w:szCs w:val="20"/>
        </w:rPr>
        <w:t xml:space="preserve">Weaknesses</w:t>
      </w:r>
    </w:p>
    <w:p>
      <w:pPr>
        <w:pStyle w:val="ListParagraph"/>
        <w:numPr>
          <w:ilvl w:val="0"/>
          <w:numId w:val="18"/>
        </w:numPr>
        <w:spacing w:after="66" w:before="24" w:line="262"/>
        <w:jc w:val="both"/>
      </w:pPr>
      <w:r>
        <w:rPr>
          <w:rFonts w:ascii="Calibri" w:cs="Calibri" w:eastAsia="Calibri" w:hAnsi="Calibri"/>
          <w:color w:val="22303C"/>
          <w:sz w:val="20"/>
          <w:szCs w:val="20"/>
        </w:rPr>
        <w:t xml:space="preserve">Deliberately delegates identity and authorisation to other protocols, so the hard part — per-action authority — remains unspecified.</w:t>
      </w:r>
    </w:p>
    <w:p>
      <w:pPr>
        <w:pStyle w:val="ListParagraph"/>
        <w:numPr>
          <w:ilvl w:val="0"/>
          <w:numId w:val="18"/>
        </w:numPr>
        <w:spacing w:after="66" w:before="24" w:line="262"/>
        <w:jc w:val="both"/>
      </w:pPr>
      <w:r>
        <w:rPr>
          <w:rFonts w:ascii="Calibri" w:cs="Calibri" w:eastAsia="Calibri" w:hAnsi="Calibri"/>
          <w:color w:val="22303C"/>
          <w:sz w:val="20"/>
          <w:szCs w:val="20"/>
        </w:rPr>
        <w:t xml:space="preserve">Task payloads are free-form, so without additional discipline the interface is as loose as a chat message; deterministic validation needs typed, schema-bound parameters.</w:t>
      </w:r>
    </w:p>
    <w:p>
      <w:pPr>
        <w:pStyle w:val="ListParagraph"/>
        <w:numPr>
          <w:ilvl w:val="0"/>
          <w:numId w:val="18"/>
        </w:numPr>
        <w:spacing w:after="66" w:before="24" w:line="262"/>
        <w:jc w:val="both"/>
      </w:pPr>
      <w:r>
        <w:rPr>
          <w:rFonts w:ascii="Calibri" w:cs="Calibri" w:eastAsia="Calibri" w:hAnsi="Calibri"/>
          <w:color w:val="22303C"/>
          <w:sz w:val="20"/>
          <w:szCs w:val="20"/>
        </w:rPr>
        <w:t xml:space="preserve">No native notion of a signed mandate, simulation, or receipt.</w:t>
      </w:r>
    </w:p>
    <w:p>
      <w:pPr>
        <w:pStyle w:val="ListParagraph"/>
        <w:numPr>
          <w:ilvl w:val="0"/>
          <w:numId w:val="18"/>
        </w:numPr>
        <w:spacing w:after="66" w:before="24" w:line="262"/>
        <w:jc w:val="both"/>
      </w:pPr>
      <w:r>
        <w:rPr>
          <w:rFonts w:ascii="Calibri" w:cs="Calibri" w:eastAsia="Calibri" w:hAnsi="Calibri"/>
          <w:color w:val="22303C"/>
          <w:sz w:val="20"/>
          <w:szCs w:val="20"/>
        </w:rPr>
        <w:t xml:space="preserve">Requires the agent to adopt a protocol, which weakens C5 relative to plain HTTP.</w:t>
      </w:r>
    </w:p>
    <w:p>
      <w:pPr>
        <w:keepNext w:val="false"/>
        <w:spacing w:after="130" w:before="0" w:line="268"/>
        <w:jc w:val="both"/>
      </w:pPr>
      <w:r>
        <w:rPr>
          <w:rFonts w:ascii="Calibri" w:cs="Calibri" w:eastAsia="Calibri" w:hAnsi="Calibri"/>
          <w:b/>
          <w:bCs/>
          <w:color w:val="22303C"/>
          <w:sz w:val="20"/>
          <w:szCs w:val="20"/>
        </w:rPr>
        <w:t xml:space="preserve">Verdict.</w:t>
      </w:r>
      <w:r>
        <w:rPr>
          <w:rFonts w:ascii="Calibri" w:cs="Calibri" w:eastAsia="Calibri" w:hAnsi="Calibri"/>
          <w:color w:val="22303C"/>
          <w:sz w:val="20"/>
          <w:szCs w:val="20"/>
        </w:rPr>
        <w:t xml:space="preserve"> Strong contender (score 3.76) and the closest relative of the recommendation. Its task lifecycle is adopted wholesale as the intent state machine in §5.8.1; what is added is typing, mandates and receipts.</w:t>
      </w:r>
    </w:p>
    <w:p>
      <w:pPr>
        <w:pStyle w:val="Heading2"/>
      </w:pPr>
      <w:r>
        <w:rPr>
          <w:rFonts w:ascii="Calibri Light" w:cs="Calibri Light" w:eastAsia="Calibri Light" w:hAnsi="Calibri Light"/>
          <w:color w:val="1B3A5C"/>
          <w:sz w:val="23"/>
          <w:szCs w:val="23"/>
        </w:rPr>
        <w:t xml:space="preserve">4.8  ALT-6 — Intent-and-mandate capability exchange  ◀  RECOMMENDED</w:t>
      </w:r>
    </w:p>
    <w:p>
      <w:pPr>
        <w:keepNext w:val="false"/>
        <w:spacing w:after="130" w:before="0" w:line="268"/>
        <w:jc w:val="both"/>
      </w:pPr>
      <w:r>
        <w:rPr>
          <w:rFonts w:ascii="Calibri" w:cs="Calibri" w:eastAsia="Calibri" w:hAnsi="Calibri"/>
          <w:b/>
          <w:bCs/>
          <w:color w:val="22303C"/>
          <w:sz w:val="20"/>
          <w:szCs w:val="20"/>
        </w:rPr>
        <w:t xml:space="preserve">What it is.</w:t>
      </w:r>
      <w:r>
        <w:rPr>
          <w:rFonts w:ascii="Calibri" w:cs="Calibri" w:eastAsia="Calibri" w:hAnsi="Calibri"/>
          <w:color w:val="22303C"/>
          <w:sz w:val="20"/>
          <w:szCs w:val="20"/>
        </w:rPr>
        <w:t xml:space="preserve"> A provider-operated exchange exposing three verbs over plain HTTPS: semantic capability search, parameterised data-product query, and intent submission. Writes are declarative intents that are validated and simulated server-side, authorised by a human-signed mandate bound by hash to the exact intent, executed inside the trust boundary, and answered with a signed receipt.</w:t>
      </w:r>
    </w:p>
    <w:p>
      <w:pPr>
        <w:keepNext w:val="false"/>
        <w:spacing w:after="130" w:before="0" w:line="268"/>
        <w:jc w:val="both"/>
      </w:pPr>
      <w:r>
        <w:rPr>
          <w:rFonts w:ascii="Calibri" w:cs="Calibri" w:eastAsia="Calibri" w:hAnsi="Calibri"/>
          <w:b/>
          <w:bCs/>
          <w:color w:val="22303C"/>
          <w:sz w:val="20"/>
          <w:szCs w:val="20"/>
        </w:rPr>
        <w:t xml:space="preserve">How it works.</w:t>
      </w:r>
      <w:r>
        <w:rPr>
          <w:rFonts w:ascii="Calibri" w:cs="Calibri" w:eastAsia="Calibri" w:hAnsi="Calibri"/>
          <w:color w:val="22303C"/>
          <w:sz w:val="20"/>
          <w:szCs w:val="20"/>
        </w:rPr>
        <w:t xml:space="preserve"> Detailed in §5. In outline: discovery is search-first and O(1) in estate size; reads are policy-shaped projections with egress budgets; writes traverse a deterministic control pipeline whose output is a priced, human-approvable statement; execution is idempotent and compensable; evidence is hash-chained into a WORM ledger.</w:t>
      </w:r>
    </w:p>
    <w:p>
      <w:pPr>
        <w:keepNext w:val="false"/>
        <w:spacing w:after="130" w:before="0" w:line="268"/>
        <w:jc w:val="both"/>
      </w:pPr>
      <w:r>
        <w:rPr>
          <w:rFonts w:ascii="Calibri" w:cs="Calibri" w:eastAsia="Calibri" w:hAnsi="Calibri"/>
          <w:b/>
          <w:bCs/>
          <w:color w:val="22303C"/>
          <w:sz w:val="20"/>
          <w:szCs w:val="20"/>
        </w:rPr>
        <w:t xml:space="preserve">Strengths</w:t>
      </w:r>
    </w:p>
    <w:p>
      <w:pPr>
        <w:pStyle w:val="ListParagraph"/>
        <w:numPr>
          <w:ilvl w:val="0"/>
          <w:numId w:val="19"/>
        </w:numPr>
        <w:spacing w:after="66" w:before="24" w:line="262"/>
        <w:jc w:val="both"/>
      </w:pPr>
      <w:r>
        <w:rPr>
          <w:rFonts w:ascii="Calibri" w:cs="Calibri" w:eastAsia="Calibri" w:hAnsi="Calibri"/>
          <w:color w:val="22303C"/>
          <w:sz w:val="20"/>
          <w:szCs w:val="20"/>
        </w:rPr>
        <w:t xml:space="preserve">Highest containment: authority is per-action, hash-bound, capped, time-boxed and confined to a segregated account (C1).</w:t>
      </w:r>
    </w:p>
    <w:p>
      <w:pPr>
        <w:pStyle w:val="ListParagraph"/>
        <w:numPr>
          <w:ilvl w:val="0"/>
          <w:numId w:val="19"/>
        </w:numPr>
        <w:spacing w:after="66" w:before="24" w:line="262"/>
        <w:jc w:val="both"/>
      </w:pPr>
      <w:r>
        <w:rPr>
          <w:rFonts w:ascii="Calibri" w:cs="Calibri" w:eastAsia="Calibri" w:hAnsi="Calibri"/>
          <w:color w:val="22303C"/>
          <w:sz w:val="20"/>
          <w:szCs w:val="20"/>
        </w:rPr>
        <w:t xml:space="preserve">Evidence by construction, satisfying REG-1 through REG-4 without a reconstruction pipeline (C2).</w:t>
      </w:r>
    </w:p>
    <w:p>
      <w:pPr>
        <w:pStyle w:val="ListParagraph"/>
        <w:numPr>
          <w:ilvl w:val="0"/>
          <w:numId w:val="19"/>
        </w:numPr>
        <w:spacing w:after="66" w:before="24" w:line="262"/>
        <w:jc w:val="both"/>
      </w:pPr>
      <w:r>
        <w:rPr>
          <w:rFonts w:ascii="Calibri" w:cs="Calibri" w:eastAsia="Calibri" w:hAnsi="Calibri"/>
          <w:color w:val="22303C"/>
          <w:sz w:val="20"/>
          <w:szCs w:val="20"/>
        </w:rPr>
        <w:t xml:space="preserve">Cost tracks approved outcomes and is meterable per agent, per customer, per intent type (C3).</w:t>
      </w:r>
    </w:p>
    <w:p>
      <w:pPr>
        <w:pStyle w:val="ListParagraph"/>
        <w:numPr>
          <w:ilvl w:val="0"/>
          <w:numId w:val="19"/>
        </w:numPr>
        <w:spacing w:after="66" w:before="24" w:line="262"/>
        <w:jc w:val="both"/>
      </w:pPr>
      <w:r>
        <w:rPr>
          <w:rFonts w:ascii="Calibri" w:cs="Calibri" w:eastAsia="Calibri" w:hAnsi="Calibri"/>
          <w:color w:val="22303C"/>
          <w:sz w:val="20"/>
          <w:szCs w:val="20"/>
        </w:rPr>
        <w:t xml:space="preserve">Fixed small context cost; a 2,500-operation estate costs the same as a 20-operation one (C4).</w:t>
      </w:r>
    </w:p>
    <w:p>
      <w:pPr>
        <w:pStyle w:val="ListParagraph"/>
        <w:numPr>
          <w:ilvl w:val="0"/>
          <w:numId w:val="19"/>
        </w:numPr>
        <w:spacing w:after="66" w:before="24" w:line="262"/>
        <w:jc w:val="both"/>
      </w:pPr>
      <w:r>
        <w:rPr>
          <w:rFonts w:ascii="Calibri" w:cs="Calibri" w:eastAsia="Calibri" w:hAnsi="Calibri"/>
          <w:color w:val="22303C"/>
          <w:sz w:val="20"/>
          <w:szCs w:val="20"/>
        </w:rPr>
        <w:t xml:space="preserve">Plain HTTPS and JSON, so any runtime participates with no adoption (C5).</w:t>
      </w:r>
    </w:p>
    <w:p>
      <w:pPr>
        <w:pStyle w:val="ListParagraph"/>
        <w:numPr>
          <w:ilvl w:val="0"/>
          <w:numId w:val="19"/>
        </w:numPr>
        <w:spacing w:after="66" w:before="24" w:line="262"/>
        <w:jc w:val="both"/>
      </w:pPr>
      <w:r>
        <w:rPr>
          <w:rFonts w:ascii="Calibri" w:cs="Calibri" w:eastAsia="Calibri" w:hAnsi="Calibri"/>
          <w:color w:val="22303C"/>
          <w:sz w:val="20"/>
          <w:szCs w:val="20"/>
        </w:rPr>
        <w:t xml:space="preserve">Every control is server-side, deterministic, versioned and independently testable (C6).</w:t>
      </w:r>
    </w:p>
    <w:p>
      <w:pPr>
        <w:pStyle w:val="ListParagraph"/>
        <w:numPr>
          <w:ilvl w:val="0"/>
          <w:numId w:val="19"/>
        </w:numPr>
        <w:spacing w:after="66" w:before="24" w:line="262"/>
        <w:jc w:val="both"/>
      </w:pPr>
      <w:r>
        <w:rPr>
          <w:rFonts w:ascii="Calibri" w:cs="Calibri" w:eastAsia="Calibri" w:hAnsi="Calibri"/>
          <w:color w:val="22303C"/>
          <w:sz w:val="20"/>
          <w:szCs w:val="20"/>
        </w:rPr>
        <w:t xml:space="preserve">Built entirely on ratified RFCs; emerging protocols remain optional edge adapters.</w:t>
      </w:r>
    </w:p>
    <w:p>
      <w:pPr>
        <w:keepNext w:val="false"/>
        <w:spacing w:after="130" w:before="0" w:line="268"/>
        <w:jc w:val="both"/>
      </w:pPr>
      <w:r>
        <w:rPr>
          <w:rFonts w:ascii="Calibri" w:cs="Calibri" w:eastAsia="Calibri" w:hAnsi="Calibri"/>
          <w:b/>
          <w:bCs/>
          <w:color w:val="22303C"/>
          <w:sz w:val="20"/>
          <w:szCs w:val="20"/>
        </w:rPr>
        <w:t xml:space="preserve">Weaknesses</w:t>
      </w:r>
    </w:p>
    <w:p>
      <w:pPr>
        <w:pStyle w:val="ListParagraph"/>
        <w:numPr>
          <w:ilvl w:val="0"/>
          <w:numId w:val="20"/>
        </w:numPr>
        <w:spacing w:after="66" w:before="24" w:line="262"/>
        <w:jc w:val="both"/>
      </w:pPr>
      <w:r>
        <w:rPr>
          <w:rFonts w:ascii="Calibri" w:cs="Calibri" w:eastAsia="Calibri" w:hAnsi="Calibri"/>
          <w:color w:val="22303C"/>
          <w:sz w:val="20"/>
          <w:szCs w:val="20"/>
        </w:rPr>
        <w:t xml:space="preserve">Highest build effort of the shortlist: three new services, a policy pipeline, a mandate service and an evidence ledger (C7 = 2).</w:t>
      </w:r>
    </w:p>
    <w:p>
      <w:pPr>
        <w:pStyle w:val="ListParagraph"/>
        <w:numPr>
          <w:ilvl w:val="0"/>
          <w:numId w:val="20"/>
        </w:numPr>
        <w:spacing w:after="66" w:before="24" w:line="262"/>
        <w:jc w:val="both"/>
      </w:pPr>
      <w:r>
        <w:rPr>
          <w:rFonts w:ascii="Calibri" w:cs="Calibri" w:eastAsia="Calibri" w:hAnsi="Calibri"/>
          <w:color w:val="22303C"/>
          <w:sz w:val="20"/>
          <w:szCs w:val="20"/>
        </w:rPr>
        <w:t xml:space="preserve">Requires the provider to model business outcomes explicitly — real domain work that cannot be delegated to a code generator.</w:t>
      </w:r>
    </w:p>
    <w:p>
      <w:pPr>
        <w:pStyle w:val="ListParagraph"/>
        <w:numPr>
          <w:ilvl w:val="0"/>
          <w:numId w:val="20"/>
        </w:numPr>
        <w:spacing w:after="66" w:before="24" w:line="262"/>
        <w:jc w:val="both"/>
      </w:pPr>
      <w:r>
        <w:rPr>
          <w:rFonts w:ascii="Calibri" w:cs="Calibri" w:eastAsia="Calibri" w:hAnsi="Calibri"/>
          <w:color w:val="22303C"/>
          <w:sz w:val="20"/>
          <w:szCs w:val="20"/>
        </w:rPr>
        <w:t xml:space="preserve">Intent-type sprawl is a genuine long-term governance risk (R5 in §10).</w:t>
      </w:r>
    </w:p>
    <w:p>
      <w:pPr>
        <w:pStyle w:val="ListParagraph"/>
        <w:numPr>
          <w:ilvl w:val="0"/>
          <w:numId w:val="20"/>
        </w:numPr>
        <w:spacing w:after="66" w:before="24" w:line="262"/>
        <w:jc w:val="both"/>
      </w:pPr>
      <w:r>
        <w:rPr>
          <w:rFonts w:ascii="Calibri" w:cs="Calibri" w:eastAsia="Calibri" w:hAnsi="Calibri"/>
          <w:color w:val="22303C"/>
          <w:sz w:val="20"/>
          <w:szCs w:val="20"/>
        </w:rPr>
        <w:t xml:space="preserve">No ecosystem network effect: agent developers must read documentation rather than auto-discover, which must be offset with SDKs, a sandbox and machine-readable docs.</w:t>
      </w:r>
    </w:p>
    <w:p>
      <w:pPr>
        <w:keepNext w:val="false"/>
        <w:spacing w:after="130" w:before="0" w:line="268"/>
        <w:jc w:val="both"/>
      </w:pPr>
      <w:r>
        <w:rPr>
          <w:rFonts w:ascii="Calibri" w:cs="Calibri" w:eastAsia="Calibri" w:hAnsi="Calibri"/>
          <w:b/>
          <w:bCs/>
          <w:color w:val="22303C"/>
          <w:sz w:val="20"/>
          <w:szCs w:val="20"/>
        </w:rPr>
        <w:t xml:space="preserve">Verdict.</w:t>
      </w:r>
      <w:r>
        <w:rPr>
          <w:rFonts w:ascii="Calibri" w:cs="Calibri" w:eastAsia="Calibri" w:hAnsi="Calibri"/>
          <w:color w:val="22303C"/>
          <w:sz w:val="20"/>
          <w:szCs w:val="20"/>
        </w:rPr>
        <w:t xml:space="preserve"> </w:t>
      </w:r>
      <w:r>
        <w:rPr>
          <w:rFonts w:ascii="Calibri" w:cs="Calibri" w:eastAsia="Calibri" w:hAnsi="Calibri"/>
          <w:b/>
          <w:bCs/>
          <w:color w:val="22303C"/>
          <w:sz w:val="20"/>
          <w:szCs w:val="20"/>
        </w:rPr>
        <w:t xml:space="preserve">Recommended. Weighted score 4.64.</w:t>
      </w:r>
    </w:p>
    <w:p>
      <w:pPr>
        <w:pStyle w:val="Heading2"/>
      </w:pPr>
      <w:r>
        <w:rPr>
          <w:rFonts w:ascii="Calibri Light" w:cs="Calibri Light" w:eastAsia="Calibri Light" w:hAnsi="Calibri Light"/>
          <w:color w:val="1B3A5C"/>
          <w:sz w:val="23"/>
          <w:szCs w:val="23"/>
        </w:rPr>
        <w:t xml:space="preserve">4.9  ALT-7 — Governed read-only data sharing, no write path</w:t>
      </w:r>
    </w:p>
    <w:p>
      <w:pPr>
        <w:keepNext w:val="false"/>
        <w:spacing w:after="130" w:before="0" w:line="268"/>
        <w:jc w:val="both"/>
      </w:pPr>
      <w:r>
        <w:rPr>
          <w:rFonts w:ascii="Calibri" w:cs="Calibri" w:eastAsia="Calibri" w:hAnsi="Calibri"/>
          <w:b/>
          <w:bCs/>
          <w:color w:val="22303C"/>
          <w:sz w:val="20"/>
          <w:szCs w:val="20"/>
        </w:rPr>
        <w:t xml:space="preserve">What it is.</w:t>
      </w:r>
      <w:r>
        <w:rPr>
          <w:rFonts w:ascii="Calibri" w:cs="Calibri" w:eastAsia="Calibri" w:hAnsi="Calibri"/>
          <w:color w:val="22303C"/>
          <w:sz w:val="20"/>
          <w:szCs w:val="20"/>
        </w:rPr>
        <w:t xml:space="preserve"> Expose only data, as governed products or a standardised financial-data feed, and require all state changes to occur in the provider’s own channels.</w:t>
      </w:r>
    </w:p>
    <w:p>
      <w:pPr>
        <w:keepNext w:val="false"/>
        <w:spacing w:after="130" w:before="0" w:line="268"/>
        <w:jc w:val="both"/>
      </w:pPr>
      <w:r>
        <w:rPr>
          <w:rFonts w:ascii="Calibri" w:cs="Calibri" w:eastAsia="Calibri" w:hAnsi="Calibri"/>
          <w:b/>
          <w:bCs/>
          <w:color w:val="22303C"/>
          <w:sz w:val="20"/>
          <w:szCs w:val="20"/>
        </w:rPr>
        <w:t xml:space="preserve">How it works.</w:t>
      </w:r>
      <w:r>
        <w:rPr>
          <w:rFonts w:ascii="Calibri" w:cs="Calibri" w:eastAsia="Calibri" w:hAnsi="Calibri"/>
          <w:color w:val="22303C"/>
          <w:sz w:val="20"/>
          <w:szCs w:val="20"/>
        </w:rPr>
        <w:t xml:space="preserve"> Consent-scoped read APIs or scheduled extracts; the agent analyses and advises, and the human executes in the provider’s app.</w:t>
      </w:r>
    </w:p>
    <w:p>
      <w:pPr>
        <w:keepNext w:val="false"/>
        <w:spacing w:after="130" w:before="0" w:line="268"/>
        <w:jc w:val="both"/>
      </w:pPr>
      <w:r>
        <w:rPr>
          <w:rFonts w:ascii="Calibri" w:cs="Calibri" w:eastAsia="Calibri" w:hAnsi="Calibri"/>
          <w:b/>
          <w:bCs/>
          <w:color w:val="22303C"/>
          <w:sz w:val="20"/>
          <w:szCs w:val="20"/>
        </w:rPr>
        <w:t xml:space="preserve">Strengths</w:t>
      </w:r>
    </w:p>
    <w:p>
      <w:pPr>
        <w:pStyle w:val="ListParagraph"/>
        <w:numPr>
          <w:ilvl w:val="0"/>
          <w:numId w:val="21"/>
        </w:numPr>
        <w:spacing w:after="66" w:before="24" w:line="262"/>
        <w:jc w:val="both"/>
      </w:pPr>
      <w:r>
        <w:rPr>
          <w:rFonts w:ascii="Calibri" w:cs="Calibri" w:eastAsia="Calibri" w:hAnsi="Calibri"/>
          <w:color w:val="22303C"/>
          <w:sz w:val="20"/>
          <w:szCs w:val="20"/>
        </w:rPr>
        <w:t xml:space="preserve">Excellent containment: no write path means no unbounded loss (C1 = 5).</w:t>
      </w:r>
    </w:p>
    <w:p>
      <w:pPr>
        <w:pStyle w:val="ListParagraph"/>
        <w:numPr>
          <w:ilvl w:val="0"/>
          <w:numId w:val="21"/>
        </w:numPr>
        <w:spacing w:after="66" w:before="24" w:line="262"/>
        <w:jc w:val="both"/>
      </w:pPr>
      <w:r>
        <w:rPr>
          <w:rFonts w:ascii="Calibri" w:cs="Calibri" w:eastAsia="Calibri" w:hAnsi="Calibri"/>
          <w:color w:val="22303C"/>
          <w:sz w:val="20"/>
          <w:szCs w:val="20"/>
        </w:rPr>
        <w:t xml:space="preserve">Simple, well-precedented, and comparatively easy to reason about under privacy rules.</w:t>
      </w:r>
    </w:p>
    <w:p>
      <w:pPr>
        <w:pStyle w:val="ListParagraph"/>
        <w:numPr>
          <w:ilvl w:val="0"/>
          <w:numId w:val="21"/>
        </w:numPr>
        <w:spacing w:after="66" w:before="24" w:line="262"/>
        <w:jc w:val="both"/>
      </w:pPr>
      <w:r>
        <w:rPr>
          <w:rFonts w:ascii="Calibri" w:cs="Calibri" w:eastAsia="Calibri" w:hAnsi="Calibri"/>
          <w:color w:val="22303C"/>
          <w:sz w:val="20"/>
          <w:szCs w:val="20"/>
        </w:rPr>
        <w:t xml:space="preserve">Delivers a large share of the practical customer value — analysis, monitoring and explanation.</w:t>
      </w:r>
    </w:p>
    <w:p>
      <w:pPr>
        <w:keepNext w:val="false"/>
        <w:spacing w:after="130" w:before="0" w:line="268"/>
        <w:jc w:val="both"/>
      </w:pPr>
      <w:r>
        <w:rPr>
          <w:rFonts w:ascii="Calibri" w:cs="Calibri" w:eastAsia="Calibri" w:hAnsi="Calibri"/>
          <w:b/>
          <w:bCs/>
          <w:color w:val="22303C"/>
          <w:sz w:val="20"/>
          <w:szCs w:val="20"/>
        </w:rPr>
        <w:t xml:space="preserve">Weaknesses</w:t>
      </w:r>
    </w:p>
    <w:p>
      <w:pPr>
        <w:pStyle w:val="ListParagraph"/>
        <w:numPr>
          <w:ilvl w:val="0"/>
          <w:numId w:val="22"/>
        </w:numPr>
        <w:spacing w:after="66" w:before="24" w:line="262"/>
        <w:jc w:val="both"/>
      </w:pPr>
      <w:r>
        <w:rPr>
          <w:rFonts w:ascii="Calibri" w:cs="Calibri" w:eastAsia="Calibri" w:hAnsi="Calibri"/>
          <w:b/>
          <w:bCs/>
          <w:color w:val="22303C"/>
          <w:sz w:val="20"/>
          <w:szCs w:val="20"/>
        </w:rPr>
        <w:t xml:space="preserve">Fails FR-4.</w:t>
      </w:r>
      <w:r>
        <w:rPr>
          <w:rFonts w:ascii="Calibri" w:cs="Calibri" w:eastAsia="Calibri" w:hAnsi="Calibri"/>
          <w:color w:val="22303C"/>
          <w:sz w:val="20"/>
          <w:szCs w:val="20"/>
        </w:rPr>
        <w:t xml:space="preserve"> The customer cannot ask their agent to act, which is the entire premise of the product.</w:t>
      </w:r>
    </w:p>
    <w:p>
      <w:pPr>
        <w:pStyle w:val="ListParagraph"/>
        <w:numPr>
          <w:ilvl w:val="0"/>
          <w:numId w:val="22"/>
        </w:numPr>
        <w:spacing w:after="66" w:before="24" w:line="262"/>
        <w:jc w:val="both"/>
      </w:pPr>
      <w:r>
        <w:rPr>
          <w:rFonts w:ascii="Calibri" w:cs="Calibri" w:eastAsia="Calibri" w:hAnsi="Calibri"/>
          <w:color w:val="22303C"/>
          <w:sz w:val="20"/>
          <w:szCs w:val="20"/>
        </w:rPr>
        <w:t xml:space="preserve">Pushes customers toward credential-sharing workarounds and screen-scraping agents, which is strictly worse.</w:t>
      </w:r>
    </w:p>
    <w:p>
      <w:pPr>
        <w:pStyle w:val="ListParagraph"/>
        <w:numPr>
          <w:ilvl w:val="0"/>
          <w:numId w:val="22"/>
        </w:numPr>
        <w:spacing w:after="66" w:before="24" w:line="262"/>
        <w:jc w:val="both"/>
      </w:pPr>
      <w:r>
        <w:rPr>
          <w:rFonts w:ascii="Calibri" w:cs="Calibri" w:eastAsia="Calibri" w:hAnsi="Calibri"/>
          <w:color w:val="22303C"/>
          <w:sz w:val="20"/>
          <w:szCs w:val="20"/>
        </w:rPr>
        <w:t xml:space="preserve">Read-only does not mean risk-free: over-exposure remains a Reg S-P concern.</w:t>
      </w:r>
    </w:p>
    <w:p>
      <w:pPr>
        <w:keepNext w:val="false"/>
        <w:spacing w:after="130" w:before="0" w:line="268"/>
        <w:jc w:val="both"/>
      </w:pPr>
      <w:r>
        <w:rPr>
          <w:rFonts w:ascii="Calibri" w:cs="Calibri" w:eastAsia="Calibri" w:hAnsi="Calibri"/>
          <w:b/>
          <w:bCs/>
          <w:color w:val="22303C"/>
          <w:sz w:val="20"/>
          <w:szCs w:val="20"/>
        </w:rPr>
        <w:t xml:space="preserve">Verdict.</w:t>
      </w:r>
      <w:r>
        <w:rPr>
          <w:rFonts w:ascii="Calibri" w:cs="Calibri" w:eastAsia="Calibri" w:hAnsi="Calibri"/>
          <w:color w:val="22303C"/>
          <w:sz w:val="20"/>
          <w:szCs w:val="20"/>
        </w:rPr>
        <w:t xml:space="preserve"> Gated out on FR-4 despite a high criteria score (4.19). Adopted verbatim as ACE’s data plane, and recommended as the Phase 1 pilot in §9.</w:t>
      </w:r>
    </w:p>
    <w:p>
      <w:pPr>
        <w:pStyle w:val="Heading2"/>
      </w:pPr>
      <w:r>
        <w:rPr>
          <w:rFonts w:ascii="Calibri Light" w:cs="Calibri Light" w:eastAsia="Calibri Light" w:hAnsi="Calibri Light"/>
          <w:color w:val="1B3A5C"/>
          <w:sz w:val="23"/>
          <w:szCs w:val="23"/>
        </w:rPr>
        <w:t xml:space="preserve">4.10  ALT-8 — Provider-hosted agent (“bring your prompt, not your agent”)</w:t>
      </w:r>
    </w:p>
    <w:p>
      <w:pPr>
        <w:keepNext w:val="false"/>
        <w:spacing w:after="130" w:before="0" w:line="268"/>
        <w:jc w:val="both"/>
      </w:pPr>
      <w:r>
        <w:rPr>
          <w:rFonts w:ascii="Calibri" w:cs="Calibri" w:eastAsia="Calibri" w:hAnsi="Calibri"/>
          <w:b/>
          <w:bCs/>
          <w:color w:val="22303C"/>
          <w:sz w:val="20"/>
          <w:szCs w:val="20"/>
        </w:rPr>
        <w:t xml:space="preserve">What it is.</w:t>
      </w:r>
      <w:r>
        <w:rPr>
          <w:rFonts w:ascii="Calibri" w:cs="Calibri" w:eastAsia="Calibri" w:hAnsi="Calibri"/>
          <w:color w:val="22303C"/>
          <w:sz w:val="20"/>
          <w:szCs w:val="20"/>
        </w:rPr>
        <w:t xml:space="preserve"> The provider operates the agent inside its own boundary and exposes a conversational or API front door; the customer sends goals rather than connecting a runtime.</w:t>
      </w:r>
    </w:p>
    <w:p>
      <w:pPr>
        <w:keepNext w:val="false"/>
        <w:spacing w:after="130" w:before="0" w:line="268"/>
        <w:jc w:val="both"/>
      </w:pPr>
      <w:r>
        <w:rPr>
          <w:rFonts w:ascii="Calibri" w:cs="Calibri" w:eastAsia="Calibri" w:hAnsi="Calibri"/>
          <w:b/>
          <w:bCs/>
          <w:color w:val="22303C"/>
          <w:sz w:val="20"/>
          <w:szCs w:val="20"/>
        </w:rPr>
        <w:t xml:space="preserve">How it works.</w:t>
      </w:r>
      <w:r>
        <w:rPr>
          <w:rFonts w:ascii="Calibri" w:cs="Calibri" w:eastAsia="Calibri" w:hAnsi="Calibri"/>
          <w:color w:val="22303C"/>
          <w:sz w:val="20"/>
          <w:szCs w:val="20"/>
        </w:rPr>
        <w:t xml:space="preserve"> Prompts, tools, model choice and orchestration all sit inside the provider’s trust boundary; the customer supplies instructions and receives results.</w:t>
      </w:r>
    </w:p>
    <w:p>
      <w:pPr>
        <w:keepNext w:val="false"/>
        <w:spacing w:after="130" w:before="0" w:line="268"/>
        <w:jc w:val="both"/>
      </w:pPr>
      <w:r>
        <w:rPr>
          <w:rFonts w:ascii="Calibri" w:cs="Calibri" w:eastAsia="Calibri" w:hAnsi="Calibri"/>
          <w:b/>
          <w:bCs/>
          <w:color w:val="22303C"/>
          <w:sz w:val="20"/>
          <w:szCs w:val="20"/>
        </w:rPr>
        <w:t xml:space="preserve">Strengths</w:t>
      </w:r>
    </w:p>
    <w:p>
      <w:pPr>
        <w:pStyle w:val="ListParagraph"/>
        <w:numPr>
          <w:ilvl w:val="0"/>
          <w:numId w:val="23"/>
        </w:numPr>
        <w:spacing w:after="66" w:before="24" w:line="262"/>
        <w:jc w:val="both"/>
      </w:pPr>
      <w:r>
        <w:rPr>
          <w:rFonts w:ascii="Calibri" w:cs="Calibri" w:eastAsia="Calibri" w:hAnsi="Calibri"/>
          <w:color w:val="22303C"/>
          <w:sz w:val="20"/>
          <w:szCs w:val="20"/>
        </w:rPr>
        <w:t xml:space="preserve">Total control of the reasoning loop; controls and evidence are trivially in scope.</w:t>
      </w:r>
    </w:p>
    <w:p>
      <w:pPr>
        <w:pStyle w:val="ListParagraph"/>
        <w:numPr>
          <w:ilvl w:val="0"/>
          <w:numId w:val="23"/>
        </w:numPr>
        <w:spacing w:after="66" w:before="24" w:line="262"/>
        <w:jc w:val="both"/>
      </w:pPr>
      <w:r>
        <w:rPr>
          <w:rFonts w:ascii="Calibri" w:cs="Calibri" w:eastAsia="Calibri" w:hAnsi="Calibri"/>
          <w:color w:val="22303C"/>
          <w:sz w:val="20"/>
          <w:szCs w:val="20"/>
        </w:rPr>
        <w:t xml:space="preserve">No external context cost; no client matrix; no third-party model handling customer data.</w:t>
      </w:r>
    </w:p>
    <w:p>
      <w:pPr>
        <w:pStyle w:val="ListParagraph"/>
        <w:numPr>
          <w:ilvl w:val="0"/>
          <w:numId w:val="23"/>
        </w:numPr>
        <w:spacing w:after="66" w:before="24" w:line="262"/>
        <w:jc w:val="both"/>
      </w:pPr>
      <w:r>
        <w:rPr>
          <w:rFonts w:ascii="Calibri" w:cs="Calibri" w:eastAsia="Calibri" w:hAnsi="Calibri"/>
          <w:color w:val="22303C"/>
          <w:sz w:val="20"/>
          <w:szCs w:val="20"/>
        </w:rPr>
        <w:t xml:space="preserve">Easiest regulatory story of any option.</w:t>
      </w:r>
    </w:p>
    <w:p>
      <w:pPr>
        <w:keepNext w:val="false"/>
        <w:spacing w:after="130" w:before="0" w:line="268"/>
        <w:jc w:val="both"/>
      </w:pPr>
      <w:r>
        <w:rPr>
          <w:rFonts w:ascii="Calibri" w:cs="Calibri" w:eastAsia="Calibri" w:hAnsi="Calibri"/>
          <w:b/>
          <w:bCs/>
          <w:color w:val="22303C"/>
          <w:sz w:val="20"/>
          <w:szCs w:val="20"/>
        </w:rPr>
        <w:t xml:space="preserve">Weaknesses</w:t>
      </w:r>
    </w:p>
    <w:p>
      <w:pPr>
        <w:pStyle w:val="ListParagraph"/>
        <w:numPr>
          <w:ilvl w:val="0"/>
          <w:numId w:val="24"/>
        </w:numPr>
        <w:spacing w:after="66" w:before="24" w:line="262"/>
        <w:jc w:val="both"/>
      </w:pPr>
      <w:r>
        <w:rPr>
          <w:rFonts w:ascii="Calibri" w:cs="Calibri" w:eastAsia="Calibri" w:hAnsi="Calibri"/>
          <w:b/>
          <w:bCs/>
          <w:color w:val="22303C"/>
          <w:sz w:val="20"/>
          <w:szCs w:val="20"/>
        </w:rPr>
        <w:t xml:space="preserve">Fails FR-1.</w:t>
      </w:r>
      <w:r>
        <w:rPr>
          <w:rFonts w:ascii="Calibri" w:cs="Calibri" w:eastAsia="Calibri" w:hAnsi="Calibri"/>
          <w:color w:val="22303C"/>
          <w:sz w:val="20"/>
          <w:szCs w:val="20"/>
        </w:rPr>
        <w:t xml:space="preserve"> The customer cannot use the agent they already own, which is the market demand being answered.</w:t>
      </w:r>
    </w:p>
    <w:p>
      <w:pPr>
        <w:pStyle w:val="ListParagraph"/>
        <w:numPr>
          <w:ilvl w:val="0"/>
          <w:numId w:val="24"/>
        </w:numPr>
        <w:spacing w:after="66" w:before="24" w:line="262"/>
        <w:jc w:val="both"/>
      </w:pPr>
      <w:r>
        <w:rPr>
          <w:rFonts w:ascii="Calibri" w:cs="Calibri" w:eastAsia="Calibri" w:hAnsi="Calibri"/>
          <w:color w:val="22303C"/>
          <w:sz w:val="20"/>
          <w:szCs w:val="20"/>
        </w:rPr>
        <w:t xml:space="preserve">Provider now owns model risk, model cost and model governance for every customer interaction.</w:t>
      </w:r>
    </w:p>
    <w:p>
      <w:pPr>
        <w:pStyle w:val="ListParagraph"/>
        <w:numPr>
          <w:ilvl w:val="0"/>
          <w:numId w:val="24"/>
        </w:numPr>
        <w:spacing w:after="66" w:before="24" w:line="262"/>
        <w:jc w:val="both"/>
      </w:pPr>
      <w:r>
        <w:rPr>
          <w:rFonts w:ascii="Calibri" w:cs="Calibri" w:eastAsia="Calibri" w:hAnsi="Calibri"/>
          <w:color w:val="22303C"/>
          <w:sz w:val="20"/>
          <w:szCs w:val="20"/>
        </w:rPr>
        <w:t xml:space="preserve">Competes with, rather than complements, the customer’s existing agent — a strategically weak position.</w:t>
      </w:r>
    </w:p>
    <w:p>
      <w:pPr>
        <w:keepNext w:val="false"/>
        <w:spacing w:after="130" w:before="0" w:line="268"/>
        <w:jc w:val="both"/>
      </w:pPr>
      <w:r>
        <w:rPr>
          <w:rFonts w:ascii="Calibri" w:cs="Calibri" w:eastAsia="Calibri" w:hAnsi="Calibri"/>
          <w:b/>
          <w:bCs/>
          <w:color w:val="22303C"/>
          <w:sz w:val="20"/>
          <w:szCs w:val="20"/>
        </w:rPr>
        <w:t xml:space="preserve">Verdict.</w:t>
      </w:r>
      <w:r>
        <w:rPr>
          <w:rFonts w:ascii="Calibri" w:cs="Calibri" w:eastAsia="Calibri" w:hAnsi="Calibri"/>
          <w:color w:val="22303C"/>
          <w:sz w:val="20"/>
          <w:szCs w:val="20"/>
        </w:rPr>
        <w:t xml:space="preserve"> Gated out on FR-1 (score 3.98). Remains valuable as a first-party product but does not address this decision.</w:t>
      </w:r>
    </w:p>
    <w:p>
      <w:pPr>
        <w:pStyle w:val="Heading2"/>
      </w:pPr>
      <w:r>
        <w:rPr>
          <w:rFonts w:ascii="Calibri Light" w:cs="Calibri Light" w:eastAsia="Calibri Light" w:hAnsi="Calibri Light"/>
          <w:color w:val="1B3A5C"/>
          <w:sz w:val="23"/>
          <w:szCs w:val="23"/>
        </w:rPr>
        <w:t xml:space="preserve">4.11  ALT-9 — Browser or computer-use automation of the human UI</w:t>
      </w:r>
    </w:p>
    <w:p>
      <w:pPr>
        <w:keepNext w:val="false"/>
        <w:spacing w:after="130" w:before="0" w:line="268"/>
        <w:jc w:val="both"/>
      </w:pPr>
      <w:r>
        <w:rPr>
          <w:rFonts w:ascii="Calibri" w:cs="Calibri" w:eastAsia="Calibri" w:hAnsi="Calibri"/>
          <w:b/>
          <w:bCs/>
          <w:color w:val="22303C"/>
          <w:sz w:val="20"/>
          <w:szCs w:val="20"/>
        </w:rPr>
        <w:t xml:space="preserve">What it is.</w:t>
      </w:r>
      <w:r>
        <w:rPr>
          <w:rFonts w:ascii="Calibri" w:cs="Calibri" w:eastAsia="Calibri" w:hAnsi="Calibri"/>
          <w:color w:val="22303C"/>
          <w:sz w:val="20"/>
          <w:szCs w:val="20"/>
        </w:rPr>
        <w:t xml:space="preserve"> Make no API commitment; let agents drive the existing web application as a human would.</w:t>
      </w:r>
    </w:p>
    <w:p>
      <w:pPr>
        <w:keepNext w:val="false"/>
        <w:spacing w:after="130" w:before="0" w:line="268"/>
        <w:jc w:val="both"/>
      </w:pPr>
      <w:r>
        <w:rPr>
          <w:rFonts w:ascii="Calibri" w:cs="Calibri" w:eastAsia="Calibri" w:hAnsi="Calibri"/>
          <w:b/>
          <w:bCs/>
          <w:color w:val="22303C"/>
          <w:sz w:val="20"/>
          <w:szCs w:val="20"/>
        </w:rPr>
        <w:t xml:space="preserve">How it works.</w:t>
      </w:r>
      <w:r>
        <w:rPr>
          <w:rFonts w:ascii="Calibri" w:cs="Calibri" w:eastAsia="Calibri" w:hAnsi="Calibri"/>
          <w:color w:val="22303C"/>
          <w:sz w:val="20"/>
          <w:szCs w:val="20"/>
        </w:rPr>
        <w:t xml:space="preserve"> The agent controls a browser session, reads rendered pages and clicks controls.</w:t>
      </w:r>
    </w:p>
    <w:p>
      <w:pPr>
        <w:keepNext w:val="false"/>
        <w:spacing w:after="130" w:before="0" w:line="268"/>
        <w:jc w:val="both"/>
      </w:pPr>
      <w:r>
        <w:rPr>
          <w:rFonts w:ascii="Calibri" w:cs="Calibri" w:eastAsia="Calibri" w:hAnsi="Calibri"/>
          <w:b/>
          <w:bCs/>
          <w:color w:val="22303C"/>
          <w:sz w:val="20"/>
          <w:szCs w:val="20"/>
        </w:rPr>
        <w:t xml:space="preserve">Strengths</w:t>
      </w:r>
    </w:p>
    <w:p>
      <w:pPr>
        <w:pStyle w:val="ListParagraph"/>
        <w:numPr>
          <w:ilvl w:val="0"/>
          <w:numId w:val="25"/>
        </w:numPr>
        <w:spacing w:after="66" w:before="24" w:line="262"/>
        <w:jc w:val="both"/>
      </w:pPr>
      <w:r>
        <w:rPr>
          <w:rFonts w:ascii="Calibri" w:cs="Calibri" w:eastAsia="Calibri" w:hAnsi="Calibri"/>
          <w:color w:val="22303C"/>
          <w:sz w:val="20"/>
          <w:szCs w:val="20"/>
        </w:rPr>
        <w:t xml:space="preserve">Zero interface work; every existing feature is immediately “available”.</w:t>
      </w:r>
    </w:p>
    <w:p>
      <w:pPr>
        <w:pStyle w:val="ListParagraph"/>
        <w:numPr>
          <w:ilvl w:val="0"/>
          <w:numId w:val="25"/>
        </w:numPr>
        <w:spacing w:after="66" w:before="24" w:line="262"/>
        <w:jc w:val="both"/>
      </w:pPr>
      <w:r>
        <w:rPr>
          <w:rFonts w:ascii="Calibri" w:cs="Calibri" w:eastAsia="Calibri" w:hAnsi="Calibri"/>
          <w:color w:val="22303C"/>
          <w:sz w:val="20"/>
          <w:szCs w:val="20"/>
        </w:rPr>
        <w:t xml:space="preserve">No new contract to version.</w:t>
      </w:r>
    </w:p>
    <w:p>
      <w:pPr>
        <w:keepNext w:val="false"/>
        <w:spacing w:after="130" w:before="0" w:line="268"/>
        <w:jc w:val="both"/>
      </w:pPr>
      <w:r>
        <w:rPr>
          <w:rFonts w:ascii="Calibri" w:cs="Calibri" w:eastAsia="Calibri" w:hAnsi="Calibri"/>
          <w:b/>
          <w:bCs/>
          <w:color w:val="22303C"/>
          <w:sz w:val="20"/>
          <w:szCs w:val="20"/>
        </w:rPr>
        <w:t xml:space="preserve">Weaknesses</w:t>
      </w:r>
    </w:p>
    <w:p>
      <w:pPr>
        <w:pStyle w:val="ListParagraph"/>
        <w:numPr>
          <w:ilvl w:val="0"/>
          <w:numId w:val="26"/>
        </w:numPr>
        <w:spacing w:after="66" w:before="24" w:line="262"/>
        <w:jc w:val="both"/>
      </w:pPr>
      <w:r>
        <w:rPr>
          <w:rFonts w:ascii="Calibri" w:cs="Calibri" w:eastAsia="Calibri" w:hAnsi="Calibri"/>
          <w:color w:val="22303C"/>
          <w:sz w:val="20"/>
          <w:szCs w:val="20"/>
        </w:rPr>
        <w:t xml:space="preserve">Authentication requires the agent to hold or drive human credentials, including step-up and MFA — unacceptable.</w:t>
      </w:r>
    </w:p>
    <w:p>
      <w:pPr>
        <w:pStyle w:val="ListParagraph"/>
        <w:numPr>
          <w:ilvl w:val="0"/>
          <w:numId w:val="26"/>
        </w:numPr>
        <w:spacing w:after="66" w:before="24" w:line="262"/>
        <w:jc w:val="both"/>
      </w:pPr>
      <w:r>
        <w:rPr>
          <w:rFonts w:ascii="Calibri" w:cs="Calibri" w:eastAsia="Calibri" w:hAnsi="Calibri"/>
          <w:color w:val="22303C"/>
          <w:sz w:val="20"/>
          <w:szCs w:val="20"/>
        </w:rPr>
        <w:t xml:space="preserve">The rendered DOM becomes the injection surface; the UI becomes an untestable API that breaks on every release.</w:t>
      </w:r>
    </w:p>
    <w:p>
      <w:pPr>
        <w:pStyle w:val="ListParagraph"/>
        <w:numPr>
          <w:ilvl w:val="0"/>
          <w:numId w:val="26"/>
        </w:numPr>
        <w:spacing w:after="66" w:before="24" w:line="262"/>
        <w:jc w:val="both"/>
      </w:pPr>
      <w:r>
        <w:rPr>
          <w:rFonts w:ascii="Calibri" w:cs="Calibri" w:eastAsia="Calibri" w:hAnsi="Calibri"/>
          <w:color w:val="22303C"/>
          <w:sz w:val="20"/>
          <w:szCs w:val="20"/>
        </w:rPr>
        <w:t xml:space="preserve">No pre-trade determinism, no intent object, no receipt; automated order entry through a retail UI is very hard to defend under REG-1.</w:t>
      </w:r>
    </w:p>
    <w:p>
      <w:pPr>
        <w:pStyle w:val="ListParagraph"/>
        <w:numPr>
          <w:ilvl w:val="0"/>
          <w:numId w:val="26"/>
        </w:numPr>
        <w:spacing w:after="66" w:before="24" w:line="262"/>
        <w:jc w:val="both"/>
      </w:pPr>
      <w:r>
        <w:rPr>
          <w:rFonts w:ascii="Calibri" w:cs="Calibri" w:eastAsia="Calibri" w:hAnsi="Calibri"/>
          <w:color w:val="22303C"/>
          <w:sz w:val="20"/>
          <w:szCs w:val="20"/>
        </w:rPr>
        <w:t xml:space="preserve">Extremely expensive per action in latency, tokens and failure rate.</w:t>
      </w:r>
    </w:p>
    <w:p>
      <w:pPr>
        <w:keepNext w:val="false"/>
        <w:spacing w:after="130" w:before="0" w:line="268"/>
        <w:jc w:val="both"/>
      </w:pPr>
      <w:r>
        <w:rPr>
          <w:rFonts w:ascii="Calibri" w:cs="Calibri" w:eastAsia="Calibri" w:hAnsi="Calibri"/>
          <w:b/>
          <w:bCs/>
          <w:color w:val="22303C"/>
          <w:sz w:val="20"/>
          <w:szCs w:val="20"/>
        </w:rPr>
        <w:t xml:space="preserve">Verdict.</w:t>
      </w:r>
      <w:r>
        <w:rPr>
          <w:rFonts w:ascii="Calibri" w:cs="Calibri" w:eastAsia="Calibri" w:hAnsi="Calibri"/>
          <w:color w:val="22303C"/>
          <w:sz w:val="20"/>
          <w:szCs w:val="20"/>
        </w:rPr>
        <w:t xml:space="preserve"> Rejected (score 2.25). Explicitly designed against: a good agentic interface exists partly to stop customers resorting to this.</w:t>
      </w:r>
    </w:p>
    <w:p>
      <w:pPr>
        <w:pStyle w:val="Heading2"/>
      </w:pPr>
      <w:r>
        <w:rPr>
          <w:rFonts w:ascii="Calibri Light" w:cs="Calibri Light" w:eastAsia="Calibri Light" w:hAnsi="Calibri Light"/>
          <w:color w:val="1B3A5C"/>
          <w:sz w:val="23"/>
          <w:szCs w:val="23"/>
        </w:rPr>
        <w:t xml:space="preserve">4.12  Decision matrix</w:t>
      </w:r>
    </w:p>
    <w:p>
      <w:pPr>
        <w:keepNext w:val="false"/>
        <w:spacing w:after="130" w:before="0" w:line="268"/>
        <w:jc w:val="both"/>
      </w:pPr>
      <w:r>
        <w:rPr>
          <w:rFonts w:ascii="Calibri" w:cs="Calibri" w:eastAsia="Calibri" w:hAnsi="Calibri"/>
          <w:color w:val="22303C"/>
          <w:sz w:val="20"/>
          <w:szCs w:val="20"/>
        </w:rPr>
        <w:t xml:space="preserve">Weighted scores, with the mandatory-requirement gate applied separately.</w:t>
      </w:r>
    </w:p>
    <w:tbl>
      <w:tblPr>
        <w:tblW w:type="dxa" w:w="10080"/>
        <w:tblBorders>
          <w:top w:val="single" w:color="1B3A5C" w:sz="4"/>
          <w:left w:val="none" w:color="FFFFFF" w:sz="0"/>
          <w:bottom w:val="single" w:color="1B3A5C" w:sz="4"/>
          <w:right w:val="none" w:color="FFFFFF" w:sz="0"/>
          <w:insideH w:val="single" w:color="C7D0DA" w:sz="2"/>
          <w:insideV w:val="single" w:color="C7D0DA" w:sz="2"/>
        </w:tblBorders>
      </w:tblPr>
      <w:tblGrid>
        <w:gridCol w:w="3024"/>
        <w:gridCol w:w="706"/>
        <w:gridCol w:w="706"/>
        <w:gridCol w:w="706"/>
        <w:gridCol w:w="706"/>
        <w:gridCol w:w="706"/>
        <w:gridCol w:w="706"/>
        <w:gridCol w:w="706"/>
        <w:gridCol w:w="1008"/>
        <w:gridCol w:w="1106"/>
      </w:tblGrid>
      <w:tr>
        <w:trPr>
          <w:tblHeader/>
        </w:trPr>
        <w:tc>
          <w:tcPr>
            <w:tcW w:type="dxa" w:w="3024"/>
            <w:shd w:fill="1B3A5C" w:color="auto" w:val="clear"/>
            <w:tcMar>
              <w:top w:type="dxa" w:w="60"/>
              <w:left w:type="dxa" w:w="100"/>
              <w:bottom w:type="dxa" w:w="60"/>
              <w:right w:type="dxa" w:w="100"/>
            </w:tcMar>
            <w:vAlign w:val="top"/>
          </w:tcPr>
          <w:p>
            <w:pPr>
              <w:spacing w:after="40" w:before="40" w:line="240"/>
              <w:jc w:val="center"/>
            </w:pPr>
            <w:r>
              <w:rPr>
                <w:rFonts w:ascii="Calibri" w:cs="Calibri" w:eastAsia="Calibri" w:hAnsi="Calibri"/>
                <w:color w:val="FFFFFF"/>
                <w:sz w:val="14"/>
                <w:szCs w:val="14"/>
              </w:rPr>
              <w:t xml:space="preserve">Option</w:t>
            </w:r>
          </w:p>
        </w:tc>
        <w:tc>
          <w:tcPr>
            <w:tcW w:type="dxa" w:w="706"/>
            <w:shd w:fill="1B3A5C" w:color="auto" w:val="clear"/>
            <w:tcMar>
              <w:top w:type="dxa" w:w="60"/>
              <w:left w:type="dxa" w:w="100"/>
              <w:bottom w:type="dxa" w:w="60"/>
              <w:right w:type="dxa" w:w="100"/>
            </w:tcMar>
            <w:vAlign w:val="top"/>
          </w:tcPr>
          <w:p>
            <w:pPr>
              <w:spacing w:after="40" w:before="40" w:line="240"/>
              <w:jc w:val="center"/>
            </w:pPr>
            <w:r>
              <w:rPr>
                <w:rFonts w:ascii="Calibri" w:cs="Calibri" w:eastAsia="Calibri" w:hAnsi="Calibri"/>
                <w:color w:val="FFFFFF"/>
                <w:sz w:val="14"/>
                <w:szCs w:val="14"/>
              </w:rPr>
              <w:t xml:space="preserve">C1 20%</w:t>
            </w:r>
          </w:p>
        </w:tc>
        <w:tc>
          <w:tcPr>
            <w:tcW w:type="dxa" w:w="706"/>
            <w:shd w:fill="1B3A5C" w:color="auto" w:val="clear"/>
            <w:tcMar>
              <w:top w:type="dxa" w:w="60"/>
              <w:left w:type="dxa" w:w="100"/>
              <w:bottom w:type="dxa" w:w="60"/>
              <w:right w:type="dxa" w:w="100"/>
            </w:tcMar>
            <w:vAlign w:val="top"/>
          </w:tcPr>
          <w:p>
            <w:pPr>
              <w:spacing w:after="40" w:before="40" w:line="240"/>
              <w:jc w:val="center"/>
            </w:pPr>
            <w:r>
              <w:rPr>
                <w:rFonts w:ascii="Calibri" w:cs="Calibri" w:eastAsia="Calibri" w:hAnsi="Calibri"/>
                <w:color w:val="FFFFFF"/>
                <w:sz w:val="14"/>
                <w:szCs w:val="14"/>
              </w:rPr>
              <w:t xml:space="preserve">C2 15%</w:t>
            </w:r>
          </w:p>
        </w:tc>
        <w:tc>
          <w:tcPr>
            <w:tcW w:type="dxa" w:w="706"/>
            <w:shd w:fill="1B3A5C" w:color="auto" w:val="clear"/>
            <w:tcMar>
              <w:top w:type="dxa" w:w="60"/>
              <w:left w:type="dxa" w:w="100"/>
              <w:bottom w:type="dxa" w:w="60"/>
              <w:right w:type="dxa" w:w="100"/>
            </w:tcMar>
            <w:vAlign w:val="top"/>
          </w:tcPr>
          <w:p>
            <w:pPr>
              <w:spacing w:after="40" w:before="40" w:line="240"/>
              <w:jc w:val="center"/>
            </w:pPr>
            <w:r>
              <w:rPr>
                <w:rFonts w:ascii="Calibri" w:cs="Calibri" w:eastAsia="Calibri" w:hAnsi="Calibri"/>
                <w:color w:val="FFFFFF"/>
                <w:sz w:val="14"/>
                <w:szCs w:val="14"/>
              </w:rPr>
              <w:t xml:space="preserve">C3 15%</w:t>
            </w:r>
          </w:p>
        </w:tc>
        <w:tc>
          <w:tcPr>
            <w:tcW w:type="dxa" w:w="706"/>
            <w:shd w:fill="1B3A5C" w:color="auto" w:val="clear"/>
            <w:tcMar>
              <w:top w:type="dxa" w:w="60"/>
              <w:left w:type="dxa" w:w="100"/>
              <w:bottom w:type="dxa" w:w="60"/>
              <w:right w:type="dxa" w:w="100"/>
            </w:tcMar>
            <w:vAlign w:val="top"/>
          </w:tcPr>
          <w:p>
            <w:pPr>
              <w:spacing w:after="40" w:before="40" w:line="240"/>
              <w:jc w:val="center"/>
            </w:pPr>
            <w:r>
              <w:rPr>
                <w:rFonts w:ascii="Calibri" w:cs="Calibri" w:eastAsia="Calibri" w:hAnsi="Calibri"/>
                <w:color w:val="FFFFFF"/>
                <w:sz w:val="14"/>
                <w:szCs w:val="14"/>
              </w:rPr>
              <w:t xml:space="preserve">C4 12%</w:t>
            </w:r>
          </w:p>
        </w:tc>
        <w:tc>
          <w:tcPr>
            <w:tcW w:type="dxa" w:w="706"/>
            <w:shd w:fill="1B3A5C" w:color="auto" w:val="clear"/>
            <w:tcMar>
              <w:top w:type="dxa" w:w="60"/>
              <w:left w:type="dxa" w:w="100"/>
              <w:bottom w:type="dxa" w:w="60"/>
              <w:right w:type="dxa" w:w="100"/>
            </w:tcMar>
            <w:vAlign w:val="top"/>
          </w:tcPr>
          <w:p>
            <w:pPr>
              <w:spacing w:after="40" w:before="40" w:line="240"/>
              <w:jc w:val="center"/>
            </w:pPr>
            <w:r>
              <w:rPr>
                <w:rFonts w:ascii="Calibri" w:cs="Calibri" w:eastAsia="Calibri" w:hAnsi="Calibri"/>
                <w:color w:val="FFFFFF"/>
                <w:sz w:val="14"/>
                <w:szCs w:val="14"/>
              </w:rPr>
              <w:t xml:space="preserve">C5 12%</w:t>
            </w:r>
          </w:p>
        </w:tc>
        <w:tc>
          <w:tcPr>
            <w:tcW w:type="dxa" w:w="706"/>
            <w:shd w:fill="1B3A5C" w:color="auto" w:val="clear"/>
            <w:tcMar>
              <w:top w:type="dxa" w:w="60"/>
              <w:left w:type="dxa" w:w="100"/>
              <w:bottom w:type="dxa" w:w="60"/>
              <w:right w:type="dxa" w:w="100"/>
            </w:tcMar>
            <w:vAlign w:val="top"/>
          </w:tcPr>
          <w:p>
            <w:pPr>
              <w:spacing w:after="40" w:before="40" w:line="240"/>
              <w:jc w:val="center"/>
            </w:pPr>
            <w:r>
              <w:rPr>
                <w:rFonts w:ascii="Calibri" w:cs="Calibri" w:eastAsia="Calibri" w:hAnsi="Calibri"/>
                <w:color w:val="FFFFFF"/>
                <w:sz w:val="14"/>
                <w:szCs w:val="14"/>
              </w:rPr>
              <w:t xml:space="preserve">C6 14%</w:t>
            </w:r>
          </w:p>
        </w:tc>
        <w:tc>
          <w:tcPr>
            <w:tcW w:type="dxa" w:w="706"/>
            <w:shd w:fill="1B3A5C" w:color="auto" w:val="clear"/>
            <w:tcMar>
              <w:top w:type="dxa" w:w="60"/>
              <w:left w:type="dxa" w:w="100"/>
              <w:bottom w:type="dxa" w:w="60"/>
              <w:right w:type="dxa" w:w="100"/>
            </w:tcMar>
            <w:vAlign w:val="top"/>
          </w:tcPr>
          <w:p>
            <w:pPr>
              <w:spacing w:after="40" w:before="40" w:line="240"/>
              <w:jc w:val="center"/>
            </w:pPr>
            <w:r>
              <w:rPr>
                <w:rFonts w:ascii="Calibri" w:cs="Calibri" w:eastAsia="Calibri" w:hAnsi="Calibri"/>
                <w:color w:val="FFFFFF"/>
                <w:sz w:val="14"/>
                <w:szCs w:val="14"/>
              </w:rPr>
              <w:t xml:space="preserve">C7 12%</w:t>
            </w:r>
          </w:p>
        </w:tc>
        <w:tc>
          <w:tcPr>
            <w:tcW w:type="dxa" w:w="1008"/>
            <w:shd w:fill="1B3A5C" w:color="auto" w:val="clear"/>
            <w:tcMar>
              <w:top w:type="dxa" w:w="60"/>
              <w:left w:type="dxa" w:w="100"/>
              <w:bottom w:type="dxa" w:w="60"/>
              <w:right w:type="dxa" w:w="100"/>
            </w:tcMar>
            <w:vAlign w:val="top"/>
          </w:tcPr>
          <w:p>
            <w:pPr>
              <w:spacing w:after="40" w:before="40" w:line="240"/>
              <w:jc w:val="center"/>
            </w:pPr>
            <w:r>
              <w:rPr>
                <w:rFonts w:ascii="Calibri" w:cs="Calibri" w:eastAsia="Calibri" w:hAnsi="Calibri"/>
                <w:color w:val="FFFFFF"/>
                <w:sz w:val="14"/>
                <w:szCs w:val="14"/>
              </w:rPr>
              <w:t xml:space="preserve">Score</w:t>
            </w:r>
          </w:p>
        </w:tc>
        <w:tc>
          <w:tcPr>
            <w:tcW w:type="dxa" w:w="1106"/>
            <w:shd w:fill="1B3A5C" w:color="auto" w:val="clear"/>
            <w:tcMar>
              <w:top w:type="dxa" w:w="60"/>
              <w:left w:type="dxa" w:w="100"/>
              <w:bottom w:type="dxa" w:w="60"/>
              <w:right w:type="dxa" w:w="100"/>
            </w:tcMar>
            <w:vAlign w:val="top"/>
          </w:tcPr>
          <w:p>
            <w:pPr>
              <w:spacing w:after="40" w:before="40" w:line="240"/>
              <w:jc w:val="center"/>
            </w:pPr>
            <w:r>
              <w:rPr>
                <w:rFonts w:ascii="Calibri" w:cs="Calibri" w:eastAsia="Calibri" w:hAnsi="Calibri"/>
                <w:color w:val="FFFFFF"/>
                <w:sz w:val="14"/>
                <w:szCs w:val="14"/>
              </w:rPr>
              <w:t xml:space="preserve">Gate</w:t>
            </w:r>
          </w:p>
        </w:tc>
      </w:tr>
      <w:tr>
        <w:tc>
          <w:tcPr>
            <w:tcW w:type="dxa" w:w="3024"/>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ALT-0  MCP server (baseline)</w:t>
            </w:r>
          </w:p>
        </w:tc>
        <w:tc>
          <w:tcPr>
            <w:tcW w:type="dxa" w:w="706"/>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2</w:t>
            </w:r>
          </w:p>
        </w:tc>
        <w:tc>
          <w:tcPr>
            <w:tcW w:type="dxa" w:w="706"/>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2</w:t>
            </w:r>
          </w:p>
        </w:tc>
        <w:tc>
          <w:tcPr>
            <w:tcW w:type="dxa" w:w="706"/>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1</w:t>
            </w:r>
          </w:p>
        </w:tc>
        <w:tc>
          <w:tcPr>
            <w:tcW w:type="dxa" w:w="706"/>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1</w:t>
            </w:r>
          </w:p>
        </w:tc>
        <w:tc>
          <w:tcPr>
            <w:tcW w:type="dxa" w:w="706"/>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5</w:t>
            </w:r>
          </w:p>
        </w:tc>
        <w:tc>
          <w:tcPr>
            <w:tcW w:type="dxa" w:w="706"/>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2</w:t>
            </w:r>
          </w:p>
        </w:tc>
        <w:tc>
          <w:tcPr>
            <w:tcW w:type="dxa" w:w="706"/>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4</w:t>
            </w:r>
          </w:p>
        </w:tc>
        <w:tc>
          <w:tcPr>
            <w:tcW w:type="dxa" w:w="1008"/>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2.33</w:t>
            </w:r>
          </w:p>
        </w:tc>
        <w:tc>
          <w:tcPr>
            <w:tcW w:type="dxa" w:w="1106"/>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Pass</w:t>
            </w:r>
          </w:p>
        </w:tc>
      </w:tr>
      <w:tr>
        <w:tc>
          <w:tcPr>
            <w:tcW w:type="dxa" w:w="3024"/>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ALT-1  Direct REST / OpenAPI</w:t>
            </w:r>
          </w:p>
        </w:tc>
        <w:tc>
          <w:tcPr>
            <w:tcW w:type="dxa" w:w="706"/>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2</w:t>
            </w:r>
          </w:p>
        </w:tc>
        <w:tc>
          <w:tcPr>
            <w:tcW w:type="dxa" w:w="706"/>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2</w:t>
            </w:r>
          </w:p>
        </w:tc>
        <w:tc>
          <w:tcPr>
            <w:tcW w:type="dxa" w:w="706"/>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2</w:t>
            </w:r>
          </w:p>
        </w:tc>
        <w:tc>
          <w:tcPr>
            <w:tcW w:type="dxa" w:w="706"/>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2</w:t>
            </w:r>
          </w:p>
        </w:tc>
        <w:tc>
          <w:tcPr>
            <w:tcW w:type="dxa" w:w="706"/>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4</w:t>
            </w:r>
          </w:p>
        </w:tc>
        <w:tc>
          <w:tcPr>
            <w:tcW w:type="dxa" w:w="706"/>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3</w:t>
            </w:r>
          </w:p>
        </w:tc>
        <w:tc>
          <w:tcPr>
            <w:tcW w:type="dxa" w:w="706"/>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5</w:t>
            </w:r>
          </w:p>
        </w:tc>
        <w:tc>
          <w:tcPr>
            <w:tcW w:type="dxa" w:w="1008"/>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2.74</w:t>
            </w:r>
          </w:p>
        </w:tc>
        <w:tc>
          <w:tcPr>
            <w:tcW w:type="dxa" w:w="1106"/>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Pass</w:t>
            </w:r>
          </w:p>
        </w:tc>
      </w:tr>
      <w:tr>
        <w:tc>
          <w:tcPr>
            <w:tcW w:type="dxa" w:w="3024"/>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ALT-2  GraphQL agent BFF</w:t>
            </w:r>
          </w:p>
        </w:tc>
        <w:tc>
          <w:tcPr>
            <w:tcW w:type="dxa" w:w="706"/>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2</w:t>
            </w:r>
          </w:p>
        </w:tc>
        <w:tc>
          <w:tcPr>
            <w:tcW w:type="dxa" w:w="706"/>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2</w:t>
            </w:r>
          </w:p>
        </w:tc>
        <w:tc>
          <w:tcPr>
            <w:tcW w:type="dxa" w:w="706"/>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1</w:t>
            </w:r>
          </w:p>
        </w:tc>
        <w:tc>
          <w:tcPr>
            <w:tcW w:type="dxa" w:w="706"/>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3</w:t>
            </w:r>
          </w:p>
        </w:tc>
        <w:tc>
          <w:tcPr>
            <w:tcW w:type="dxa" w:w="706"/>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4</w:t>
            </w:r>
          </w:p>
        </w:tc>
        <w:tc>
          <w:tcPr>
            <w:tcW w:type="dxa" w:w="706"/>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3</w:t>
            </w:r>
          </w:p>
        </w:tc>
        <w:tc>
          <w:tcPr>
            <w:tcW w:type="dxa" w:w="706"/>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4</w:t>
            </w:r>
          </w:p>
        </w:tc>
        <w:tc>
          <w:tcPr>
            <w:tcW w:type="dxa" w:w="1008"/>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2.59</w:t>
            </w:r>
          </w:p>
        </w:tc>
        <w:tc>
          <w:tcPr>
            <w:tcW w:type="dxa" w:w="1106"/>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Pass</w:t>
            </w:r>
          </w:p>
        </w:tc>
      </w:tr>
      <w:tr>
        <w:tc>
          <w:tcPr>
            <w:tcW w:type="dxa" w:w="3024"/>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ALT-3  Agent gateway over existing APIs</w:t>
            </w:r>
          </w:p>
        </w:tc>
        <w:tc>
          <w:tcPr>
            <w:tcW w:type="dxa" w:w="706"/>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3</w:t>
            </w:r>
          </w:p>
        </w:tc>
        <w:tc>
          <w:tcPr>
            <w:tcW w:type="dxa" w:w="706"/>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3</w:t>
            </w:r>
          </w:p>
        </w:tc>
        <w:tc>
          <w:tcPr>
            <w:tcW w:type="dxa" w:w="706"/>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3</w:t>
            </w:r>
          </w:p>
        </w:tc>
        <w:tc>
          <w:tcPr>
            <w:tcW w:type="dxa" w:w="706"/>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3</w:t>
            </w:r>
          </w:p>
        </w:tc>
        <w:tc>
          <w:tcPr>
            <w:tcW w:type="dxa" w:w="706"/>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4</w:t>
            </w:r>
          </w:p>
        </w:tc>
        <w:tc>
          <w:tcPr>
            <w:tcW w:type="dxa" w:w="706"/>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3</w:t>
            </w:r>
          </w:p>
        </w:tc>
        <w:tc>
          <w:tcPr>
            <w:tcW w:type="dxa" w:w="706"/>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4</w:t>
            </w:r>
          </w:p>
        </w:tc>
        <w:tc>
          <w:tcPr>
            <w:tcW w:type="dxa" w:w="1008"/>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3.24</w:t>
            </w:r>
          </w:p>
        </w:tc>
        <w:tc>
          <w:tcPr>
            <w:tcW w:type="dxa" w:w="1106"/>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Pass</w:t>
            </w:r>
          </w:p>
        </w:tc>
      </w:tr>
      <w:tr>
        <w:tc>
          <w:tcPr>
            <w:tcW w:type="dxa" w:w="3024"/>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ALT-4  Server-side code sandbox</w:t>
            </w:r>
          </w:p>
        </w:tc>
        <w:tc>
          <w:tcPr>
            <w:tcW w:type="dxa" w:w="706"/>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3</w:t>
            </w:r>
          </w:p>
        </w:tc>
        <w:tc>
          <w:tcPr>
            <w:tcW w:type="dxa" w:w="706"/>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3</w:t>
            </w:r>
          </w:p>
        </w:tc>
        <w:tc>
          <w:tcPr>
            <w:tcW w:type="dxa" w:w="706"/>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3</w:t>
            </w:r>
          </w:p>
        </w:tc>
        <w:tc>
          <w:tcPr>
            <w:tcW w:type="dxa" w:w="706"/>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5</w:t>
            </w:r>
          </w:p>
        </w:tc>
        <w:tc>
          <w:tcPr>
            <w:tcW w:type="dxa" w:w="706"/>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4</w:t>
            </w:r>
          </w:p>
        </w:tc>
        <w:tc>
          <w:tcPr>
            <w:tcW w:type="dxa" w:w="706"/>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3</w:t>
            </w:r>
          </w:p>
        </w:tc>
        <w:tc>
          <w:tcPr>
            <w:tcW w:type="dxa" w:w="706"/>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2</w:t>
            </w:r>
          </w:p>
        </w:tc>
        <w:tc>
          <w:tcPr>
            <w:tcW w:type="dxa" w:w="1008"/>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3.24</w:t>
            </w:r>
          </w:p>
        </w:tc>
        <w:tc>
          <w:tcPr>
            <w:tcW w:type="dxa" w:w="1106"/>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Pass</w:t>
            </w:r>
          </w:p>
        </w:tc>
      </w:tr>
      <w:tr>
        <w:tc>
          <w:tcPr>
            <w:tcW w:type="dxa" w:w="3024"/>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ALT-5  Delegated task endpoint (A2A-style)</w:t>
            </w:r>
          </w:p>
        </w:tc>
        <w:tc>
          <w:tcPr>
            <w:tcW w:type="dxa" w:w="706"/>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4</w:t>
            </w:r>
          </w:p>
        </w:tc>
        <w:tc>
          <w:tcPr>
            <w:tcW w:type="dxa" w:w="706"/>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4</w:t>
            </w:r>
          </w:p>
        </w:tc>
        <w:tc>
          <w:tcPr>
            <w:tcW w:type="dxa" w:w="706"/>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4</w:t>
            </w:r>
          </w:p>
        </w:tc>
        <w:tc>
          <w:tcPr>
            <w:tcW w:type="dxa" w:w="706"/>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4</w:t>
            </w:r>
          </w:p>
        </w:tc>
        <w:tc>
          <w:tcPr>
            <w:tcW w:type="dxa" w:w="706"/>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3</w:t>
            </w:r>
          </w:p>
        </w:tc>
        <w:tc>
          <w:tcPr>
            <w:tcW w:type="dxa" w:w="706"/>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4</w:t>
            </w:r>
          </w:p>
        </w:tc>
        <w:tc>
          <w:tcPr>
            <w:tcW w:type="dxa" w:w="706"/>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3</w:t>
            </w:r>
          </w:p>
        </w:tc>
        <w:tc>
          <w:tcPr>
            <w:tcW w:type="dxa" w:w="1008"/>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3.76</w:t>
            </w:r>
          </w:p>
        </w:tc>
        <w:tc>
          <w:tcPr>
            <w:tcW w:type="dxa" w:w="1106"/>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Pass</w:t>
            </w:r>
          </w:p>
        </w:tc>
      </w:tr>
      <w:tr>
        <w:tc>
          <w:tcPr>
            <w:tcW w:type="dxa" w:w="3024"/>
            <w:tcMar>
              <w:top w:type="dxa" w:w="60"/>
              <w:left w:type="dxa" w:w="100"/>
              <w:bottom w:type="dxa" w:w="60"/>
              <w:right w:type="dxa" w:w="100"/>
            </w:tcMar>
            <w:vAlign w:val="top"/>
          </w:tcPr>
          <w:p>
            <w:pPr>
              <w:spacing w:after="40" w:before="40" w:line="240"/>
              <w:jc w:val="left"/>
            </w:pPr>
            <w:r>
              <w:rPr>
                <w:rFonts w:ascii="Calibri" w:cs="Calibri" w:eastAsia="Calibri" w:hAnsi="Calibri"/>
                <w:b/>
                <w:bCs/>
                <w:color w:val="22303C"/>
                <w:sz w:val="15"/>
                <w:szCs w:val="15"/>
              </w:rPr>
              <w:t xml:space="preserve">ALT-6  Intent-and-mandate exchange</w:t>
            </w:r>
          </w:p>
        </w:tc>
        <w:tc>
          <w:tcPr>
            <w:tcW w:type="dxa" w:w="706"/>
            <w:tcMar>
              <w:top w:type="dxa" w:w="60"/>
              <w:left w:type="dxa" w:w="100"/>
              <w:bottom w:type="dxa" w:w="60"/>
              <w:right w:type="dxa" w:w="100"/>
            </w:tcMar>
            <w:vAlign w:val="top"/>
          </w:tcPr>
          <w:p>
            <w:pPr>
              <w:spacing w:after="40" w:before="40" w:line="240"/>
              <w:jc w:val="left"/>
            </w:pPr>
            <w:r>
              <w:rPr>
                <w:rFonts w:ascii="Calibri" w:cs="Calibri" w:eastAsia="Calibri" w:hAnsi="Calibri"/>
                <w:b/>
                <w:bCs/>
                <w:color w:val="22303C"/>
                <w:sz w:val="15"/>
                <w:szCs w:val="15"/>
              </w:rPr>
              <w:t xml:space="preserve">5</w:t>
            </w:r>
          </w:p>
        </w:tc>
        <w:tc>
          <w:tcPr>
            <w:tcW w:type="dxa" w:w="706"/>
            <w:tcMar>
              <w:top w:type="dxa" w:w="60"/>
              <w:left w:type="dxa" w:w="100"/>
              <w:bottom w:type="dxa" w:w="60"/>
              <w:right w:type="dxa" w:w="100"/>
            </w:tcMar>
            <w:vAlign w:val="top"/>
          </w:tcPr>
          <w:p>
            <w:pPr>
              <w:spacing w:after="40" w:before="40" w:line="240"/>
              <w:jc w:val="left"/>
            </w:pPr>
            <w:r>
              <w:rPr>
                <w:rFonts w:ascii="Calibri" w:cs="Calibri" w:eastAsia="Calibri" w:hAnsi="Calibri"/>
                <w:b/>
                <w:bCs/>
                <w:color w:val="22303C"/>
                <w:sz w:val="15"/>
                <w:szCs w:val="15"/>
              </w:rPr>
              <w:t xml:space="preserve">5</w:t>
            </w:r>
          </w:p>
        </w:tc>
        <w:tc>
          <w:tcPr>
            <w:tcW w:type="dxa" w:w="706"/>
            <w:tcMar>
              <w:top w:type="dxa" w:w="60"/>
              <w:left w:type="dxa" w:w="100"/>
              <w:bottom w:type="dxa" w:w="60"/>
              <w:right w:type="dxa" w:w="100"/>
            </w:tcMar>
            <w:vAlign w:val="top"/>
          </w:tcPr>
          <w:p>
            <w:pPr>
              <w:spacing w:after="40" w:before="40" w:line="240"/>
              <w:jc w:val="left"/>
            </w:pPr>
            <w:r>
              <w:rPr>
                <w:rFonts w:ascii="Calibri" w:cs="Calibri" w:eastAsia="Calibri" w:hAnsi="Calibri"/>
                <w:b/>
                <w:bCs/>
                <w:color w:val="22303C"/>
                <w:sz w:val="15"/>
                <w:szCs w:val="15"/>
              </w:rPr>
              <w:t xml:space="preserve">5</w:t>
            </w:r>
          </w:p>
        </w:tc>
        <w:tc>
          <w:tcPr>
            <w:tcW w:type="dxa" w:w="706"/>
            <w:tcMar>
              <w:top w:type="dxa" w:w="60"/>
              <w:left w:type="dxa" w:w="100"/>
              <w:bottom w:type="dxa" w:w="60"/>
              <w:right w:type="dxa" w:w="100"/>
            </w:tcMar>
            <w:vAlign w:val="top"/>
          </w:tcPr>
          <w:p>
            <w:pPr>
              <w:spacing w:after="40" w:before="40" w:line="240"/>
              <w:jc w:val="left"/>
            </w:pPr>
            <w:r>
              <w:rPr>
                <w:rFonts w:ascii="Calibri" w:cs="Calibri" w:eastAsia="Calibri" w:hAnsi="Calibri"/>
                <w:b/>
                <w:bCs/>
                <w:color w:val="22303C"/>
                <w:sz w:val="15"/>
                <w:szCs w:val="15"/>
              </w:rPr>
              <w:t xml:space="preserve">5</w:t>
            </w:r>
          </w:p>
        </w:tc>
        <w:tc>
          <w:tcPr>
            <w:tcW w:type="dxa" w:w="706"/>
            <w:tcMar>
              <w:top w:type="dxa" w:w="60"/>
              <w:left w:type="dxa" w:w="100"/>
              <w:bottom w:type="dxa" w:w="60"/>
              <w:right w:type="dxa" w:w="100"/>
            </w:tcMar>
            <w:vAlign w:val="top"/>
          </w:tcPr>
          <w:p>
            <w:pPr>
              <w:spacing w:after="40" w:before="40" w:line="240"/>
              <w:jc w:val="left"/>
            </w:pPr>
            <w:r>
              <w:rPr>
                <w:rFonts w:ascii="Calibri" w:cs="Calibri" w:eastAsia="Calibri" w:hAnsi="Calibri"/>
                <w:b/>
                <w:bCs/>
                <w:color w:val="22303C"/>
                <w:sz w:val="15"/>
                <w:szCs w:val="15"/>
              </w:rPr>
              <w:t xml:space="preserve">5</w:t>
            </w:r>
          </w:p>
        </w:tc>
        <w:tc>
          <w:tcPr>
            <w:tcW w:type="dxa" w:w="706"/>
            <w:tcMar>
              <w:top w:type="dxa" w:w="60"/>
              <w:left w:type="dxa" w:w="100"/>
              <w:bottom w:type="dxa" w:w="60"/>
              <w:right w:type="dxa" w:w="100"/>
            </w:tcMar>
            <w:vAlign w:val="top"/>
          </w:tcPr>
          <w:p>
            <w:pPr>
              <w:spacing w:after="40" w:before="40" w:line="240"/>
              <w:jc w:val="left"/>
            </w:pPr>
            <w:r>
              <w:rPr>
                <w:rFonts w:ascii="Calibri" w:cs="Calibri" w:eastAsia="Calibri" w:hAnsi="Calibri"/>
                <w:b/>
                <w:bCs/>
                <w:color w:val="22303C"/>
                <w:sz w:val="15"/>
                <w:szCs w:val="15"/>
              </w:rPr>
              <w:t xml:space="preserve">5</w:t>
            </w:r>
          </w:p>
        </w:tc>
        <w:tc>
          <w:tcPr>
            <w:tcW w:type="dxa" w:w="706"/>
            <w:tcMar>
              <w:top w:type="dxa" w:w="60"/>
              <w:left w:type="dxa" w:w="100"/>
              <w:bottom w:type="dxa" w:w="60"/>
              <w:right w:type="dxa" w:w="100"/>
            </w:tcMar>
            <w:vAlign w:val="top"/>
          </w:tcPr>
          <w:p>
            <w:pPr>
              <w:spacing w:after="40" w:before="40" w:line="240"/>
              <w:jc w:val="left"/>
            </w:pPr>
            <w:r>
              <w:rPr>
                <w:rFonts w:ascii="Calibri" w:cs="Calibri" w:eastAsia="Calibri" w:hAnsi="Calibri"/>
                <w:b/>
                <w:bCs/>
                <w:color w:val="22303C"/>
                <w:sz w:val="15"/>
                <w:szCs w:val="15"/>
              </w:rPr>
              <w:t xml:space="preserve">2</w:t>
            </w:r>
          </w:p>
        </w:tc>
        <w:tc>
          <w:tcPr>
            <w:tcW w:type="dxa" w:w="1008"/>
            <w:tcMar>
              <w:top w:type="dxa" w:w="60"/>
              <w:left w:type="dxa" w:w="100"/>
              <w:bottom w:type="dxa" w:w="60"/>
              <w:right w:type="dxa" w:w="100"/>
            </w:tcMar>
            <w:vAlign w:val="top"/>
          </w:tcPr>
          <w:p>
            <w:pPr>
              <w:spacing w:after="40" w:before="40" w:line="240"/>
              <w:jc w:val="left"/>
            </w:pPr>
            <w:r>
              <w:rPr>
                <w:rFonts w:ascii="Calibri" w:cs="Calibri" w:eastAsia="Calibri" w:hAnsi="Calibri"/>
                <w:b/>
                <w:bCs/>
                <w:color w:val="22303C"/>
                <w:sz w:val="15"/>
                <w:szCs w:val="15"/>
              </w:rPr>
              <w:t xml:space="preserve">4.64</w:t>
            </w:r>
          </w:p>
        </w:tc>
        <w:tc>
          <w:tcPr>
            <w:tcW w:type="dxa" w:w="1106"/>
            <w:tcMar>
              <w:top w:type="dxa" w:w="60"/>
              <w:left w:type="dxa" w:w="100"/>
              <w:bottom w:type="dxa" w:w="60"/>
              <w:right w:type="dxa" w:w="100"/>
            </w:tcMar>
            <w:vAlign w:val="top"/>
          </w:tcPr>
          <w:p>
            <w:pPr>
              <w:spacing w:after="40" w:before="40" w:line="240"/>
              <w:jc w:val="left"/>
            </w:pPr>
            <w:r>
              <w:rPr>
                <w:rFonts w:ascii="Calibri" w:cs="Calibri" w:eastAsia="Calibri" w:hAnsi="Calibri"/>
                <w:b/>
                <w:bCs/>
                <w:color w:val="22303C"/>
                <w:sz w:val="15"/>
                <w:szCs w:val="15"/>
              </w:rPr>
              <w:t xml:space="preserve">Pass</w:t>
            </w:r>
          </w:p>
        </w:tc>
      </w:tr>
      <w:tr>
        <w:tc>
          <w:tcPr>
            <w:tcW w:type="dxa" w:w="3024"/>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ALT-7  Read-only data sharing</w:t>
            </w:r>
          </w:p>
        </w:tc>
        <w:tc>
          <w:tcPr>
            <w:tcW w:type="dxa" w:w="706"/>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5</w:t>
            </w:r>
          </w:p>
        </w:tc>
        <w:tc>
          <w:tcPr>
            <w:tcW w:type="dxa" w:w="706"/>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3</w:t>
            </w:r>
          </w:p>
        </w:tc>
        <w:tc>
          <w:tcPr>
            <w:tcW w:type="dxa" w:w="706"/>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4</w:t>
            </w:r>
          </w:p>
        </w:tc>
        <w:tc>
          <w:tcPr>
            <w:tcW w:type="dxa" w:w="706"/>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4</w:t>
            </w:r>
          </w:p>
        </w:tc>
        <w:tc>
          <w:tcPr>
            <w:tcW w:type="dxa" w:w="706"/>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4</w:t>
            </w:r>
          </w:p>
        </w:tc>
        <w:tc>
          <w:tcPr>
            <w:tcW w:type="dxa" w:w="706"/>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5</w:t>
            </w:r>
          </w:p>
        </w:tc>
        <w:tc>
          <w:tcPr>
            <w:tcW w:type="dxa" w:w="706"/>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4</w:t>
            </w:r>
          </w:p>
        </w:tc>
        <w:tc>
          <w:tcPr>
            <w:tcW w:type="dxa" w:w="1008"/>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4.19</w:t>
            </w:r>
          </w:p>
        </w:tc>
        <w:tc>
          <w:tcPr>
            <w:tcW w:type="dxa" w:w="1106"/>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FAIL FR-4</w:t>
            </w:r>
          </w:p>
        </w:tc>
      </w:tr>
      <w:tr>
        <w:tc>
          <w:tcPr>
            <w:tcW w:type="dxa" w:w="3024"/>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ALT-8  Provider-hosted agent</w:t>
            </w:r>
          </w:p>
        </w:tc>
        <w:tc>
          <w:tcPr>
            <w:tcW w:type="dxa" w:w="706"/>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5</w:t>
            </w:r>
          </w:p>
        </w:tc>
        <w:tc>
          <w:tcPr>
            <w:tcW w:type="dxa" w:w="706"/>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5</w:t>
            </w:r>
          </w:p>
        </w:tc>
        <w:tc>
          <w:tcPr>
            <w:tcW w:type="dxa" w:w="706"/>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3</w:t>
            </w:r>
          </w:p>
        </w:tc>
        <w:tc>
          <w:tcPr>
            <w:tcW w:type="dxa" w:w="706"/>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5</w:t>
            </w:r>
          </w:p>
        </w:tc>
        <w:tc>
          <w:tcPr>
            <w:tcW w:type="dxa" w:w="706"/>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1</w:t>
            </w:r>
          </w:p>
        </w:tc>
        <w:tc>
          <w:tcPr>
            <w:tcW w:type="dxa" w:w="706"/>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5</w:t>
            </w:r>
          </w:p>
        </w:tc>
        <w:tc>
          <w:tcPr>
            <w:tcW w:type="dxa" w:w="706"/>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3</w:t>
            </w:r>
          </w:p>
        </w:tc>
        <w:tc>
          <w:tcPr>
            <w:tcW w:type="dxa" w:w="1008"/>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3.98</w:t>
            </w:r>
          </w:p>
        </w:tc>
        <w:tc>
          <w:tcPr>
            <w:tcW w:type="dxa" w:w="1106"/>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FAIL FR-1</w:t>
            </w:r>
          </w:p>
        </w:tc>
      </w:tr>
      <w:tr>
        <w:tc>
          <w:tcPr>
            <w:tcW w:type="dxa" w:w="3024"/>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ALT-9  Browser / computer use</w:t>
            </w:r>
          </w:p>
        </w:tc>
        <w:tc>
          <w:tcPr>
            <w:tcW w:type="dxa" w:w="706"/>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1</w:t>
            </w:r>
          </w:p>
        </w:tc>
        <w:tc>
          <w:tcPr>
            <w:tcW w:type="dxa" w:w="706"/>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2</w:t>
            </w:r>
          </w:p>
        </w:tc>
        <w:tc>
          <w:tcPr>
            <w:tcW w:type="dxa" w:w="706"/>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1</w:t>
            </w:r>
          </w:p>
        </w:tc>
        <w:tc>
          <w:tcPr>
            <w:tcW w:type="dxa" w:w="706"/>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1</w:t>
            </w:r>
          </w:p>
        </w:tc>
        <w:tc>
          <w:tcPr>
            <w:tcW w:type="dxa" w:w="706"/>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5</w:t>
            </w:r>
          </w:p>
        </w:tc>
        <w:tc>
          <w:tcPr>
            <w:tcW w:type="dxa" w:w="706"/>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2</w:t>
            </w:r>
          </w:p>
        </w:tc>
        <w:tc>
          <w:tcPr>
            <w:tcW w:type="dxa" w:w="706"/>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5</w:t>
            </w:r>
          </w:p>
        </w:tc>
        <w:tc>
          <w:tcPr>
            <w:tcW w:type="dxa" w:w="1008"/>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2.25</w:t>
            </w:r>
          </w:p>
        </w:tc>
        <w:tc>
          <w:tcPr>
            <w:tcW w:type="dxa" w:w="1106"/>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Pass</w:t>
            </w:r>
          </w:p>
        </w:tc>
      </w:tr>
    </w:tbl>
    <w:p>
      <w:pPr>
        <w:pStyle w:val="Heading2"/>
      </w:pPr>
      <w:r>
        <w:rPr>
          <w:rFonts w:ascii="Calibri Light" w:cs="Calibri Light" w:eastAsia="Calibri Light" w:hAnsi="Calibri Light"/>
          <w:color w:val="1B3A5C"/>
          <w:sz w:val="23"/>
          <w:szCs w:val="23"/>
        </w:rPr>
        <w:t xml:space="preserve">4.13  Why ALT-6, and what it borrows</w:t>
      </w:r>
    </w:p>
    <w:p>
      <w:pPr>
        <w:keepNext w:val="false"/>
        <w:spacing w:after="130" w:before="0" w:line="268"/>
        <w:jc w:val="both"/>
      </w:pPr>
      <w:r>
        <w:rPr>
          <w:rFonts w:ascii="Calibri" w:cs="Calibri" w:eastAsia="Calibri" w:hAnsi="Calibri"/>
          <w:color w:val="22303C"/>
          <w:sz w:val="20"/>
          <w:szCs w:val="20"/>
        </w:rPr>
        <w:t xml:space="preserve">The recommendation is not a novel protocol; it is a deliberate composition of the strongest idea from each surviving option, assembled so that the provider’s obligations are discharged on the provider’s premises.</w:t>
      </w:r>
    </w:p>
    <w:tbl>
      <w:tblPr>
        <w:tblW w:type="dxa" w:w="10080"/>
        <w:tblBorders>
          <w:top w:val="single" w:color="1B3A5C" w:sz="4"/>
          <w:left w:val="none" w:color="FFFFFF" w:sz="0"/>
          <w:bottom w:val="single" w:color="1B3A5C" w:sz="4"/>
          <w:right w:val="none" w:color="FFFFFF" w:sz="0"/>
          <w:insideH w:val="single" w:color="C7D0DA" w:sz="2"/>
          <w:insideV w:val="single" w:color="C7D0DA" w:sz="2"/>
        </w:tblBorders>
      </w:tblPr>
      <w:tblGrid>
        <w:gridCol w:w="2218"/>
        <w:gridCol w:w="5645"/>
        <w:gridCol w:w="2217"/>
      </w:tblGrid>
      <w:tr>
        <w:trPr>
          <w:tblHeader/>
        </w:trPr>
        <w:tc>
          <w:tcPr>
            <w:tcW w:type="dxa" w:w="2218"/>
            <w:shd w:fill="1B3A5C"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FFFFFF"/>
                <w:sz w:val="17"/>
                <w:szCs w:val="17"/>
              </w:rPr>
              <w:t xml:space="preserve">Borrowed from</w:t>
            </w:r>
          </w:p>
        </w:tc>
        <w:tc>
          <w:tcPr>
            <w:tcW w:type="dxa" w:w="5645"/>
            <w:shd w:fill="1B3A5C"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FFFFFF"/>
                <w:sz w:val="17"/>
                <w:szCs w:val="17"/>
              </w:rPr>
              <w:t xml:space="preserve">Idea adopted</w:t>
            </w:r>
          </w:p>
        </w:tc>
        <w:tc>
          <w:tcPr>
            <w:tcW w:type="dxa" w:w="2217"/>
            <w:shd w:fill="1B3A5C"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FFFFFF"/>
                <w:sz w:val="17"/>
                <w:szCs w:val="17"/>
              </w:rPr>
              <w:t xml:space="preserve">Where it appears</w:t>
            </w:r>
          </w:p>
        </w:tc>
      </w:tr>
      <w:tr>
        <w:tc>
          <w:tcPr>
            <w:tcW w:type="dxa" w:w="2218"/>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ALT-1 / ALT-0</w:t>
            </w:r>
          </w:p>
        </w:tc>
        <w:tc>
          <w:tcPr>
            <w:tcW w:type="dxa" w:w="5645"/>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Plain HTTPS, JSON and OpenAPI so any runtime can participate; self-describing schemas.</w:t>
            </w:r>
          </w:p>
        </w:tc>
        <w:tc>
          <w:tcPr>
            <w:tcW w:type="dxa" w:w="2217"/>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§5.6</w:t>
            </w:r>
          </w:p>
        </w:tc>
      </w:tr>
      <w:tr>
        <w:tc>
          <w:tcPr>
            <w:tcW w:type="dxa" w:w="2218"/>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ALT-3</w:t>
            </w:r>
          </w:p>
        </w:tc>
        <w:tc>
          <w:tcPr>
            <w:tcW w:type="dxa" w:w="5645"/>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A single external enforcement point that owns authentication, admission, quota and audit.</w:t>
            </w:r>
          </w:p>
        </w:tc>
        <w:tc>
          <w:tcPr>
            <w:tcW w:type="dxa" w:w="2217"/>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Zone 1, §5.4</w:t>
            </w:r>
          </w:p>
        </w:tc>
      </w:tr>
      <w:tr>
        <w:tc>
          <w:tcPr>
            <w:tcW w:type="dxa" w:w="2218"/>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ALT-4</w:t>
            </w:r>
          </w:p>
        </w:tc>
        <w:tc>
          <w:tcPr>
            <w:tcW w:type="dxa" w:w="5645"/>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Do the composition server-side; keep the agent’s context cost fixed and small.</w:t>
            </w:r>
          </w:p>
        </w:tc>
        <w:tc>
          <w:tcPr>
            <w:tcW w:type="dxa" w:w="2217"/>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§5.6.3, §5.7</w:t>
            </w:r>
          </w:p>
        </w:tc>
      </w:tr>
      <w:tr>
        <w:tc>
          <w:tcPr>
            <w:tcW w:type="dxa" w:w="2218"/>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ALT-5</w:t>
            </w:r>
          </w:p>
        </w:tc>
        <w:tc>
          <w:tcPr>
            <w:tcW w:type="dxa" w:w="5645"/>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A task lifecycle with explicit </w:t>
            </w:r>
            <w:r>
              <w:rPr>
                <w:rFonts w:ascii="Consolas" w:cs="Consolas" w:eastAsia="Consolas" w:hAnsi="Consolas"/>
                <w:color w:val="12293F"/>
                <w:sz w:val="14"/>
                <w:szCs w:val="14"/>
              </w:rPr>
              <w:t xml:space="preserve">input-required</w:t>
            </w:r>
            <w:r>
              <w:rPr>
                <w:rFonts w:ascii="Calibri" w:cs="Calibri" w:eastAsia="Calibri" w:hAnsi="Calibri"/>
                <w:color w:val="22303C"/>
                <w:sz w:val="17"/>
                <w:szCs w:val="17"/>
              </w:rPr>
              <w:t xml:space="preserve"> and </w:t>
            </w:r>
            <w:r>
              <w:rPr>
                <w:rFonts w:ascii="Consolas" w:cs="Consolas" w:eastAsia="Consolas" w:hAnsi="Consolas"/>
                <w:color w:val="12293F"/>
                <w:sz w:val="14"/>
                <w:szCs w:val="14"/>
              </w:rPr>
              <w:t xml:space="preserve">auth-required</w:t>
            </w:r>
            <w:r>
              <w:rPr>
                <w:rFonts w:ascii="Calibri" w:cs="Calibri" w:eastAsia="Calibri" w:hAnsi="Calibri"/>
                <w:color w:val="22303C"/>
                <w:sz w:val="17"/>
                <w:szCs w:val="17"/>
              </w:rPr>
              <w:t xml:space="preserve"> states; async by default.</w:t>
            </w:r>
          </w:p>
        </w:tc>
        <w:tc>
          <w:tcPr>
            <w:tcW w:type="dxa" w:w="2217"/>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§5.8.1</w:t>
            </w:r>
          </w:p>
        </w:tc>
      </w:tr>
      <w:tr>
        <w:tc>
          <w:tcPr>
            <w:tcW w:type="dxa" w:w="2218"/>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ALT-7</w:t>
            </w:r>
          </w:p>
        </w:tc>
        <w:tc>
          <w:tcPr>
            <w:tcW w:type="dxa" w:w="5645"/>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Governed data products with field-level policy as the entire read surface.</w:t>
            </w:r>
          </w:p>
        </w:tc>
        <w:tc>
          <w:tcPr>
            <w:tcW w:type="dxa" w:w="2217"/>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§5.7</w:t>
            </w:r>
          </w:p>
        </w:tc>
      </w:tr>
      <w:tr>
        <w:tc>
          <w:tcPr>
            <w:tcW w:type="dxa" w:w="2218"/>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ALT-8</w:t>
            </w:r>
          </w:p>
        </w:tc>
        <w:tc>
          <w:tcPr>
            <w:tcW w:type="dxa" w:w="5645"/>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Keep every decision that carries an obligation inside the provider’s boundary.</w:t>
            </w:r>
          </w:p>
        </w:tc>
        <w:tc>
          <w:tcPr>
            <w:tcW w:type="dxa" w:w="2217"/>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§5.8.3, §5.9</w:t>
            </w:r>
          </w:p>
        </w:tc>
      </w:tr>
      <w:tr>
        <w:tc>
          <w:tcPr>
            <w:tcW w:type="dxa" w:w="2218"/>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Payments-mandate practice</w:t>
            </w:r>
          </w:p>
        </w:tc>
        <w:tc>
          <w:tcPr>
            <w:tcW w:type="dxa" w:w="5645"/>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Cryptographically signed, hash-bound mandates as the unit of human authority, with a separate standing-mandate form for human-not-present automation.</w:t>
            </w:r>
          </w:p>
        </w:tc>
        <w:tc>
          <w:tcPr>
            <w:tcW w:type="dxa" w:w="2217"/>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§5.8.4, §5.8.6</w:t>
            </w:r>
          </w:p>
        </w:tc>
      </w:tr>
      <w:tr>
        <w:tc>
          <w:tcPr>
            <w:tcW w:type="dxa" w:w="2218"/>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Robinhood’s product design</w:t>
            </w:r>
          </w:p>
        </w:tc>
        <w:tc>
          <w:tcPr>
            <w:tcW w:type="dxa" w:w="5645"/>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A segregated agentic account as a blast-radius container; simulate before commit; explicit customer accountability.</w:t>
            </w:r>
          </w:p>
        </w:tc>
        <w:tc>
          <w:tcPr>
            <w:tcW w:type="dxa" w:w="2217"/>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§5.4, §5.8.3</w:t>
            </w:r>
          </w:p>
        </w:tc>
      </w:tr>
    </w:tbl>
    <w:p>
      <w:r>
        <w:br w:type="page"/>
      </w:r>
    </w:p>
    <w:p>
      <w:pPr>
        <w:pStyle w:val="Heading1"/>
      </w:pPr>
      <w:r>
        <w:rPr>
          <w:rFonts w:ascii="Calibri Light" w:cs="Calibri Light" w:eastAsia="Calibri Light" w:hAnsi="Calibri Light"/>
          <w:color w:val="1B3A5C"/>
          <w:sz w:val="28"/>
          <w:szCs w:val="28"/>
        </w:rPr>
        <w:t xml:space="preserve">5  Recommended Architecture — Agent Capability Exchange (ACE)</w:t>
      </w:r>
    </w:p>
    <w:p>
      <w:pPr>
        <w:spacing w:after="200" w:before="40" w:line="276"/>
        <w:jc w:val="both"/>
      </w:pPr>
      <w:r>
        <w:rPr>
          <w:rFonts w:ascii="Calibri" w:cs="Calibri" w:eastAsia="Calibri" w:hAnsi="Calibri"/>
          <w:color w:val="42566B"/>
          <w:sz w:val="21"/>
          <w:szCs w:val="21"/>
        </w:rPr>
        <w:t xml:space="preserve">ACE is a provider-operated exchange that sits between untrusted agents and trusted business capabilities. It exposes three verbs and no capability APIs. Agents describe what the customer wants; the exchange decides how it happens, proves that it was authorised, and records what occurred.</w:t>
      </w:r>
    </w:p>
    <w:p>
      <w:pPr>
        <w:pStyle w:val="Heading2"/>
      </w:pPr>
      <w:r>
        <w:rPr>
          <w:rFonts w:ascii="Calibri Light" w:cs="Calibri Light" w:eastAsia="Calibri Light" w:hAnsi="Calibri Light"/>
          <w:color w:val="1B3A5C"/>
          <w:sz w:val="23"/>
          <w:szCs w:val="23"/>
        </w:rPr>
        <w:t xml:space="preserve">5.1  Design tenets</w:t>
      </w:r>
    </w:p>
    <w:tbl>
      <w:tblPr>
        <w:tblW w:type="dxa" w:w="10080"/>
        <w:tblBorders>
          <w:top w:val="single" w:color="1B3A5C" w:sz="4"/>
          <w:left w:val="none" w:color="FFFFFF" w:sz="0"/>
          <w:bottom w:val="single" w:color="1B3A5C" w:sz="4"/>
          <w:right w:val="none" w:color="FFFFFF" w:sz="0"/>
          <w:insideH w:val="single" w:color="C7D0DA" w:sz="2"/>
          <w:insideV w:val="single" w:color="C7D0DA" w:sz="2"/>
        </w:tblBorders>
      </w:tblPr>
      <w:tblGrid>
        <w:gridCol w:w="706"/>
        <w:gridCol w:w="2621"/>
        <w:gridCol w:w="6753"/>
      </w:tblGrid>
      <w:tr>
        <w:trPr>
          <w:tblHeader/>
        </w:trPr>
        <w:tc>
          <w:tcPr>
            <w:tcW w:type="dxa" w:w="706"/>
            <w:shd w:fill="1B3A5C"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FFFFFF"/>
                <w:sz w:val="17"/>
                <w:szCs w:val="17"/>
              </w:rPr>
              <w:t xml:space="preserve">ID</w:t>
            </w:r>
          </w:p>
        </w:tc>
        <w:tc>
          <w:tcPr>
            <w:tcW w:type="dxa" w:w="2621"/>
            <w:shd w:fill="1B3A5C"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FFFFFF"/>
                <w:sz w:val="17"/>
                <w:szCs w:val="17"/>
              </w:rPr>
              <w:t xml:space="preserve">Tenet</w:t>
            </w:r>
          </w:p>
        </w:tc>
        <w:tc>
          <w:tcPr>
            <w:tcW w:type="dxa" w:w="6753"/>
            <w:shd w:fill="1B3A5C"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FFFFFF"/>
                <w:sz w:val="17"/>
                <w:szCs w:val="17"/>
              </w:rPr>
              <w:t xml:space="preserve">Concrete rule an implementer can test</w:t>
            </w:r>
          </w:p>
        </w:tc>
      </w:tr>
      <w:tr>
        <w:tc>
          <w:tcPr>
            <w:tcW w:type="dxa" w:w="706"/>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T-1</w:t>
            </w:r>
          </w:p>
        </w:tc>
        <w:tc>
          <w:tcPr>
            <w:tcW w:type="dxa" w:w="2621"/>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Intent, not invocation</w:t>
            </w:r>
          </w:p>
        </w:tc>
        <w:tc>
          <w:tcPr>
            <w:tcW w:type="dxa" w:w="6753"/>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No external endpoint corresponds one-to-one with an internal operation. Grep the routing table: if an external path maps to a single internal handler, the design has leaked.</w:t>
            </w:r>
          </w:p>
        </w:tc>
      </w:tr>
      <w:tr>
        <w:tc>
          <w:tcPr>
            <w:tcW w:type="dxa" w:w="706"/>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T-2</w:t>
            </w:r>
          </w:p>
        </w:tc>
        <w:tc>
          <w:tcPr>
            <w:tcW w:type="dxa" w:w="2621"/>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The provider composes</w:t>
            </w:r>
          </w:p>
        </w:tc>
        <w:tc>
          <w:tcPr>
            <w:tcW w:type="dxa" w:w="6753"/>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Multi-step work is expanded server-side from one authorised intent. An agent cannot be required to sequence calls correctly for a control to hold.</w:t>
            </w:r>
          </w:p>
        </w:tc>
      </w:tr>
      <w:tr>
        <w:tc>
          <w:tcPr>
            <w:tcW w:type="dxa" w:w="706"/>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T-3</w:t>
            </w:r>
          </w:p>
        </w:tc>
        <w:tc>
          <w:tcPr>
            <w:tcW w:type="dxa" w:w="2621"/>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Contracts, not entities</w:t>
            </w:r>
          </w:p>
        </w:tc>
        <w:tc>
          <w:tcPr>
            <w:tcW w:type="dxa" w:w="6753"/>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Every read returns a named projection with an explicit field list and a version. No endpoint returns “the account object”.</w:t>
            </w:r>
          </w:p>
        </w:tc>
      </w:tr>
      <w:tr>
        <w:tc>
          <w:tcPr>
            <w:tcW w:type="dxa" w:w="706"/>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T-4</w:t>
            </w:r>
          </w:p>
        </w:tc>
        <w:tc>
          <w:tcPr>
            <w:tcW w:type="dxa" w:w="2621"/>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Authority is per-action</w:t>
            </w:r>
          </w:p>
        </w:tc>
        <w:tc>
          <w:tcPr>
            <w:tcW w:type="dxa" w:w="6753"/>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Every state change requires a mandate whose subject is a hash of the exact validated intent. A mandate is single-use unless it is explicitly a standing mandate with its own caps.</w:t>
            </w:r>
          </w:p>
        </w:tc>
      </w:tr>
      <w:tr>
        <w:tc>
          <w:tcPr>
            <w:tcW w:type="dxa" w:w="706"/>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T-5</w:t>
            </w:r>
          </w:p>
        </w:tc>
        <w:tc>
          <w:tcPr>
            <w:tcW w:type="dxa" w:w="2621"/>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The human signs</w:t>
            </w:r>
          </w:p>
        </w:tc>
        <w:tc>
          <w:tcPr>
            <w:tcW w:type="dxa" w:w="6753"/>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Approval is produced by a human credential (passkey or equivalent) on a channel the agent cannot observe or drive. The agent never holds the approval factor.</w:t>
            </w:r>
          </w:p>
        </w:tc>
      </w:tr>
      <w:tr>
        <w:tc>
          <w:tcPr>
            <w:tcW w:type="dxa" w:w="706"/>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T-6</w:t>
            </w:r>
          </w:p>
        </w:tc>
        <w:tc>
          <w:tcPr>
            <w:tcW w:type="dxa" w:w="2621"/>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Deterministic before probabilistic</w:t>
            </w:r>
          </w:p>
        </w:tc>
        <w:tc>
          <w:tcPr>
            <w:tcW w:type="dxa" w:w="6753"/>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No intent reaches an internal capability until every applicable control has returned a deterministic pass. Model-generated text is never a control input.</w:t>
            </w:r>
          </w:p>
        </w:tc>
      </w:tr>
      <w:tr>
        <w:tc>
          <w:tcPr>
            <w:tcW w:type="dxa" w:w="706"/>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T-7</w:t>
            </w:r>
          </w:p>
        </w:tc>
        <w:tc>
          <w:tcPr>
            <w:tcW w:type="dxa" w:w="2621"/>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Bounded discovery</w:t>
            </w:r>
          </w:p>
        </w:tc>
        <w:tc>
          <w:tcPr>
            <w:tcW w:type="dxa" w:w="6753"/>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Manifest plus search results are capped in bytes and tokens. Adding the 2,501st internal operation must not change the agent’s context cost by a single token.</w:t>
            </w:r>
          </w:p>
        </w:tc>
      </w:tr>
      <w:tr>
        <w:tc>
          <w:tcPr>
            <w:tcW w:type="dxa" w:w="706"/>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T-8</w:t>
            </w:r>
          </w:p>
        </w:tc>
        <w:tc>
          <w:tcPr>
            <w:tcW w:type="dxa" w:w="2621"/>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Everything is metered</w:t>
            </w:r>
          </w:p>
        </w:tc>
        <w:tc>
          <w:tcPr>
            <w:tcW w:type="dxa" w:w="6753"/>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Every request is attributed to (human, agent, purpose, intent type) and drawn against a budget. Unattributable traffic is rejected, not throttled.</w:t>
            </w:r>
          </w:p>
        </w:tc>
      </w:tr>
      <w:tr>
        <w:tc>
          <w:tcPr>
            <w:tcW w:type="dxa" w:w="706"/>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T-9</w:t>
            </w:r>
          </w:p>
        </w:tc>
        <w:tc>
          <w:tcPr>
            <w:tcW w:type="dxa" w:w="2621"/>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Evidence is designed</w:t>
            </w:r>
          </w:p>
        </w:tc>
        <w:tc>
          <w:tcPr>
            <w:tcW w:type="dxa" w:w="6753"/>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The receipt is a first-class deliverable with a schema, a signature and a retention policy — not a log line.</w:t>
            </w:r>
          </w:p>
        </w:tc>
      </w:tr>
      <w:tr>
        <w:tc>
          <w:tcPr>
            <w:tcW w:type="dxa" w:w="706"/>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T-10</w:t>
            </w:r>
          </w:p>
        </w:tc>
        <w:tc>
          <w:tcPr>
            <w:tcW w:type="dxa" w:w="2621"/>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Fail closed, degrade read-only</w:t>
            </w:r>
          </w:p>
        </w:tc>
        <w:tc>
          <w:tcPr>
            <w:tcW w:type="dxa" w:w="6753"/>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If the policy engine, mandate service or risk gate is unavailable, the write path is unavailable. Reads may continue from cached projections.</w:t>
            </w:r>
          </w:p>
        </w:tc>
      </w:tr>
    </w:tbl>
    <w:p>
      <w:pPr>
        <w:pStyle w:val="Heading2"/>
      </w:pPr>
      <w:r>
        <w:rPr>
          <w:rFonts w:ascii="Calibri Light" w:cs="Calibri Light" w:eastAsia="Calibri Light" w:hAnsi="Calibri Light"/>
          <w:color w:val="1B3A5C"/>
          <w:sz w:val="23"/>
          <w:szCs w:val="23"/>
        </w:rPr>
        <w:t xml:space="preserve">5.2  Logical view</w:t>
      </w:r>
    </w:p>
    <w:p>
      <w:pPr>
        <w:keepNext w:val="false"/>
        <w:spacing w:after="130" w:before="0" w:line="268"/>
        <w:jc w:val="both"/>
      </w:pPr>
      <w:r>
        <w:rPr>
          <w:rFonts w:ascii="Calibri" w:cs="Calibri" w:eastAsia="Calibri" w:hAnsi="Calibri"/>
          <w:color w:val="22303C"/>
          <w:sz w:val="20"/>
          <w:szCs w:val="20"/>
        </w:rPr>
        <w:t xml:space="preserve">Figure 1 (overleaf) shows the four trust zones and the three planes of the exchange. Three properties are worth reading off the diagram before the component detail that follows:</w:t>
      </w:r>
    </w:p>
    <w:p>
      <w:pPr>
        <w:pStyle w:val="ListParagraph"/>
        <w:numPr>
          <w:ilvl w:val="0"/>
          <w:numId w:val="27"/>
        </w:numPr>
        <w:spacing w:after="66" w:before="24" w:line="262"/>
        <w:jc w:val="both"/>
      </w:pPr>
      <w:r>
        <w:rPr>
          <w:rFonts w:ascii="Calibri" w:cs="Calibri" w:eastAsia="Calibri" w:hAnsi="Calibri"/>
          <w:b/>
          <w:bCs/>
          <w:color w:val="22303C"/>
          <w:sz w:val="20"/>
          <w:szCs w:val="20"/>
        </w:rPr>
        <w:t xml:space="preserve">There is exactly one horizontal path into Zone 3, and it originates inside Zone 2.</w:t>
      </w:r>
      <w:r>
        <w:rPr>
          <w:rFonts w:ascii="Calibri" w:cs="Calibri" w:eastAsia="Calibri" w:hAnsi="Calibri"/>
          <w:color w:val="22303C"/>
          <w:sz w:val="20"/>
          <w:szCs w:val="20"/>
        </w:rPr>
        <w:t xml:space="preserve"> No arrow runs from Zone 0 or Zone 1 to a business capability API. Internal services accept traffic only from the exchange, authenticated by workload identity, on network paths that are not externally routable.</w:t>
      </w:r>
    </w:p>
    <w:p>
      <w:pPr>
        <w:pStyle w:val="ListParagraph"/>
        <w:numPr>
          <w:ilvl w:val="0"/>
          <w:numId w:val="27"/>
        </w:numPr>
        <w:spacing w:after="66" w:before="24" w:line="262"/>
        <w:jc w:val="both"/>
      </w:pPr>
      <w:r>
        <w:rPr>
          <w:rFonts w:ascii="Calibri" w:cs="Calibri" w:eastAsia="Calibri" w:hAnsi="Calibri"/>
          <w:b/>
          <w:bCs/>
          <w:color w:val="22303C"/>
          <w:sz w:val="20"/>
          <w:szCs w:val="20"/>
        </w:rPr>
        <w:t xml:space="preserve">The approval channel bypasses the agent entirely.</w:t>
      </w:r>
      <w:r>
        <w:rPr>
          <w:rFonts w:ascii="Calibri" w:cs="Calibri" w:eastAsia="Calibri" w:hAnsi="Calibri"/>
          <w:color w:val="22303C"/>
          <w:sz w:val="20"/>
          <w:szCs w:val="20"/>
        </w:rPr>
        <w:t xml:space="preserve"> The dashed path along the foot of the diagram carries a backchannel authentication request to the customer’s own device. The agent is not on that path, cannot see the challenge, and cannot answer it.</w:t>
      </w:r>
    </w:p>
    <w:p>
      <w:pPr>
        <w:pStyle w:val="ListParagraph"/>
        <w:numPr>
          <w:ilvl w:val="0"/>
          <w:numId w:val="27"/>
        </w:numPr>
        <w:spacing w:after="66" w:before="24" w:line="262"/>
        <w:jc w:val="both"/>
      </w:pPr>
      <w:r>
        <w:rPr>
          <w:rFonts w:ascii="Calibri" w:cs="Calibri" w:eastAsia="Calibri" w:hAnsi="Calibri"/>
          <w:b/>
          <w:bCs/>
          <w:color w:val="22303C"/>
          <w:sz w:val="20"/>
          <w:szCs w:val="20"/>
        </w:rPr>
        <w:t xml:space="preserve">The three planes have different economics and different failure modes.</w:t>
      </w:r>
      <w:r>
        <w:rPr>
          <w:rFonts w:ascii="Calibri" w:cs="Calibri" w:eastAsia="Calibri" w:hAnsi="Calibri"/>
          <w:color w:val="22303C"/>
          <w:sz w:val="20"/>
          <w:szCs w:val="20"/>
        </w:rPr>
        <w:t xml:space="preserve"> Discovery is cacheable, cheap and idempotent. The data plane is read-only, high-volume and budgeted. The intent plane is low-volume, expensive per call, and transactional. Conflating them — which a single tool namespace does — forces the cheapest traffic to carry the most expensive machinery, and vice versa.</w:t>
      </w:r>
    </w:p>
    <w:p>
      <w:r>
        <w:br w:type="page"/>
      </w:r>
    </w:p>
    <w:p>
      <w:pPr>
        <w:sectPr>
          <w:headerReference w:type="default" r:id="rId7"/>
          <w:footerReference w:type="default" r:id="rId8"/>
          <w:pgSz w:w="12240" w:h="15840" w:orient="portrait"/>
          <w:pgMar w:top="1080" w:right="1080" w:bottom="1080" w:left="1080" w:header="620" w:footer="560" w:gutter="0"/>
          <w:pgNumType/>
          <w:docGrid w:linePitch="360"/>
        </w:sectPr>
      </w:pPr>
    </w:p>
    <w:p>
      <w:pPr>
        <w:spacing w:after="60" w:before="0"/>
        <w:jc w:val="center"/>
      </w:pPr>
      <w:r>
        <w:drawing>
          <wp:inline distT="0" distB="0" distL="0" distR="0">
            <wp:extent cx="8763000" cy="6391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8763000" cy="6391275"/>
                    </a:xfrm>
                    <a:prstGeom prst="rect">
                      <a:avLst/>
                    </a:prstGeom>
                  </pic:spPr>
                </pic:pic>
              </a:graphicData>
            </a:graphic>
          </wp:inline>
        </w:drawing>
      </w:r>
    </w:p>
    <w:p>
      <w:pPr>
        <w:spacing w:after="180" w:before="100"/>
        <w:jc w:val="center"/>
      </w:pPr>
      <w:r>
        <w:rPr>
          <w:rFonts w:ascii="Calibri" w:cs="Calibri" w:eastAsia="Calibri" w:hAnsi="Calibri"/>
          <w:color w:val="42566B"/>
          <w:sz w:val="17"/>
          <w:szCs w:val="17"/>
        </w:rPr>
        <w:t xml:space="preserve">Figure 1 — Agent Capability Exchange: high-level reference architecture. Zone 3 is reachable only from Zone 2; the customer’s agent holds no credential for, and no route to, any business capability API.</w:t>
      </w:r>
    </w:p>
    <w:p>
      <w:pPr>
        <w:sectPr>
          <w:headerReference w:type="default" r:id="rId9"/>
          <w:footerReference w:type="default" r:id="rId10"/>
          <w:pgSz w:w="15840" w:h="12240" w:orient="landscape"/>
          <w:pgMar w:top="648" w:right="1008" w:bottom="648" w:left="1008" w:header="400" w:footer="360" w:gutter="0"/>
          <w:pgNumType/>
          <w:docGrid w:linePitch="360"/>
        </w:sectPr>
      </w:pPr>
    </w:p>
    <w:p>
      <w:pPr>
        <w:pStyle w:val="Heading2"/>
      </w:pPr>
      <w:r>
        <w:rPr>
          <w:rFonts w:ascii="Calibri Light" w:cs="Calibri Light" w:eastAsia="Calibri Light" w:hAnsi="Calibri Light"/>
          <w:color w:val="1B3A5C"/>
          <w:sz w:val="23"/>
          <w:szCs w:val="23"/>
        </w:rPr>
        <w:t xml:space="preserve">5.3  Component responsibilities</w:t>
      </w:r>
    </w:p>
    <w:tbl>
      <w:tblPr>
        <w:tblW w:type="dxa" w:w="10080"/>
        <w:tblBorders>
          <w:top w:val="single" w:color="1B3A5C" w:sz="4"/>
          <w:left w:val="none" w:color="FFFFFF" w:sz="0"/>
          <w:bottom w:val="single" w:color="1B3A5C" w:sz="4"/>
          <w:right w:val="none" w:color="FFFFFF" w:sz="0"/>
          <w:insideH w:val="single" w:color="C7D0DA" w:sz="2"/>
          <w:insideV w:val="single" w:color="C7D0DA" w:sz="2"/>
        </w:tblBorders>
      </w:tblPr>
      <w:tblGrid>
        <w:gridCol w:w="2218"/>
        <w:gridCol w:w="4637"/>
        <w:gridCol w:w="3225"/>
      </w:tblGrid>
      <w:tr>
        <w:trPr>
          <w:tblHeader/>
        </w:trPr>
        <w:tc>
          <w:tcPr>
            <w:tcW w:type="dxa" w:w="2218"/>
            <w:shd w:fill="1B3A5C"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FFFFFF"/>
                <w:sz w:val="17"/>
                <w:szCs w:val="17"/>
              </w:rPr>
              <w:t xml:space="preserve">Component</w:t>
            </w:r>
          </w:p>
        </w:tc>
        <w:tc>
          <w:tcPr>
            <w:tcW w:type="dxa" w:w="4637"/>
            <w:shd w:fill="1B3A5C"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FFFFFF"/>
                <w:sz w:val="17"/>
                <w:szCs w:val="17"/>
              </w:rPr>
              <w:t xml:space="preserve">Responsibility</w:t>
            </w:r>
          </w:p>
        </w:tc>
        <w:tc>
          <w:tcPr>
            <w:tcW w:type="dxa" w:w="3225"/>
            <w:shd w:fill="1B3A5C"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FFFFFF"/>
                <w:sz w:val="17"/>
                <w:szCs w:val="17"/>
              </w:rPr>
              <w:t xml:space="preserve">Notable design constraint</w:t>
            </w:r>
          </w:p>
        </w:tc>
      </w:tr>
      <w:tr>
        <w:tc>
          <w:tcPr>
            <w:tcW w:type="dxa" w:w="2218"/>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Agent Edge Gateway</w:t>
            </w:r>
          </w:p>
        </w:tc>
        <w:tc>
          <w:tcPr>
            <w:tcW w:type="dxa" w:w="4637"/>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TLS and mTLS termination; DPoP or HTTP message-signature verification; JSON Schema and payload-size admission control; anomaly and injection screening; quota, concurrency and egress metering.</w:t>
            </w:r>
          </w:p>
        </w:tc>
        <w:tc>
          <w:tcPr>
            <w:tcW w:type="dxa" w:w="3225"/>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Request-scoped only. Holds no session state, so a compromised edge node yields no reusable authority.</w:t>
            </w:r>
          </w:p>
        </w:tc>
      </w:tr>
      <w:tr>
        <w:tc>
          <w:tcPr>
            <w:tcW w:type="dxa" w:w="2218"/>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Agent Identity Registry</w:t>
            </w:r>
          </w:p>
        </w:tc>
        <w:tc>
          <w:tcPr>
            <w:tcW w:type="dxa" w:w="4637"/>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Registration of each agent as a distinct principal; public-key binding; attestation metadata; allow-listing; independent per-agent revocation and behavioural baselines.</w:t>
            </w:r>
          </w:p>
        </w:tc>
        <w:tc>
          <w:tcPr>
            <w:tcW w:type="dxa" w:w="3225"/>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An agent is never a synonym for its user. Revoking an agent must not revoke the human’s own access.</w:t>
            </w:r>
          </w:p>
        </w:tc>
      </w:tr>
      <w:tr>
        <w:tc>
          <w:tcPr>
            <w:tcW w:type="dxa" w:w="2218"/>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Capability Manifest Service</w:t>
            </w:r>
          </w:p>
        </w:tc>
        <w:tc>
          <w:tcPr>
            <w:tcW w:type="dxa" w:w="4637"/>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Serves the signed, versioned manifest: the three verbs, the authorisation server metadata, limits and control notes.</w:t>
            </w:r>
          </w:p>
        </w:tc>
        <w:tc>
          <w:tcPr>
            <w:tcW w:type="dxa" w:w="3225"/>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Hard byte ceiling (2 KB target). Signed so an agent can detect a substituted manifest.</w:t>
            </w:r>
          </w:p>
        </w:tc>
      </w:tr>
      <w:tr>
        <w:tc>
          <w:tcPr>
            <w:tcW w:type="dxa" w:w="2218"/>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Semantic Capability Catalog</w:t>
            </w:r>
          </w:p>
        </w:tc>
        <w:tc>
          <w:tcPr>
            <w:tcW w:type="dxa" w:w="4637"/>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Hybrid lexical and vector search over capability and data-product descriptors; returns identifiers, argument grammars and control notes.</w:t>
            </w:r>
          </w:p>
        </w:tc>
        <w:tc>
          <w:tcPr>
            <w:tcW w:type="dxa" w:w="3225"/>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Returns no URLs and no internal identifiers. Result size capped; results are ranked, not exhaustive.</w:t>
            </w:r>
          </w:p>
        </w:tc>
      </w:tr>
      <w:tr>
        <w:tc>
          <w:tcPr>
            <w:tcW w:type="dxa" w:w="2218"/>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Data Product Service</w:t>
            </w:r>
          </w:p>
        </w:tc>
        <w:tc>
          <w:tcPr>
            <w:tcW w:type="dxa" w:w="4637"/>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Executes parameterised queries against named, versioned projections; enforces row caps; assembles results from internal reads.</w:t>
            </w:r>
          </w:p>
        </w:tc>
        <w:tc>
          <w:tcPr>
            <w:tcW w:type="dxa" w:w="3225"/>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No query language is accepted. Field lists are closed enumerations declared in the product contract.</w:t>
            </w:r>
          </w:p>
        </w:tc>
      </w:tr>
      <w:tr>
        <w:tc>
          <w:tcPr>
            <w:tcW w:type="dxa" w:w="2218"/>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Policy Decision Point</w:t>
            </w:r>
          </w:p>
        </w:tc>
        <w:tc>
          <w:tcPr>
            <w:tcW w:type="dxa" w:w="4637"/>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Evaluates subject, actor, purpose, field set and row scope; relationship-based authorisation anchored on the authenticated human, never on the agent alone.</w:t>
            </w:r>
          </w:p>
        </w:tc>
        <w:tc>
          <w:tcPr>
            <w:tcW w:type="dxa" w:w="3225"/>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Deny by default. A decision is required per request; results are not cached across purposes.</w:t>
            </w:r>
          </w:p>
        </w:tc>
      </w:tr>
      <w:tr>
        <w:tc>
          <w:tcPr>
            <w:tcW w:type="dxa" w:w="2218"/>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Shaping &amp; Egress Control</w:t>
            </w:r>
          </w:p>
        </w:tc>
        <w:tc>
          <w:tcPr>
            <w:tcW w:type="dxa" w:w="4637"/>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Redaction, tokenisation of identifiers, aggregation floors, per-purpose egress budgets and anti-enumeration heuristics.</w:t>
            </w:r>
          </w:p>
        </w:tc>
        <w:tc>
          <w:tcPr>
            <w:tcW w:type="dxa" w:w="3225"/>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Budgets are enforced at the boundary, not advisory. Exhaustion returns 429 with a reset time.</w:t>
            </w:r>
          </w:p>
        </w:tc>
      </w:tr>
      <w:tr>
        <w:tc>
          <w:tcPr>
            <w:tcW w:type="dxa" w:w="2218"/>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Intent Service</w:t>
            </w:r>
          </w:p>
        </w:tc>
        <w:tc>
          <w:tcPr>
            <w:tcW w:type="dxa" w:w="4637"/>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Accepts intent drafts; canonicalises and hashes them; orchestrates validation, simulation and approval; owns the intent state machine.</w:t>
            </w:r>
          </w:p>
        </w:tc>
        <w:tc>
          <w:tcPr>
            <w:tcW w:type="dxa" w:w="3225"/>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Intents are immutable once hashed. A change produces a new intent, never a mutation.</w:t>
            </w:r>
          </w:p>
        </w:tc>
      </w:tr>
      <w:tr>
        <w:tc>
          <w:tcPr>
            <w:tcW w:type="dxa" w:w="2218"/>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Deterministic Policy &amp; Pre-Trade Risk</w:t>
            </w:r>
          </w:p>
        </w:tc>
        <w:tc>
          <w:tcPr>
            <w:tcW w:type="dxa" w:w="4637"/>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Applies the full control set: buying power, SEA 15c3-5 limits, restricted and watch lists, day-trading rules, options level, suitability, wash-sale and duplicate-order detection.</w:t>
            </w:r>
          </w:p>
        </w:tc>
        <w:tc>
          <w:tcPr>
            <w:tcW w:type="dxa" w:w="3225"/>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Pure and versioned: same inputs, same decision, replayable for supervision. No model output as input.</w:t>
            </w:r>
          </w:p>
        </w:tc>
      </w:tr>
      <w:tr>
        <w:tc>
          <w:tcPr>
            <w:tcW w:type="dxa" w:w="2218"/>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Mandate Service</w:t>
            </w:r>
          </w:p>
        </w:tc>
        <w:tc>
          <w:tcPr>
            <w:tcW w:type="dxa" w:w="4637"/>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Issues, verifies, stores and revokes mandates; binds them to the intent hash, the agent key and a TTL; maintains the revocation list.</w:t>
            </w:r>
          </w:p>
        </w:tc>
        <w:tc>
          <w:tcPr>
            <w:tcW w:type="dxa" w:w="3225"/>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Signing keys in an HSM. Verification repeats at the execution boundary, not only at issuance.</w:t>
            </w:r>
          </w:p>
        </w:tc>
      </w:tr>
      <w:tr>
        <w:tc>
          <w:tcPr>
            <w:tcW w:type="dxa" w:w="2218"/>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Approval Orchestrator</w:t>
            </w:r>
          </w:p>
        </w:tc>
        <w:tc>
          <w:tcPr>
            <w:tcW w:type="dxa" w:w="4637"/>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Runs the out-of-band approval flow, selects the approval tier from risk, renders the human-readable summary and manages timeouts.</w:t>
            </w:r>
          </w:p>
        </w:tc>
        <w:tc>
          <w:tcPr>
            <w:tcW w:type="dxa" w:w="3225"/>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The binding message shown to the human must be derived from the same canonical form that was hashed.</w:t>
            </w:r>
          </w:p>
        </w:tc>
      </w:tr>
      <w:tr>
        <w:tc>
          <w:tcPr>
            <w:tcW w:type="dxa" w:w="2218"/>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Execution Orchestrator</w:t>
            </w:r>
          </w:p>
        </w:tc>
        <w:tc>
          <w:tcPr>
            <w:tcW w:type="dxa" w:w="4637"/>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Executes approved intents as idempotent sagas against internal capabilities; owns compensations, retries, circuit breakers and the kill switch.</w:t>
            </w:r>
          </w:p>
        </w:tc>
        <w:tc>
          <w:tcPr>
            <w:tcW w:type="dxa" w:w="3225"/>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Idempotency key is the intent hash. A replayed execution returns the original receipt, never a second order.</w:t>
            </w:r>
          </w:p>
        </w:tc>
      </w:tr>
      <w:tr>
        <w:tc>
          <w:tcPr>
            <w:tcW w:type="dxa" w:w="2218"/>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Receipt &amp; Evidence Builder</w:t>
            </w:r>
          </w:p>
        </w:tc>
        <w:tc>
          <w:tcPr>
            <w:tcW w:type="dxa" w:w="4637"/>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Produces the signed receipt, appends to the hash-chained ledger, emits surveillance and reporting events.</w:t>
            </w:r>
          </w:p>
        </w:tc>
        <w:tc>
          <w:tcPr>
            <w:tcW w:type="dxa" w:w="3225"/>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The receipt is generated before the API response is returned; if the ledger write fails, the response is 202 with a pending evidence reference and an alert.</w:t>
            </w:r>
          </w:p>
        </w:tc>
      </w:tr>
    </w:tbl>
    <w:p>
      <w:pPr>
        <w:pStyle w:val="Heading2"/>
      </w:pPr>
      <w:r>
        <w:rPr>
          <w:rFonts w:ascii="Calibri Light" w:cs="Calibri Light" w:eastAsia="Calibri Light" w:hAnsi="Calibri Light"/>
          <w:color w:val="1B3A5C"/>
          <w:sz w:val="23"/>
          <w:szCs w:val="23"/>
        </w:rPr>
        <w:t xml:space="preserve">5.4  Trust zones and boundary rules</w:t>
      </w:r>
    </w:p>
    <w:tbl>
      <w:tblPr>
        <w:tblW w:type="dxa" w:w="10080"/>
        <w:tblBorders>
          <w:top w:val="single" w:color="1B3A5C" w:sz="4"/>
          <w:left w:val="none" w:color="FFFFFF" w:sz="0"/>
          <w:bottom w:val="single" w:color="1B3A5C" w:sz="4"/>
          <w:right w:val="none" w:color="FFFFFF" w:sz="0"/>
          <w:insideH w:val="single" w:color="C7D0DA" w:sz="2"/>
          <w:insideV w:val="single" w:color="C7D0DA" w:sz="2"/>
        </w:tblBorders>
      </w:tblPr>
      <w:tblGrid>
        <w:gridCol w:w="1613"/>
        <w:gridCol w:w="3427"/>
        <w:gridCol w:w="5040"/>
      </w:tblGrid>
      <w:tr>
        <w:trPr>
          <w:tblHeader/>
        </w:trPr>
        <w:tc>
          <w:tcPr>
            <w:tcW w:type="dxa" w:w="1613"/>
            <w:shd w:fill="1B3A5C"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FFFFFF"/>
                <w:sz w:val="17"/>
                <w:szCs w:val="17"/>
              </w:rPr>
              <w:t xml:space="preserve">Zone</w:t>
            </w:r>
          </w:p>
        </w:tc>
        <w:tc>
          <w:tcPr>
            <w:tcW w:type="dxa" w:w="3427"/>
            <w:shd w:fill="1B3A5C"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FFFFFF"/>
                <w:sz w:val="17"/>
                <w:szCs w:val="17"/>
              </w:rPr>
              <w:t xml:space="preserve">Contents</w:t>
            </w:r>
          </w:p>
        </w:tc>
        <w:tc>
          <w:tcPr>
            <w:tcW w:type="dxa" w:w="5040"/>
            <w:shd w:fill="1B3A5C"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FFFFFF"/>
                <w:sz w:val="17"/>
                <w:szCs w:val="17"/>
              </w:rPr>
              <w:t xml:space="preserve">Rules enforced at its boundary</w:t>
            </w:r>
          </w:p>
        </w:tc>
      </w:tr>
      <w:tr>
        <w:tc>
          <w:tcPr>
            <w:tcW w:type="dxa" w:w="1613"/>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Zone 0 — customer</w:t>
            </w:r>
          </w:p>
        </w:tc>
        <w:tc>
          <w:tcPr>
            <w:tcW w:type="dxa" w:w="3427"/>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The customer’s agent runtime, its model provider, and the customer’s approval device.</w:t>
            </w:r>
          </w:p>
        </w:tc>
        <w:tc>
          <w:tcPr>
            <w:tcW w:type="dxa" w:w="5040"/>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Assumed hostile-capable. No secrets, no policy logic, no control. All input treated as untrusted data, including anything the agent claims the user said.</w:t>
            </w:r>
          </w:p>
        </w:tc>
      </w:tr>
      <w:tr>
        <w:tc>
          <w:tcPr>
            <w:tcW w:type="dxa" w:w="1613"/>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Zone 1 — public edge</w:t>
            </w:r>
          </w:p>
        </w:tc>
        <w:tc>
          <w:tcPr>
            <w:tcW w:type="dxa" w:w="3427"/>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Agent Edge Gateway, Identity Registry, admission control, metering.</w:t>
            </w:r>
          </w:p>
        </w:tc>
        <w:tc>
          <w:tcPr>
            <w:tcW w:type="dxa" w:w="5040"/>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Authenticates the (human, agent) pair with a sender-constrained token. Rejects anything that fails schema, size, rate or attribution checks. Passes no traffic it cannot attribute.</w:t>
            </w:r>
          </w:p>
        </w:tc>
      </w:tr>
      <w:tr>
        <w:tc>
          <w:tcPr>
            <w:tcW w:type="dxa" w:w="1613"/>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Zone 2 — exchange</w:t>
            </w:r>
          </w:p>
        </w:tc>
        <w:tc>
          <w:tcPr>
            <w:tcW w:type="dxa" w:w="3427"/>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Discovery, data and intent planes; policy; mandates; execution; evidence.</w:t>
            </w:r>
          </w:p>
        </w:tc>
        <w:tc>
          <w:tcPr>
            <w:tcW w:type="dxa" w:w="5040"/>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The only zone permitted to originate calls into Zone 3. Runs on workload identity (SPIFFE/mTLS). Holds no customer-supplied code.</w:t>
            </w:r>
          </w:p>
        </w:tc>
      </w:tr>
      <w:tr>
        <w:tc>
          <w:tcPr>
            <w:tcW w:type="dxa" w:w="1613"/>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Zone 3 — internal</w:t>
            </w:r>
          </w:p>
        </w:tc>
        <w:tc>
          <w:tcPr>
            <w:tcW w:type="dxa" w:w="3427"/>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OMS, positions and balances, market and reference data, risk, compliance, books and records, clearing.</w:t>
            </w:r>
          </w:p>
        </w:tc>
        <w:tc>
          <w:tcPr>
            <w:tcW w:type="dxa" w:w="5040"/>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Accepts calls only from named Zone 2 workloads on non-routable paths. Applies its own independent pre-trade gate — defence in depth, not delegated trust.</w:t>
            </w:r>
          </w:p>
        </w:tc>
      </w:tr>
    </w:tbl>
    <w:tbl>
      <w:tblPr>
        <w:tblW w:type="dxa" w:w="10080"/>
        <w:tblBorders>
          <w:top w:val="single" w:color="3F7D5C" w:sz="2"/>
          <w:left w:val="single" w:color="3F7D5C" w:sz="14"/>
          <w:bottom w:val="single" w:color="3F7D5C" w:sz="2"/>
          <w:right w:val="single" w:color="3F7D5C" w:sz="2"/>
          <w:insideH w:val="none" w:color="EBF3EE" w:sz="0"/>
          <w:insideV w:val="none" w:color="EBF3EE" w:sz="0"/>
        </w:tblBorders>
      </w:tblPr>
      <w:tblGrid>
        <w:gridCol w:w="10080"/>
      </w:tblGrid>
      <w:tr>
        <w:tc>
          <w:tcPr>
            <w:tcW w:type="dxa" w:w="10080"/>
            <w:shd w:fill="EBF3EE" w:color="auto" w:val="clear"/>
            <w:tcMar>
              <w:top w:type="dxa" w:w="120"/>
              <w:left w:type="dxa" w:w="160"/>
              <w:bottom w:type="dxa" w:w="120"/>
              <w:right w:type="dxa" w:w="160"/>
            </w:tcMar>
          </w:tcPr>
          <w:p>
            <w:pPr>
              <w:keepNext/>
              <w:spacing w:after="60" w:before="20"/>
            </w:pPr>
            <w:r>
              <w:rPr>
                <w:rFonts w:ascii="Calibri" w:cs="Calibri" w:eastAsia="Calibri" w:hAnsi="Calibri"/>
                <w:color w:val="3F7D5C"/>
                <w:sz w:val="18"/>
                <w:szCs w:val="18"/>
              </w:rPr>
              <w:t xml:space="preserve">Segregated agentic account — the highest-value single control</w:t>
            </w:r>
          </w:p>
          <w:p>
            <w:pPr>
              <w:spacing w:after="80" w:before="0" w:line="254"/>
              <w:jc w:val="both"/>
            </w:pPr>
            <w:r>
              <w:rPr>
                <w:rFonts w:ascii="Calibri" w:cs="Calibri" w:eastAsia="Calibri" w:hAnsi="Calibri"/>
                <w:color w:val="22303C"/>
                <w:sz w:val="18"/>
                <w:szCs w:val="18"/>
              </w:rPr>
              <w:t xml:space="preserve">Write authority is confined to a dedicated agentic account, funded deliberately by the customer, holding only the assets the customer is willing to place under agentic management. Read scope may extend further, but with field-level minimisation rather than whole-account disclosure.</w:t>
            </w:r>
          </w:p>
          <w:p>
            <w:pPr>
              <w:spacing w:after="30" w:before="0" w:line="254"/>
              <w:jc w:val="both"/>
            </w:pPr>
            <w:r>
              <w:rPr>
                <w:rFonts w:ascii="Calibri" w:cs="Calibri" w:eastAsia="Calibri" w:hAnsi="Calibri"/>
                <w:color w:val="22303C"/>
                <w:sz w:val="18"/>
                <w:szCs w:val="18"/>
              </w:rPr>
              <w:t xml:space="preserve">This is the control that turns a catastrophic failure into a bounded one, and it costs almost nothing to implement compared with everything else in this document. Cap the account’s balance, cap daily notional, forbid transfers in from other accounts by agentic intent, and forbid withdrawals entirely on the agentic path.</w:t>
            </w:r>
          </w:p>
        </w:tc>
      </w:tr>
    </w:tbl>
    <w:p>
      <w:pPr>
        <w:pStyle w:val="Heading2"/>
      </w:pPr>
      <w:r>
        <w:rPr>
          <w:rFonts w:ascii="Calibri Light" w:cs="Calibri Light" w:eastAsia="Calibri Light" w:hAnsi="Calibri Light"/>
          <w:color w:val="1B3A5C"/>
          <w:sz w:val="23"/>
          <w:szCs w:val="23"/>
        </w:rPr>
        <w:t xml:space="preserve">5.5  Identity, delegation and authorisation</w:t>
      </w:r>
    </w:p>
    <w:p>
      <w:pPr>
        <w:pStyle w:val="Heading3"/>
      </w:pPr>
      <w:r>
        <w:rPr>
          <w:rFonts w:ascii="Calibri" w:cs="Calibri" w:eastAsia="Calibri" w:hAnsi="Calibri"/>
          <w:color w:val="42566B"/>
          <w:sz w:val="20"/>
          <w:szCs w:val="20"/>
        </w:rPr>
        <w:t xml:space="preserve">5.5.1  Three principals, never conflated</w:t>
      </w:r>
    </w:p>
    <w:tbl>
      <w:tblPr>
        <w:tblW w:type="dxa" w:w="10080"/>
        <w:tblBorders>
          <w:top w:val="single" w:color="1B3A5C" w:sz="4"/>
          <w:left w:val="none" w:color="FFFFFF" w:sz="0"/>
          <w:bottom w:val="single" w:color="1B3A5C" w:sz="4"/>
          <w:right w:val="none" w:color="FFFFFF" w:sz="0"/>
          <w:insideH w:val="single" w:color="C7D0DA" w:sz="2"/>
          <w:insideV w:val="single" w:color="C7D0DA" w:sz="2"/>
        </w:tblBorders>
      </w:tblPr>
      <w:tblGrid>
        <w:gridCol w:w="1613"/>
        <w:gridCol w:w="5443"/>
        <w:gridCol w:w="3024"/>
      </w:tblGrid>
      <w:tr>
        <w:trPr>
          <w:tblHeader/>
        </w:trPr>
        <w:tc>
          <w:tcPr>
            <w:tcW w:type="dxa" w:w="1613"/>
            <w:shd w:fill="1B3A5C"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FFFFFF"/>
                <w:sz w:val="17"/>
                <w:szCs w:val="17"/>
              </w:rPr>
              <w:t xml:space="preserve">Principal</w:t>
            </w:r>
          </w:p>
        </w:tc>
        <w:tc>
          <w:tcPr>
            <w:tcW w:type="dxa" w:w="5443"/>
            <w:shd w:fill="1B3A5C"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FFFFFF"/>
                <w:sz w:val="17"/>
                <w:szCs w:val="17"/>
              </w:rPr>
              <w:t xml:space="preserve">Identity</w:t>
            </w:r>
          </w:p>
        </w:tc>
        <w:tc>
          <w:tcPr>
            <w:tcW w:type="dxa" w:w="3024"/>
            <w:shd w:fill="1B3A5C"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FFFFFF"/>
                <w:sz w:val="17"/>
                <w:szCs w:val="17"/>
              </w:rPr>
              <w:t xml:space="preserve">Represented as</w:t>
            </w:r>
          </w:p>
        </w:tc>
      </w:tr>
      <w:tr>
        <w:tc>
          <w:tcPr>
            <w:tcW w:type="dxa" w:w="1613"/>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The human</w:t>
            </w:r>
          </w:p>
        </w:tc>
        <w:tc>
          <w:tcPr>
            <w:tcW w:type="dxa" w:w="5443"/>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Customer identity at the authorisation server; the only principal that can grant authority.</w:t>
            </w:r>
          </w:p>
        </w:tc>
        <w:tc>
          <w:tcPr>
            <w:tcW w:type="dxa" w:w="3024"/>
            <w:tcMar>
              <w:top w:type="dxa" w:w="60"/>
              <w:left w:type="dxa" w:w="100"/>
              <w:bottom w:type="dxa" w:w="60"/>
              <w:right w:type="dxa" w:w="100"/>
            </w:tcMar>
            <w:vAlign w:val="top"/>
          </w:tcPr>
          <w:p>
            <w:pPr>
              <w:spacing w:after="40" w:before="40" w:line="240"/>
              <w:jc w:val="left"/>
            </w:pPr>
            <w:r>
              <w:rPr>
                <w:rFonts w:ascii="Consolas" w:cs="Consolas" w:eastAsia="Consolas" w:hAnsi="Consolas"/>
                <w:color w:val="12293F"/>
                <w:sz w:val="14"/>
                <w:szCs w:val="14"/>
              </w:rPr>
              <w:t xml:space="preserve">sub</w:t>
            </w:r>
            <w:r>
              <w:rPr>
                <w:rFonts w:ascii="Calibri" w:cs="Calibri" w:eastAsia="Calibri" w:hAnsi="Calibri"/>
                <w:color w:val="22303C"/>
                <w:sz w:val="17"/>
                <w:szCs w:val="17"/>
              </w:rPr>
              <w:t xml:space="preserve"> claim; passkey / AAL2 authentication events</w:t>
            </w:r>
          </w:p>
        </w:tc>
      </w:tr>
      <w:tr>
        <w:tc>
          <w:tcPr>
            <w:tcW w:type="dxa" w:w="1613"/>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The agent</w:t>
            </w:r>
          </w:p>
        </w:tc>
        <w:tc>
          <w:tcPr>
            <w:tcW w:type="dxa" w:w="5443"/>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A registered non-human principal with its own client ID, key pair, attestation metadata and revocation state.</w:t>
            </w:r>
          </w:p>
        </w:tc>
        <w:tc>
          <w:tcPr>
            <w:tcW w:type="dxa" w:w="3024"/>
            <w:shd w:fill="F4F7FA" w:color="auto" w:val="clear"/>
            <w:tcMar>
              <w:top w:type="dxa" w:w="60"/>
              <w:left w:type="dxa" w:w="100"/>
              <w:bottom w:type="dxa" w:w="60"/>
              <w:right w:type="dxa" w:w="100"/>
            </w:tcMar>
            <w:vAlign w:val="top"/>
          </w:tcPr>
          <w:p>
            <w:pPr>
              <w:spacing w:after="40" w:before="40" w:line="240"/>
              <w:jc w:val="left"/>
            </w:pPr>
            <w:r>
              <w:rPr>
                <w:rFonts w:ascii="Consolas" w:cs="Consolas" w:eastAsia="Consolas" w:hAnsi="Consolas"/>
                <w:color w:val="12293F"/>
                <w:sz w:val="14"/>
                <w:szCs w:val="14"/>
              </w:rPr>
              <w:t xml:space="preserve">act.sub</w:t>
            </w:r>
            <w:r>
              <w:rPr>
                <w:rFonts w:ascii="Calibri" w:cs="Calibri" w:eastAsia="Calibri" w:hAnsi="Calibri"/>
                <w:color w:val="22303C"/>
                <w:sz w:val="17"/>
                <w:szCs w:val="17"/>
              </w:rPr>
              <w:t xml:space="preserve"> claim (RFC 8693 actor); </w:t>
            </w:r>
            <w:r>
              <w:rPr>
                <w:rFonts w:ascii="Consolas" w:cs="Consolas" w:eastAsia="Consolas" w:hAnsi="Consolas"/>
                <w:color w:val="12293F"/>
                <w:sz w:val="14"/>
                <w:szCs w:val="14"/>
              </w:rPr>
              <w:t xml:space="preserve">cnf.jkt</w:t>
            </w:r>
            <w:r>
              <w:rPr>
                <w:rFonts w:ascii="Calibri" w:cs="Calibri" w:eastAsia="Calibri" w:hAnsi="Calibri"/>
                <w:color w:val="22303C"/>
                <w:sz w:val="17"/>
                <w:szCs w:val="17"/>
              </w:rPr>
              <w:t xml:space="preserve"> key thumbprint</w:t>
            </w:r>
          </w:p>
        </w:tc>
      </w:tr>
      <w:tr>
        <w:tc>
          <w:tcPr>
            <w:tcW w:type="dxa" w:w="1613"/>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The workload</w:t>
            </w:r>
          </w:p>
        </w:tc>
        <w:tc>
          <w:tcPr>
            <w:tcW w:type="dxa" w:w="5443"/>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An internal ACE service calling a Zone 3 capability.</w:t>
            </w:r>
          </w:p>
        </w:tc>
        <w:tc>
          <w:tcPr>
            <w:tcW w:type="dxa" w:w="3024"/>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SPIFFE ID over mTLS; never a customer or agent token</w:t>
            </w:r>
          </w:p>
        </w:tc>
      </w:tr>
    </w:tbl>
    <w:p>
      <w:pPr>
        <w:keepNext w:val="false"/>
        <w:spacing w:after="130" w:before="0" w:line="268"/>
        <w:jc w:val="both"/>
      </w:pPr>
      <w:r>
        <w:rPr>
          <w:rFonts w:ascii="Calibri" w:cs="Calibri" w:eastAsia="Calibri" w:hAnsi="Calibri"/>
          <w:color w:val="22303C"/>
          <w:sz w:val="20"/>
          <w:szCs w:val="20"/>
        </w:rPr>
        <w:t xml:space="preserve">Every authorisation decision evaluates the triple </w:t>
      </w:r>
      <w:r>
        <w:rPr>
          <w:rFonts w:ascii="Consolas" w:cs="Consolas" w:eastAsia="Consolas" w:hAnsi="Consolas"/>
          <w:color w:val="12293F"/>
          <w:sz w:val="17"/>
          <w:szCs w:val="17"/>
        </w:rPr>
        <w:t xml:space="preserve">(human, agent, context)</w:t>
      </w:r>
      <w:r>
        <w:rPr>
          <w:rFonts w:ascii="Calibri" w:cs="Calibri" w:eastAsia="Calibri" w:hAnsi="Calibri"/>
          <w:color w:val="22303C"/>
          <w:sz w:val="20"/>
          <w:szCs w:val="20"/>
        </w:rPr>
        <w:t xml:space="preserve">. A decision that inspects only the agent is a confused-deputy defect (S-4); a decision that inspects only the human loses agent-level revocation and behavioural control (REG-2).</w:t>
      </w:r>
    </w:p>
    <w:p>
      <w:pPr>
        <w:pStyle w:val="Heading3"/>
      </w:pPr>
      <w:r>
        <w:rPr>
          <w:rFonts w:ascii="Calibri" w:cs="Calibri" w:eastAsia="Calibri" w:hAnsi="Calibri"/>
          <w:color w:val="42566B"/>
          <w:sz w:val="20"/>
          <w:szCs w:val="20"/>
        </w:rPr>
        <w:t xml:space="preserve">5.5.2  Registration and key binding</w:t>
      </w:r>
    </w:p>
    <w:p>
      <w:pPr>
        <w:pStyle w:val="ListParagraph"/>
        <w:numPr>
          <w:ilvl w:val="0"/>
          <w:numId w:val="28"/>
        </w:numPr>
        <w:spacing w:after="66" w:before="24" w:line="262"/>
        <w:jc w:val="both"/>
      </w:pPr>
      <w:r>
        <w:rPr>
          <w:rFonts w:ascii="Calibri" w:cs="Calibri" w:eastAsia="Calibri" w:hAnsi="Calibri"/>
          <w:color w:val="22303C"/>
          <w:sz w:val="20"/>
          <w:szCs w:val="20"/>
        </w:rPr>
        <w:t xml:space="preserve">The customer authenticates in the provider’s own application — not through the agent — and creates an agent registration, naming it and choosing its envelope.</w:t>
      </w:r>
    </w:p>
    <w:p>
      <w:pPr>
        <w:pStyle w:val="ListParagraph"/>
        <w:numPr>
          <w:ilvl w:val="0"/>
          <w:numId w:val="28"/>
        </w:numPr>
        <w:spacing w:after="66" w:before="24" w:line="262"/>
        <w:jc w:val="both"/>
      </w:pPr>
      <w:r>
        <w:rPr>
          <w:rFonts w:ascii="Calibri" w:cs="Calibri" w:eastAsia="Calibri" w:hAnsi="Calibri"/>
          <w:color w:val="22303C"/>
          <w:sz w:val="20"/>
          <w:szCs w:val="20"/>
        </w:rPr>
        <w:t xml:space="preserve">The agent runtime generates a key pair and presents the public key; the registry binds it to the client ID. Tokens are thereafter sender-constrained to that key (DPoP, RFC 9449) or to a client certificate (mTLS). A stolen bearer token is useless without the private key.</w:t>
      </w:r>
    </w:p>
    <w:p>
      <w:pPr>
        <w:pStyle w:val="ListParagraph"/>
        <w:numPr>
          <w:ilvl w:val="0"/>
          <w:numId w:val="28"/>
        </w:numPr>
        <w:spacing w:after="66" w:before="24" w:line="262"/>
        <w:jc w:val="both"/>
      </w:pPr>
      <w:r>
        <w:rPr>
          <w:rFonts w:ascii="Calibri" w:cs="Calibri" w:eastAsia="Calibri" w:hAnsi="Calibri"/>
          <w:color w:val="22303C"/>
          <w:sz w:val="20"/>
          <w:szCs w:val="20"/>
        </w:rPr>
        <w:t xml:space="preserve">The customer completes agentic-account onboarding, including the risk disclosures that a segregated account requires, and sets caps: per-order notional, per-day notional, instrument classes, permitted intent types.</w:t>
      </w:r>
    </w:p>
    <w:p>
      <w:pPr>
        <w:pStyle w:val="ListParagraph"/>
        <w:numPr>
          <w:ilvl w:val="0"/>
          <w:numId w:val="28"/>
        </w:numPr>
        <w:spacing w:after="66" w:before="24" w:line="262"/>
        <w:jc w:val="both"/>
      </w:pPr>
      <w:r>
        <w:rPr>
          <w:rFonts w:ascii="Calibri" w:cs="Calibri" w:eastAsia="Calibri" w:hAnsi="Calibri"/>
          <w:color w:val="22303C"/>
          <w:sz w:val="20"/>
          <w:szCs w:val="20"/>
        </w:rPr>
        <w:t xml:space="preserve">The registry records the runtime and model identifiers the agent asserts. These are </w:t>
      </w:r>
      <w:r>
        <w:rPr>
          <w:rFonts w:ascii="Calibri" w:cs="Calibri" w:eastAsia="Calibri" w:hAnsi="Calibri"/>
          <w:b/>
          <w:bCs/>
          <w:color w:val="22303C"/>
          <w:sz w:val="20"/>
          <w:szCs w:val="20"/>
        </w:rPr>
        <w:t xml:space="preserve">treated as telemetry, not as security claims</w:t>
      </w:r>
      <w:r>
        <w:rPr>
          <w:rFonts w:ascii="Calibri" w:cs="Calibri" w:eastAsia="Calibri" w:hAnsi="Calibri"/>
          <w:color w:val="22303C"/>
          <w:sz w:val="20"/>
          <w:szCs w:val="20"/>
        </w:rPr>
        <w:t xml:space="preserve"> — a remote runtime cannot be meaningfully attested, and pretending otherwise is a design error.</w:t>
      </w:r>
    </w:p>
    <w:p>
      <w:pPr>
        <w:pStyle w:val="Heading3"/>
      </w:pPr>
      <w:r>
        <w:rPr>
          <w:rFonts w:ascii="Calibri" w:cs="Calibri" w:eastAsia="Calibri" w:hAnsi="Calibri"/>
          <w:color w:val="42566B"/>
          <w:sz w:val="20"/>
          <w:szCs w:val="20"/>
        </w:rPr>
        <w:t xml:space="preserve">5.5.3  The grant envelope: RFC 9396 authorisation details</w:t>
      </w:r>
    </w:p>
    <w:p>
      <w:pPr>
        <w:keepNext w:val="false"/>
        <w:spacing w:after="130" w:before="0" w:line="268"/>
        <w:jc w:val="both"/>
      </w:pPr>
      <w:r>
        <w:rPr>
          <w:rFonts w:ascii="Calibri" w:cs="Calibri" w:eastAsia="Calibri" w:hAnsi="Calibri"/>
          <w:color w:val="22303C"/>
          <w:sz w:val="20"/>
          <w:szCs w:val="20"/>
        </w:rPr>
        <w:t xml:space="preserve">Scopes are too coarse to express “read this account’s positions, propose equity orders up to $5,000 a day, never transfer funds.” Rich Authorization Requests carry structured authorisation details that the customer approves once and that every later decision is evaluated against.</w:t>
      </w:r>
    </w:p>
    <w:p>
      <w:pPr>
        <w:keepLines/>
        <w:pBdr>
          <w:top w:val="single" w:color="C7D0DA" w:sz="2" w:space="2"/>
          <w:left w:val="single" w:color="1E7B96" w:sz="12" w:space="6"/>
        </w:pBdr>
        <w:shd w:fill="F3F5F8" w:color="auto" w:val="clear"/>
        <w:spacing w:after="0" w:before="90" w:line="208"/>
        <w:ind w:left="130" w:right="90"/>
        <w:jc w:val="left"/>
      </w:pPr>
      <w:r>
        <w:rPr>
          <w:rFonts w:ascii="Consolas" w:cs="Consolas" w:eastAsia="Consolas" w:hAnsi="Consolas"/>
          <w:color w:val="12293F"/>
          <w:sz w:val="15"/>
          <w:szCs w:val="15"/>
        </w:rPr>
        <w:t xml:space="preserve">POST /oauth2/par  (pushed authorisation request, RFC 9126)</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  client_id=agt_2f19&amp;code_challenge=...&amp;code_challenge_method=S256</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  &amp;authorization_details=[</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    { "type": "brokerage_read",</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      "data_products": ["portfolio.snapshot.v2", "market.quote.v1", "orders.history.v1"],</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      "accounts": ["acct_tok_7Q4F"],</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      "purposes": ["portfolio_review", "trade_preparation"],</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      "fields_profile": "minimal" },</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    { "type": "brokerage_intent",</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      "intent_types": ["equity.order.v1", "equity.order.cancel.v1"],</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      "accounts": ["acct_tok_7Q4F"],                 // agentic account only</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      "instrument_classes": ["US_EQUITY"],            // no options, no crypto, no futures</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      "limits": { "per_order_notional":  { "currency": "USD", "amount":  5000.00 },</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                  "per_day_notional":    { "currency": "USD", "amount": 10000.00 },</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                  "per_day_intent_count": 20 },</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      "approval": { "default_tier": "explicit_signature",</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                    "auto_below": { "currency": "USD", "amount": 250.00 } },</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      "excluded_actions": ["funds.transfer", "funds.withdraw", "account.settings.update",</w:t>
      </w:r>
    </w:p>
    <w:p>
      <w:pPr>
        <w:keepLines/>
        <w:pBdr>
          <w:bottom w:val="single" w:color="C7D0DA" w:sz="2" w:space="2"/>
          <w:left w:val="single" w:color="1E7B96" w:sz="12" w:space="6"/>
        </w:pBdr>
        <w:shd w:fill="F3F5F8" w:color="auto" w:val="clear"/>
        <w:spacing w:after="150" w:before="0" w:line="208"/>
        <w:ind w:left="130" w:right="90"/>
        <w:jc w:val="left"/>
      </w:pPr>
      <w:r>
        <w:rPr>
          <w:rFonts w:ascii="Consolas" w:cs="Consolas" w:eastAsia="Consolas" w:hAnsi="Consolas"/>
          <w:color w:val="12293F"/>
          <w:sz w:val="15"/>
          <w:szCs w:val="15"/>
        </w:rPr>
        <w:t xml:space="preserve">                            "margin.enable", "options.level.upgrade"] } ]</w:t>
      </w:r>
    </w:p>
    <w:p>
      <w:pPr>
        <w:keepNext w:val="false"/>
        <w:spacing w:after="130" w:before="0" w:line="268"/>
        <w:jc w:val="both"/>
      </w:pPr>
      <w:r>
        <w:rPr>
          <w:rFonts w:ascii="Calibri" w:cs="Calibri" w:eastAsia="Calibri" w:hAnsi="Calibri"/>
          <w:color w:val="22303C"/>
          <w:sz w:val="20"/>
          <w:szCs w:val="20"/>
        </w:rPr>
        <w:t xml:space="preserve">Two details carry disproportionate weight. </w:t>
      </w:r>
      <w:r>
        <w:rPr>
          <w:rFonts w:ascii="Consolas" w:cs="Consolas" w:eastAsia="Consolas" w:hAnsi="Consolas"/>
          <w:color w:val="12293F"/>
          <w:sz w:val="17"/>
          <w:szCs w:val="17"/>
        </w:rPr>
        <w:t xml:space="preserve">excluded_actions</w:t>
      </w:r>
      <w:r>
        <w:rPr>
          <w:rFonts w:ascii="Calibri" w:cs="Calibri" w:eastAsia="Calibri" w:hAnsi="Calibri"/>
          <w:color w:val="22303C"/>
          <w:sz w:val="20"/>
          <w:szCs w:val="20"/>
        </w:rPr>
        <w:t xml:space="preserve"> is an explicit deny list held at the authorisation server, so a new intent type cannot silently inherit authority from an old grant. And </w:t>
      </w:r>
      <w:r>
        <w:rPr>
          <w:rFonts w:ascii="Consolas" w:cs="Consolas" w:eastAsia="Consolas" w:hAnsi="Consolas"/>
          <w:color w:val="12293F"/>
          <w:sz w:val="17"/>
          <w:szCs w:val="17"/>
        </w:rPr>
        <w:t xml:space="preserve">auto_below</w:t>
      </w:r>
      <w:r>
        <w:rPr>
          <w:rFonts w:ascii="Calibri" w:cs="Calibri" w:eastAsia="Calibri" w:hAnsi="Calibri"/>
          <w:color w:val="22303C"/>
          <w:sz w:val="20"/>
          <w:szCs w:val="20"/>
        </w:rPr>
        <w:t xml:space="preserve"> is the only place in the system where unattended execution is authorised — a single, auditable, customer-set number rather than a behavioural mode buried in an agent’s configuration.</w:t>
      </w:r>
    </w:p>
    <w:p>
      <w:pPr>
        <w:pStyle w:val="Heading3"/>
      </w:pPr>
      <w:r>
        <w:rPr>
          <w:rFonts w:ascii="Calibri" w:cs="Calibri" w:eastAsia="Calibri" w:hAnsi="Calibri"/>
          <w:color w:val="42566B"/>
          <w:sz w:val="20"/>
          <w:szCs w:val="20"/>
        </w:rPr>
        <w:t xml:space="preserve">5.5.4  Token exchange and the actor chain</w:t>
      </w:r>
    </w:p>
    <w:p>
      <w:pPr>
        <w:keepNext w:val="false"/>
        <w:spacing w:after="130" w:before="0" w:line="268"/>
        <w:jc w:val="both"/>
      </w:pPr>
      <w:r>
        <w:rPr>
          <w:rFonts w:ascii="Calibri" w:cs="Calibri" w:eastAsia="Calibri" w:hAnsi="Calibri"/>
          <w:color w:val="22303C"/>
          <w:sz w:val="20"/>
          <w:szCs w:val="20"/>
        </w:rPr>
        <w:t xml:space="preserve">The agent’s token is never forwarded to Zone 3. At the boundary, the exchange performs an RFC 8693 token exchange to obtain a short-lived, audience-restricted transaction token carrying both the human as </w:t>
      </w:r>
      <w:r>
        <w:rPr>
          <w:rFonts w:ascii="Consolas" w:cs="Consolas" w:eastAsia="Consolas" w:hAnsi="Consolas"/>
          <w:color w:val="12293F"/>
          <w:sz w:val="17"/>
          <w:szCs w:val="17"/>
        </w:rPr>
        <w:t xml:space="preserve">sub</w:t>
      </w:r>
      <w:r>
        <w:rPr>
          <w:rFonts w:ascii="Calibri" w:cs="Calibri" w:eastAsia="Calibri" w:hAnsi="Calibri"/>
          <w:color w:val="22303C"/>
          <w:sz w:val="20"/>
          <w:szCs w:val="20"/>
        </w:rPr>
        <w:t xml:space="preserve"> and the agent as </w:t>
      </w:r>
      <w:r>
        <w:rPr>
          <w:rFonts w:ascii="Consolas" w:cs="Consolas" w:eastAsia="Consolas" w:hAnsi="Consolas"/>
          <w:color w:val="12293F"/>
          <w:sz w:val="17"/>
          <w:szCs w:val="17"/>
        </w:rPr>
        <w:t xml:space="preserve">act.sub</w:t>
      </w:r>
      <w:r>
        <w:rPr>
          <w:rFonts w:ascii="Calibri" w:cs="Calibri" w:eastAsia="Calibri" w:hAnsi="Calibri"/>
          <w:color w:val="22303C"/>
          <w:sz w:val="20"/>
          <w:szCs w:val="20"/>
        </w:rPr>
        <w:t xml:space="preserve">. Downstream services therefore see the full principal chain and can log it, without ever holding a credential that is valid anywhere else. This is the direct structural answer to the token passthrough anti-pattern (S-5).</w:t>
      </w:r>
    </w:p>
    <w:p>
      <w:pPr>
        <w:keepLines/>
        <w:pBdr>
          <w:top w:val="single" w:color="C7D0DA" w:sz="2" w:space="2"/>
          <w:left w:val="single" w:color="1E7B96" w:sz="12" w:space="6"/>
        </w:pBdr>
        <w:shd w:fill="F3F5F8" w:color="auto" w:val="clear"/>
        <w:spacing w:after="0" w:before="90" w:line="208"/>
        <w:ind w:left="130" w:right="90"/>
        <w:jc w:val="left"/>
      </w:pPr>
      <w:r>
        <w:rPr>
          <w:rFonts w:ascii="Consolas" w:cs="Consolas" w:eastAsia="Consolas" w:hAnsi="Consolas"/>
          <w:color w:val="12293F"/>
          <w:sz w:val="15"/>
          <w:szCs w:val="15"/>
        </w:rPr>
        <w:t xml:space="preserve">POST /oauth2/token</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  grant_type      = urn:ietf:params:oauth:grant-type:token-exchange</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  subject_token   = &lt;agent access token, DPoP-bound&gt;</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  actor_token     = &lt;ACE workload assertion (SPIFFE JWT-SVID)&gt;</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  audience        = urn:internal:oms</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  scope           = order.place</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  resource        = urn:acct:acct_tok_7Q4F</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 </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-&gt; 200  { "access_token": "&lt;txn token, ttl=60s, aud=urn:internal:oms&gt;",</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          "issued_token_type": "urn:ietf:params:oauth:token-type:access_token" }</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   payload: { "sub": "usr_88213", "act": { "sub": "agt_2f19" },</w:t>
      </w:r>
    </w:p>
    <w:p>
      <w:pPr>
        <w:keepLines/>
        <w:pBdr>
          <w:bottom w:val="single" w:color="C7D0DA" w:sz="2" w:space="2"/>
          <w:left w:val="single" w:color="1E7B96" w:sz="12" w:space="6"/>
        </w:pBdr>
        <w:shd w:fill="F3F5F8" w:color="auto" w:val="clear"/>
        <w:spacing w:after="150" w:before="0" w:line="208"/>
        <w:ind w:left="130" w:right="90"/>
        <w:jc w:val="left"/>
      </w:pPr>
      <w:r>
        <w:rPr>
          <w:rFonts w:ascii="Consolas" w:cs="Consolas" w:eastAsia="Consolas" w:hAnsi="Consolas"/>
          <w:color w:val="12293F"/>
          <w:sz w:val="15"/>
          <w:szCs w:val="15"/>
        </w:rPr>
        <w:t xml:space="preserve">              "mandate": "mnd_01J9WQ7", "intent": "sha256:8ad2..." }</w:t>
      </w:r>
    </w:p>
    <w:p>
      <w:pPr>
        <w:pStyle w:val="Heading3"/>
      </w:pPr>
      <w:r>
        <w:rPr>
          <w:rFonts w:ascii="Calibri" w:cs="Calibri" w:eastAsia="Calibri" w:hAnsi="Calibri"/>
          <w:color w:val="42566B"/>
          <w:sz w:val="20"/>
          <w:szCs w:val="20"/>
        </w:rPr>
        <w:t xml:space="preserve">5.5.5  Revocation and the kill switch</w:t>
      </w:r>
    </w:p>
    <w:p>
      <w:pPr>
        <w:pStyle w:val="ListParagraph"/>
        <w:numPr>
          <w:ilvl w:val="0"/>
          <w:numId w:val="29"/>
        </w:numPr>
        <w:spacing w:after="66" w:before="24" w:line="262"/>
        <w:jc w:val="both"/>
      </w:pPr>
      <w:r>
        <w:rPr>
          <w:rFonts w:ascii="Calibri" w:cs="Calibri" w:eastAsia="Calibri" w:hAnsi="Calibri"/>
          <w:b/>
          <w:bCs/>
          <w:color w:val="22303C"/>
          <w:sz w:val="20"/>
          <w:szCs w:val="20"/>
        </w:rPr>
        <w:t xml:space="preserve">Per-mandate revocation</w:t>
      </w:r>
      <w:r>
        <w:rPr>
          <w:rFonts w:ascii="Calibri" w:cs="Calibri" w:eastAsia="Calibri" w:hAnsi="Calibri"/>
          <w:color w:val="22303C"/>
          <w:sz w:val="20"/>
          <w:szCs w:val="20"/>
        </w:rPr>
        <w:t xml:space="preserve"> — a signed mandate can be revoked before its TTL expires; the revocation list is consulted at the execution boundary, closing the gap that pure cryptographic mandates leave open.</w:t>
      </w:r>
    </w:p>
    <w:p>
      <w:pPr>
        <w:pStyle w:val="ListParagraph"/>
        <w:numPr>
          <w:ilvl w:val="0"/>
          <w:numId w:val="29"/>
        </w:numPr>
        <w:spacing w:after="66" w:before="24" w:line="262"/>
        <w:jc w:val="both"/>
      </w:pPr>
      <w:r>
        <w:rPr>
          <w:rFonts w:ascii="Calibri" w:cs="Calibri" w:eastAsia="Calibri" w:hAnsi="Calibri"/>
          <w:b/>
          <w:bCs/>
          <w:color w:val="22303C"/>
          <w:sz w:val="20"/>
          <w:szCs w:val="20"/>
        </w:rPr>
        <w:t xml:space="preserve">Per-agent revocation</w:t>
      </w:r>
      <w:r>
        <w:rPr>
          <w:rFonts w:ascii="Calibri" w:cs="Calibri" w:eastAsia="Calibri" w:hAnsi="Calibri"/>
          <w:color w:val="22303C"/>
          <w:sz w:val="20"/>
          <w:szCs w:val="20"/>
        </w:rPr>
        <w:t xml:space="preserve"> — disables one agent immediately without disturbing the customer’s own access or other agents.</w:t>
      </w:r>
    </w:p>
    <w:p>
      <w:pPr>
        <w:pStyle w:val="ListParagraph"/>
        <w:numPr>
          <w:ilvl w:val="0"/>
          <w:numId w:val="29"/>
        </w:numPr>
        <w:spacing w:after="66" w:before="24" w:line="262"/>
        <w:jc w:val="both"/>
      </w:pPr>
      <w:r>
        <w:rPr>
          <w:rFonts w:ascii="Calibri" w:cs="Calibri" w:eastAsia="Calibri" w:hAnsi="Calibri"/>
          <w:b/>
          <w:bCs/>
          <w:color w:val="22303C"/>
          <w:sz w:val="20"/>
          <w:szCs w:val="20"/>
        </w:rPr>
        <w:t xml:space="preserve">Customer kill switch</w:t>
      </w:r>
      <w:r>
        <w:rPr>
          <w:rFonts w:ascii="Calibri" w:cs="Calibri" w:eastAsia="Calibri" w:hAnsi="Calibri"/>
          <w:color w:val="22303C"/>
          <w:sz w:val="20"/>
          <w:szCs w:val="20"/>
        </w:rPr>
        <w:t xml:space="preserve"> — one control in the provider’s app suspends all agentic authority, cancels open agent-originated orders and voids standing mandates.</w:t>
      </w:r>
    </w:p>
    <w:p>
      <w:pPr>
        <w:pStyle w:val="ListParagraph"/>
        <w:numPr>
          <w:ilvl w:val="0"/>
          <w:numId w:val="29"/>
        </w:numPr>
        <w:spacing w:after="66" w:before="24" w:line="262"/>
        <w:jc w:val="both"/>
      </w:pPr>
      <w:r>
        <w:rPr>
          <w:rFonts w:ascii="Calibri" w:cs="Calibri" w:eastAsia="Calibri" w:hAnsi="Calibri"/>
          <w:b/>
          <w:bCs/>
          <w:color w:val="22303C"/>
          <w:sz w:val="20"/>
          <w:szCs w:val="20"/>
        </w:rPr>
        <w:t xml:space="preserve">Provider kill switch</w:t>
      </w:r>
      <w:r>
        <w:rPr>
          <w:rFonts w:ascii="Calibri" w:cs="Calibri" w:eastAsia="Calibri" w:hAnsi="Calibri"/>
          <w:color w:val="22303C"/>
          <w:sz w:val="20"/>
          <w:szCs w:val="20"/>
        </w:rPr>
        <w:t xml:space="preserve"> — per-intent-type, per-agent-runtime and global. Required for REG-2 and for the operational reality that a popular agent runtime can ship a bad release on a Friday afternoon.</w:t>
      </w:r>
    </w:p>
    <w:p>
      <w:pPr>
        <w:pStyle w:val="ListParagraph"/>
        <w:numPr>
          <w:ilvl w:val="0"/>
          <w:numId w:val="29"/>
        </w:numPr>
        <w:spacing w:after="66" w:before="24" w:line="262"/>
        <w:jc w:val="both"/>
      </w:pPr>
      <w:r>
        <w:rPr>
          <w:rFonts w:ascii="Calibri" w:cs="Calibri" w:eastAsia="Calibri" w:hAnsi="Calibri"/>
          <w:b/>
          <w:bCs/>
          <w:color w:val="22303C"/>
          <w:sz w:val="20"/>
          <w:szCs w:val="20"/>
        </w:rPr>
        <w:t xml:space="preserve">Propagation target: under five seconds.</w:t>
      </w:r>
      <w:r>
        <w:rPr>
          <w:rFonts w:ascii="Calibri" w:cs="Calibri" w:eastAsia="Calibri" w:hAnsi="Calibri"/>
          <w:color w:val="22303C"/>
          <w:sz w:val="20"/>
          <w:szCs w:val="20"/>
        </w:rPr>
        <w:t xml:space="preserve"> Token TTLs are set short (≤ 5 minutes) precisely so that revocation does not depend on cooperative clients.</w:t>
      </w:r>
    </w:p>
    <w:p>
      <w:pPr>
        <w:pStyle w:val="Heading2"/>
      </w:pPr>
      <w:r>
        <w:rPr>
          <w:rFonts w:ascii="Calibri Light" w:cs="Calibri Light" w:eastAsia="Calibri Light" w:hAnsi="Calibri Light"/>
          <w:color w:val="1B3A5C"/>
          <w:sz w:val="23"/>
          <w:szCs w:val="23"/>
        </w:rPr>
        <w:t xml:space="preserve">5.6  Discovery and search without exposing APIs</w:t>
      </w:r>
    </w:p>
    <w:p>
      <w:pPr>
        <w:pStyle w:val="Heading3"/>
      </w:pPr>
      <w:r>
        <w:rPr>
          <w:rFonts w:ascii="Calibri" w:cs="Calibri" w:eastAsia="Calibri" w:hAnsi="Calibri"/>
          <w:color w:val="42566B"/>
          <w:sz w:val="20"/>
          <w:szCs w:val="20"/>
        </w:rPr>
        <w:t xml:space="preserve">5.6.1  The capability manifest</w:t>
      </w:r>
    </w:p>
    <w:p>
      <w:pPr>
        <w:keepNext w:val="false"/>
        <w:spacing w:after="130" w:before="0" w:line="268"/>
        <w:jc w:val="both"/>
      </w:pPr>
      <w:r>
        <w:rPr>
          <w:rFonts w:ascii="Calibri" w:cs="Calibri" w:eastAsia="Calibri" w:hAnsi="Calibri"/>
          <w:color w:val="22303C"/>
          <w:sz w:val="20"/>
          <w:szCs w:val="20"/>
        </w:rPr>
        <w:t xml:space="preserve">One document, signed, versioned, cacheable, and small enough that its context cost is irrelevant. It deliberately contains no operation inventory — only the three verbs, how to authenticate, what the limits are, and the rules that govern all use.</w:t>
      </w:r>
    </w:p>
    <w:p>
      <w:pPr>
        <w:keepLines/>
        <w:pBdr>
          <w:top w:val="single" w:color="C7D0DA" w:sz="2" w:space="2"/>
          <w:left w:val="single" w:color="1E7B96" w:sz="12" w:space="6"/>
        </w:pBdr>
        <w:shd w:fill="F3F5F8" w:color="auto" w:val="clear"/>
        <w:spacing w:after="0" w:before="90" w:line="208"/>
        <w:ind w:left="130" w:right="90"/>
        <w:jc w:val="left"/>
      </w:pPr>
      <w:r>
        <w:rPr>
          <w:rFonts w:ascii="Consolas" w:cs="Consolas" w:eastAsia="Consolas" w:hAnsi="Consolas"/>
          <w:color w:val="12293F"/>
          <w:sz w:val="15"/>
          <w:szCs w:val="15"/>
        </w:rPr>
        <w:t xml:space="preserve">GET /.well-known/agent-capability-manifest</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 </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 "manifest_version": "2026-07-01",</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  "issuer": "https://agents.example-broker.com",</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  "verbs": [</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    { "id": "catalog.search", "method": "POST", "path": "/v1/catalog:search",</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      "schema": "/schemas/catalog.search.v1.json" },</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    { "id": "data.query",     "method": "POST", "path": "/v1/data-products/{product_id}:query",</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      "schema": "/schemas/data.query.v1.json" },</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    { "id": "intent.submit",  "method": "POST", "path": "/v1/intents",</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      "schema": "/schemas/intent.envelope.v1.json" } ],</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  "auth": { "type": "oauth2",</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             "authorization_server": "https://id.example-broker.com/.well-known/oauth-authorization-server",</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             "token_binding": ["dpop", "mtls"],</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             "authorization_details_types": ["brokerage_read", "brokerage_intent"] },</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  "limits": { "max_request_bytes": 32768, "requests_per_minute": 60,</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               "egress_rows_per_day": 50000, "max_open_intents": 5 },</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  "control_notes": [</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    "Every state change requires an approved mandate bound to the intent hash.",</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    "Intents expire in 300 s. Mandates are single-use unless mandate_type=standing.",</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    "Conditional automation is evaluated broker-side; agents must not poll to emulate triggers.",</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    "Data products return projections. Fields outside the contract are not obtainable." ],</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  "docs": "https://developer.example-broker.com/agents",</w:t>
      </w:r>
    </w:p>
    <w:p>
      <w:pPr>
        <w:keepLines/>
        <w:pBdr>
          <w:bottom w:val="single" w:color="C7D0DA" w:sz="2" w:space="2"/>
          <w:left w:val="single" w:color="1E7B96" w:sz="12" w:space="6"/>
        </w:pBdr>
        <w:shd w:fill="F3F5F8" w:color="auto" w:val="clear"/>
        <w:spacing w:after="150" w:before="0" w:line="208"/>
        <w:ind w:left="130" w:right="90"/>
        <w:jc w:val="left"/>
      </w:pPr>
      <w:r>
        <w:rPr>
          <w:rFonts w:ascii="Consolas" w:cs="Consolas" w:eastAsia="Consolas" w:hAnsi="Consolas"/>
          <w:color w:val="12293F"/>
          <w:sz w:val="15"/>
          <w:szCs w:val="15"/>
        </w:rPr>
        <w:t xml:space="preserve">  "signature": "&lt;detached JWS over the canonical form of this document&gt;" }</w:t>
      </w:r>
    </w:p>
    <w:p>
      <w:pPr>
        <w:pStyle w:val="Heading3"/>
      </w:pPr>
      <w:r>
        <w:rPr>
          <w:rFonts w:ascii="Calibri" w:cs="Calibri" w:eastAsia="Calibri" w:hAnsi="Calibri"/>
          <w:color w:val="42566B"/>
          <w:sz w:val="20"/>
          <w:szCs w:val="20"/>
        </w:rPr>
        <w:t xml:space="preserve">5.6.2  Semantic capability search</w:t>
      </w:r>
    </w:p>
    <w:p>
      <w:pPr>
        <w:keepNext w:val="false"/>
        <w:spacing w:after="130" w:before="0" w:line="268"/>
        <w:jc w:val="both"/>
      </w:pPr>
      <w:r>
        <w:rPr>
          <w:rFonts w:ascii="Calibri" w:cs="Calibri" w:eastAsia="Calibri" w:hAnsi="Calibri"/>
          <w:color w:val="22303C"/>
          <w:sz w:val="20"/>
          <w:szCs w:val="20"/>
        </w:rPr>
        <w:t xml:space="preserve">The catalogue is the discovery mechanism. Descriptors for every capability and data product are indexed with hybrid lexical and vector retrieval, and the agent asks in the customer’s own words.</w:t>
      </w:r>
    </w:p>
    <w:p>
      <w:pPr>
        <w:keepLines/>
        <w:pBdr>
          <w:top w:val="single" w:color="C7D0DA" w:sz="2" w:space="2"/>
          <w:left w:val="single" w:color="1E7B96" w:sz="12" w:space="6"/>
        </w:pBdr>
        <w:shd w:fill="F3F5F8" w:color="auto" w:val="clear"/>
        <w:spacing w:after="0" w:before="90" w:line="208"/>
        <w:ind w:left="130" w:right="90"/>
        <w:jc w:val="left"/>
      </w:pPr>
      <w:r>
        <w:rPr>
          <w:rFonts w:ascii="Consolas" w:cs="Consolas" w:eastAsia="Consolas" w:hAnsi="Consolas"/>
          <w:color w:val="12293F"/>
          <w:sz w:val="15"/>
          <w:szCs w:val="15"/>
        </w:rPr>
        <w:t xml:space="preserve">POST /v1/catalog:search</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 "q": "check my buying power, then place a limit buy order", "top_k": 3 }</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 </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200 OK</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 "results": [</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    { "kind": "data_product", "id": "portfolio.snapshot.v2", "score": 0.91,</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      "summary": "Positions, market values, cost basis and buying power for one account at a point in time.",</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      "arguments": { "as_of": "date-time?", "account_ref": "token",</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                     "fields": "enum[] (see field_catalog)" },</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      "field_catalog": ["symbol", "quantity", "market_value", "cost_basis",</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                        "unrealized_pl", "buying_power", "cash_available", "as_of"],</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      "constraints": { "max_rows": 250, "purposes": ["portfolio_review", "trade_preparation"] } },</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    { "kind": "intent_type", "id": "equity.order.v1", "score": 0.88,</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      "summary": "Submit an equity buy or sell order for deterministic validation and human approval.",</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      "required": ["side", "symbol", "quantity|notional", "order_type", "time_in_force"],</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      "controls": ["buying_power", "sea_15c3_5", "restricted_list", "pdt", "suitability_reg_bi"],</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      "approval": { "default_tier": "explicit_signature",</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                    "auto_below": { "currency": "USD", "amount": 250.00 } },</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      "schema": "/schemas/intent.equity.order.v1.json" },</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    { "kind": "intent_type", "id": "equity.order.cancel.v1", "score": 0.64, "...": "..." } ],</w:t>
      </w:r>
    </w:p>
    <w:p>
      <w:pPr>
        <w:keepLines/>
        <w:pBdr>
          <w:bottom w:val="single" w:color="C7D0DA" w:sz="2" w:space="2"/>
          <w:left w:val="single" w:color="1E7B96" w:sz="12" w:space="6"/>
        </w:pBdr>
        <w:shd w:fill="F3F5F8" w:color="auto" w:val="clear"/>
        <w:spacing w:after="150" w:before="0" w:line="208"/>
        <w:ind w:left="130" w:right="90"/>
        <w:jc w:val="left"/>
      </w:pPr>
      <w:r>
        <w:rPr>
          <w:rFonts w:ascii="Consolas" w:cs="Consolas" w:eastAsia="Consolas" w:hAnsi="Consolas"/>
          <w:color w:val="12293F"/>
          <w:sz w:val="15"/>
          <w:szCs w:val="15"/>
        </w:rPr>
        <w:t xml:space="preserve">  "search_id": "cs_01J9WQ5F", "result_tokens": 612 }</w:t>
      </w:r>
    </w:p>
    <w:p>
      <w:pPr>
        <w:keepNext w:val="false"/>
        <w:spacing w:after="130" w:before="0" w:line="268"/>
        <w:jc w:val="both"/>
      </w:pPr>
      <w:r>
        <w:rPr>
          <w:rFonts w:ascii="Calibri" w:cs="Calibri" w:eastAsia="Calibri" w:hAnsi="Calibri"/>
          <w:color w:val="22303C"/>
          <w:sz w:val="20"/>
          <w:szCs w:val="20"/>
        </w:rPr>
        <w:t xml:space="preserve">Note what is absent: no internal URL, no internal identifier, no table or column name, and no operation the agent is not authorised to use — results are filtered by the caller’s grant envelope before ranking, so the catalogue is not an inventory-disclosure channel.</w:t>
      </w:r>
    </w:p>
    <w:p>
      <w:pPr>
        <w:pStyle w:val="Heading3"/>
      </w:pPr>
      <w:r>
        <w:rPr>
          <w:rFonts w:ascii="Calibri" w:cs="Calibri" w:eastAsia="Calibri" w:hAnsi="Calibri"/>
          <w:color w:val="42566B"/>
          <w:sz w:val="20"/>
          <w:szCs w:val="20"/>
        </w:rPr>
        <w:t xml:space="preserve">5.6.3  Why this is cheaper, and by how much</w:t>
      </w:r>
    </w:p>
    <w:tbl>
      <w:tblPr>
        <w:tblW w:type="dxa" w:w="10080"/>
        <w:tblBorders>
          <w:top w:val="single" w:color="1B3A5C" w:sz="4"/>
          <w:left w:val="none" w:color="FFFFFF" w:sz="0"/>
          <w:bottom w:val="single" w:color="1B3A5C" w:sz="4"/>
          <w:right w:val="none" w:color="FFFFFF" w:sz="0"/>
          <w:insideH w:val="single" w:color="C7D0DA" w:sz="2"/>
          <w:insideV w:val="single" w:color="C7D0DA" w:sz="2"/>
        </w:tblBorders>
      </w:tblPr>
      <w:tblGrid>
        <w:gridCol w:w="2419"/>
        <w:gridCol w:w="4032"/>
        <w:gridCol w:w="3629"/>
      </w:tblGrid>
      <w:tr>
        <w:trPr>
          <w:tblHeader/>
        </w:trPr>
        <w:tc>
          <w:tcPr>
            <w:tcW w:type="dxa" w:w="2419"/>
            <w:shd w:fill="1B3A5C"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FFFFFF"/>
                <w:sz w:val="17"/>
                <w:szCs w:val="17"/>
              </w:rPr>
              <w:t xml:space="preserve">Property</w:t>
            </w:r>
          </w:p>
        </w:tc>
        <w:tc>
          <w:tcPr>
            <w:tcW w:type="dxa" w:w="4032"/>
            <w:shd w:fill="1B3A5C"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FFFFFF"/>
                <w:sz w:val="17"/>
                <w:szCs w:val="17"/>
              </w:rPr>
              <w:t xml:space="preserve">Tool-catalogue model</w:t>
            </w:r>
          </w:p>
        </w:tc>
        <w:tc>
          <w:tcPr>
            <w:tcW w:type="dxa" w:w="3629"/>
            <w:shd w:fill="1B3A5C"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FFFFFF"/>
                <w:sz w:val="17"/>
                <w:szCs w:val="17"/>
              </w:rPr>
              <w:t xml:space="preserve">ACE discovery</w:t>
            </w:r>
          </w:p>
        </w:tc>
      </w:tr>
      <w:tr>
        <w:tc>
          <w:tcPr>
            <w:tcW w:type="dxa" w:w="2419"/>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Context cost at session start</w:t>
            </w:r>
          </w:p>
        </w:tc>
        <w:tc>
          <w:tcPr>
            <w:tcW w:type="dxa" w:w="4032"/>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Sum of all tool schemas — ~13,200 tokens for a 44-tool brokerage catalogue, re-sent on every turn</w:t>
            </w:r>
          </w:p>
        </w:tc>
        <w:tc>
          <w:tcPr>
            <w:tcW w:type="dxa" w:w="3629"/>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Manifest ~1,500 tokens once, plus ~600 tokens per search</w:t>
            </w:r>
          </w:p>
        </w:tc>
      </w:tr>
      <w:tr>
        <w:tc>
          <w:tcPr>
            <w:tcW w:type="dxa" w:w="2419"/>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Scaling behaviour</w:t>
            </w:r>
          </w:p>
        </w:tc>
        <w:tc>
          <w:tcPr>
            <w:tcW w:type="dxa" w:w="4032"/>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O(n) in the number of operations</w:t>
            </w:r>
          </w:p>
        </w:tc>
        <w:tc>
          <w:tcPr>
            <w:tcW w:type="dxa" w:w="3629"/>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O(1) — adding operations changes nothing the agent sees</w:t>
            </w:r>
          </w:p>
        </w:tc>
      </w:tr>
      <w:tr>
        <w:tc>
          <w:tcPr>
            <w:tcW w:type="dxa" w:w="2419"/>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Effect of a 2,500-operation estate</w:t>
            </w:r>
          </w:p>
        </w:tc>
        <w:tc>
          <w:tcPr>
            <w:tcW w:type="dxa" w:w="4032"/>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Infeasible; would exceed most context windows before the first user turn</w:t>
            </w:r>
          </w:p>
        </w:tc>
        <w:tc>
          <w:tcPr>
            <w:tcW w:type="dxa" w:w="3629"/>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Identical cost to a 20-operation estate</w:t>
            </w:r>
          </w:p>
        </w:tc>
      </w:tr>
      <w:tr>
        <w:tc>
          <w:tcPr>
            <w:tcW w:type="dxa" w:w="2419"/>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Quality effect</w:t>
            </w:r>
          </w:p>
        </w:tc>
        <w:tc>
          <w:tcPr>
            <w:tcW w:type="dxa" w:w="4032"/>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Reasoning degrades past roughly fifty loaded definitions; models reference tools instead of answering</w:t>
            </w:r>
          </w:p>
        </w:tc>
        <w:tc>
          <w:tcPr>
            <w:tcW w:type="dxa" w:w="3629"/>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Three verbs; the model reasons about the customer’s goal, not about a menu</w:t>
            </w:r>
          </w:p>
        </w:tc>
      </w:tr>
      <w:tr>
        <w:tc>
          <w:tcPr>
            <w:tcW w:type="dxa" w:w="2419"/>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Cacheability</w:t>
            </w:r>
          </w:p>
        </w:tc>
        <w:tc>
          <w:tcPr>
            <w:tcW w:type="dxa" w:w="4032"/>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Definitions change with every internal change, invalidating client caches</w:t>
            </w:r>
          </w:p>
        </w:tc>
        <w:tc>
          <w:tcPr>
            <w:tcW w:type="dxa" w:w="3629"/>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Manifest is versioned and long-cacheable; internal change is invisible</w:t>
            </w:r>
          </w:p>
        </w:tc>
      </w:tr>
      <w:tr>
        <w:tc>
          <w:tcPr>
            <w:tcW w:type="dxa" w:w="2419"/>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Failure mode of a big estate</w:t>
            </w:r>
          </w:p>
        </w:tc>
        <w:tc>
          <w:tcPr>
            <w:tcW w:type="dxa" w:w="4032"/>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Truncation, tool confusion, wrong-tool selection</w:t>
            </w:r>
          </w:p>
        </w:tc>
        <w:tc>
          <w:tcPr>
            <w:tcW w:type="dxa" w:w="3629"/>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A search that returns nothing useful — diagnosable, measurable, and fixable with better descriptors</w:t>
            </w:r>
          </w:p>
        </w:tc>
      </w:tr>
    </w:tbl>
    <w:p>
      <w:pPr>
        <w:pStyle w:val="Heading2"/>
      </w:pPr>
      <w:r>
        <w:rPr>
          <w:rFonts w:ascii="Calibri Light" w:cs="Calibri Light" w:eastAsia="Calibri Light" w:hAnsi="Calibri Light"/>
          <w:color w:val="1B3A5C"/>
          <w:sz w:val="23"/>
          <w:szCs w:val="23"/>
        </w:rPr>
        <w:t xml:space="preserve">5.7  Exposing data without exposing APIs</w:t>
      </w:r>
    </w:p>
    <w:p>
      <w:pPr>
        <w:keepNext w:val="false"/>
        <w:spacing w:after="130" w:before="0" w:line="268"/>
        <w:jc w:val="both"/>
      </w:pPr>
      <w:r>
        <w:rPr>
          <w:rFonts w:ascii="Calibri" w:cs="Calibri" w:eastAsia="Calibri" w:hAnsi="Calibri"/>
          <w:color w:val="22303C"/>
          <w:sz w:val="20"/>
          <w:szCs w:val="20"/>
        </w:rPr>
        <w:t xml:space="preserve">This is the question that most often has no good answer in agentic designs, and it is where the read path usually leaks. The answer here is that the read surface is a set of </w:t>
      </w:r>
      <w:r>
        <w:rPr>
          <w:rFonts w:ascii="Calibri" w:cs="Calibri" w:eastAsia="Calibri" w:hAnsi="Calibri"/>
          <w:b/>
          <w:bCs/>
          <w:color w:val="22303C"/>
          <w:sz w:val="20"/>
          <w:szCs w:val="20"/>
        </w:rPr>
        <w:t xml:space="preserve">data products</w:t>
      </w:r>
      <w:r>
        <w:rPr>
          <w:rFonts w:ascii="Calibri" w:cs="Calibri" w:eastAsia="Calibri" w:hAnsi="Calibri"/>
          <w:color w:val="22303C"/>
          <w:sz w:val="20"/>
          <w:szCs w:val="20"/>
        </w:rPr>
        <w:t xml:space="preserve">: named, versioned contracts with closed field lists, explicit purposes, and enforced limits. There is no entity endpoint, no query language, and no way to widen a projection by asking differently.</w:t>
      </w:r>
    </w:p>
    <w:p>
      <w:pPr>
        <w:pStyle w:val="Heading3"/>
      </w:pPr>
      <w:r>
        <w:rPr>
          <w:rFonts w:ascii="Calibri" w:cs="Calibri" w:eastAsia="Calibri" w:hAnsi="Calibri"/>
          <w:color w:val="42566B"/>
          <w:sz w:val="20"/>
          <w:szCs w:val="20"/>
        </w:rPr>
        <w:t xml:space="preserve">5.7.1  The data product contract</w:t>
      </w:r>
    </w:p>
    <w:p>
      <w:pPr>
        <w:keepLines/>
        <w:pBdr>
          <w:top w:val="single" w:color="C7D0DA" w:sz="2" w:space="2"/>
          <w:left w:val="single" w:color="1E7B96" w:sz="12" w:space="6"/>
        </w:pBdr>
        <w:shd w:fill="F3F5F8" w:color="auto" w:val="clear"/>
        <w:spacing w:after="0" w:before="90" w:line="208"/>
        <w:ind w:left="130" w:right="90"/>
        <w:jc w:val="left"/>
      </w:pPr>
      <w:r>
        <w:rPr>
          <w:rFonts w:ascii="Consolas" w:cs="Consolas" w:eastAsia="Consolas" w:hAnsi="Consolas"/>
          <w:color w:val="12293F"/>
          <w:sz w:val="15"/>
          <w:szCs w:val="15"/>
        </w:rPr>
        <w:t xml:space="preserve">product_id:        portfolio.snapshot.v2</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owner:             Brokerage Data Products (accountable owner, not a shared mailbox)</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grain:             one row per open position, plus one account-level summary object</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fields:            symbol, quantity, market_value, cost_basis, unrealized_pl,</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                   buying_power, cash_available, as_of          # closed enumeration</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excluded:          full_account_number, tax_lot_detail, beneficiary, kyc_*, ssn,</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                   internal_instrument_id, routing_preferences, other accounts</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arguments:         as_of (date-time, optional, max 90d lookback),</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                   account_ref (opaque token, must be within the grant),</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                   fields (subset of the enumeration), purpose (enum)</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purposes:          portfolio_review | trade_preparation | tax_review</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row_cap:           250 per request;  page_cap: 4 pages;  freshness: &lt;= 2 s for balances</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egress_budget:     50,000 rows per agent per day, per purpose</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policy:            ReBAC on the authenticated human; agentic account always visible,</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                   other accounts only with fields_profile=minimal and explicit consent</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redaction:         account identifiers tokenised; tax lots aggregated; sub-cent rounding</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market_data:       delayed unless the caller holds a real-time entitlement</w:t>
      </w:r>
    </w:p>
    <w:p>
      <w:pPr>
        <w:keepLines/>
        <w:pBdr>
          <w:bottom w:val="single" w:color="C7D0DA" w:sz="2" w:space="2"/>
          <w:left w:val="single" w:color="1E7B96" w:sz="12" w:space="6"/>
        </w:pBdr>
        <w:shd w:fill="F3F5F8" w:color="auto" w:val="clear"/>
        <w:spacing w:after="150" w:before="0" w:line="208"/>
        <w:ind w:left="130" w:right="90"/>
        <w:jc w:val="left"/>
      </w:pPr>
      <w:r>
        <w:rPr>
          <w:rFonts w:ascii="Consolas" w:cs="Consolas" w:eastAsia="Consolas" w:hAnsi="Consolas"/>
          <w:color w:val="12293F"/>
          <w:sz w:val="15"/>
          <w:szCs w:val="15"/>
        </w:rPr>
        <w:t xml:space="preserve">retention/log:     query, field set, purpose, row count and decision recorded per call</w:t>
      </w:r>
    </w:p>
    <w:p>
      <w:pPr>
        <w:pStyle w:val="Heading3"/>
      </w:pPr>
      <w:r>
        <w:rPr>
          <w:rFonts w:ascii="Calibri" w:cs="Calibri" w:eastAsia="Calibri" w:hAnsi="Calibri"/>
          <w:color w:val="42566B"/>
          <w:sz w:val="20"/>
          <w:szCs w:val="20"/>
        </w:rPr>
        <w:t xml:space="preserve">5.7.2  Parameterised queries only</w:t>
      </w:r>
    </w:p>
    <w:p>
      <w:pPr>
        <w:keepNext w:val="false"/>
        <w:spacing w:after="130" w:before="0" w:line="268"/>
        <w:jc w:val="both"/>
      </w:pPr>
      <w:r>
        <w:rPr>
          <w:rFonts w:ascii="Calibri" w:cs="Calibri" w:eastAsia="Calibri" w:hAnsi="Calibri"/>
          <w:color w:val="22303C"/>
          <w:sz w:val="20"/>
          <w:szCs w:val="20"/>
        </w:rPr>
        <w:t xml:space="preserve">The query verb accepts arguments, not expressions. There is no filter grammar, no projection language and no join. This is a deliberate rejection of flexibility: every expressive query facility is also a cost oracle, an enumeration oracle and an exfiltration channel, and none of them can be made safe against a caller whose instructions may have been written by an attacker.</w:t>
      </w:r>
    </w:p>
    <w:p>
      <w:pPr>
        <w:keepLines/>
        <w:pBdr>
          <w:top w:val="single" w:color="C7D0DA" w:sz="2" w:space="2"/>
          <w:left w:val="single" w:color="1E7B96" w:sz="12" w:space="6"/>
        </w:pBdr>
        <w:shd w:fill="F3F5F8" w:color="auto" w:val="clear"/>
        <w:spacing w:after="0" w:before="90" w:line="208"/>
        <w:ind w:left="130" w:right="90"/>
        <w:jc w:val="left"/>
      </w:pPr>
      <w:r>
        <w:rPr>
          <w:rFonts w:ascii="Consolas" w:cs="Consolas" w:eastAsia="Consolas" w:hAnsi="Consolas"/>
          <w:color w:val="12293F"/>
          <w:sz w:val="15"/>
          <w:szCs w:val="15"/>
        </w:rPr>
        <w:t xml:space="preserve">POST /v1/data-products/portfolio.snapshot.v2:query</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Authorization: DPoP eyJhbGciOiJFUzI1NiIsInR5cCI6ImF0K2p3dCJ9...</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DPoP: eyJ0eXAiOiJkcG9wK2p3dCIsImFsZyI6IkVTMjU2Iiwiandr...</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 "account_ref": "acct_tok_7Q4F", "purpose": "trade_preparation",</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  "fields": ["symbol", "quantity", "market_value", "buying_power", "cash_available"] }</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 </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200 OK</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X-ACE-Egress-Rows-Used: 18/50000        X-ACE-Egress-Reset: 2026-07-30T00:00:00Z</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X-ACE-Policy-Decision: pdp_01J9WQ6B     X-ACE-Data-Product-Version: 2.4.1</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 "as_of": "2026-07-29T20:44:58.221Z",</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  "account": { "account_ref": "acct_tok_7Q4F", "class": "agentic",</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                "buying_power": { "currency": "USD", "amount": 7412.55 },</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                "cash_available": { "currency": "USD", "amount": 7412.55 } },</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  "positions": [ { "symbol": "HMNI", "quantity": 41,</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                    "market_value": { "currency": "USD", "amount": 3117.44 } },</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                  { "symbol": "ROAR", "quantity": 8,</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                    "market_value": { "currency": "USD", "amount": 1638.16 } } ],</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  "row_count": 2, "truncated": false,</w:t>
      </w:r>
    </w:p>
    <w:p>
      <w:pPr>
        <w:keepLines/>
        <w:pBdr>
          <w:bottom w:val="single" w:color="C7D0DA" w:sz="2" w:space="2"/>
          <w:left w:val="single" w:color="1E7B96" w:sz="12" w:space="6"/>
        </w:pBdr>
        <w:shd w:fill="F3F5F8" w:color="auto" w:val="clear"/>
        <w:spacing w:after="150" w:before="0" w:line="208"/>
        <w:ind w:left="130" w:right="90"/>
        <w:jc w:val="left"/>
      </w:pPr>
      <w:r>
        <w:rPr>
          <w:rFonts w:ascii="Consolas" w:cs="Consolas" w:eastAsia="Consolas" w:hAnsi="Consolas"/>
          <w:color w:val="12293F"/>
          <w:sz w:val="15"/>
          <w:szCs w:val="15"/>
        </w:rPr>
        <w:t xml:space="preserve">  "notes": ["Quotes are real-time under entitlement ENT-RT-4471."] }</w:t>
      </w:r>
    </w:p>
    <w:p>
      <w:pPr>
        <w:pStyle w:val="Heading3"/>
      </w:pPr>
      <w:r>
        <w:rPr>
          <w:rFonts w:ascii="Calibri" w:cs="Calibri" w:eastAsia="Calibri" w:hAnsi="Calibri"/>
          <w:color w:val="42566B"/>
          <w:sz w:val="20"/>
          <w:szCs w:val="20"/>
        </w:rPr>
        <w:t xml:space="preserve">5.7.3  Field, row and purpose policy</w:t>
      </w:r>
    </w:p>
    <w:tbl>
      <w:tblPr>
        <w:tblW w:type="dxa" w:w="10080"/>
        <w:tblBorders>
          <w:top w:val="single" w:color="1B3A5C" w:sz="4"/>
          <w:left w:val="none" w:color="FFFFFF" w:sz="0"/>
          <w:bottom w:val="single" w:color="1B3A5C" w:sz="4"/>
          <w:right w:val="none" w:color="FFFFFF" w:sz="0"/>
          <w:insideH w:val="single" w:color="C7D0DA" w:sz="2"/>
          <w:insideV w:val="single" w:color="C7D0DA" w:sz="2"/>
        </w:tblBorders>
      </w:tblPr>
      <w:tblGrid>
        <w:gridCol w:w="1613"/>
        <w:gridCol w:w="3226"/>
        <w:gridCol w:w="5241"/>
      </w:tblGrid>
      <w:tr>
        <w:trPr>
          <w:tblHeader/>
        </w:trPr>
        <w:tc>
          <w:tcPr>
            <w:tcW w:type="dxa" w:w="1613"/>
            <w:shd w:fill="1B3A5C"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FFFFFF"/>
                <w:sz w:val="17"/>
                <w:szCs w:val="17"/>
              </w:rPr>
              <w:t xml:space="preserve">Layer</w:t>
            </w:r>
          </w:p>
        </w:tc>
        <w:tc>
          <w:tcPr>
            <w:tcW w:type="dxa" w:w="3226"/>
            <w:shd w:fill="1B3A5C"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FFFFFF"/>
                <w:sz w:val="17"/>
                <w:szCs w:val="17"/>
              </w:rPr>
              <w:t xml:space="preserve">Question it answers</w:t>
            </w:r>
          </w:p>
        </w:tc>
        <w:tc>
          <w:tcPr>
            <w:tcW w:type="dxa" w:w="5241"/>
            <w:shd w:fill="1B3A5C"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FFFFFF"/>
                <w:sz w:val="17"/>
                <w:szCs w:val="17"/>
              </w:rPr>
              <w:t xml:space="preserve">Implementation</w:t>
            </w:r>
          </w:p>
        </w:tc>
      </w:tr>
      <w:tr>
        <w:tc>
          <w:tcPr>
            <w:tcW w:type="dxa" w:w="1613"/>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Purpose binding</w:t>
            </w:r>
          </w:p>
        </w:tc>
        <w:tc>
          <w:tcPr>
            <w:tcW w:type="dxa" w:w="3226"/>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Why is this data being read?</w:t>
            </w:r>
          </w:p>
        </w:tc>
        <w:tc>
          <w:tcPr>
            <w:tcW w:type="dxa" w:w="5241"/>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Purpose is a required argument, drawn from the product’s enumeration and cross-checked against the grant. Purpose is recorded in the decision log and in the receipt chain.</w:t>
            </w:r>
          </w:p>
        </w:tc>
      </w:tr>
      <w:tr>
        <w:tc>
          <w:tcPr>
            <w:tcW w:type="dxa" w:w="1613"/>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Row policy</w:t>
            </w:r>
          </w:p>
        </w:tc>
        <w:tc>
          <w:tcPr>
            <w:tcW w:type="dxa" w:w="3226"/>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Which rows may this human see through this agent?</w:t>
            </w:r>
          </w:p>
        </w:tc>
        <w:tc>
          <w:tcPr>
            <w:tcW w:type="dxa" w:w="5241"/>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Relationship-based authorisation anchored on the human; the agent can never widen it. Cross-account reads require a separate consent artefact.</w:t>
            </w:r>
          </w:p>
        </w:tc>
      </w:tr>
      <w:tr>
        <w:tc>
          <w:tcPr>
            <w:tcW w:type="dxa" w:w="1613"/>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Field policy</w:t>
            </w:r>
          </w:p>
        </w:tc>
        <w:tc>
          <w:tcPr>
            <w:tcW w:type="dxa" w:w="3226"/>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Which attributes are justified for this purpose?</w:t>
            </w:r>
          </w:p>
        </w:tc>
        <w:tc>
          <w:tcPr>
            <w:tcW w:type="dxa" w:w="5241"/>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Closed field enumeration per product, intersected with a profile (</w:t>
            </w:r>
            <w:r>
              <w:rPr>
                <w:rFonts w:ascii="Consolas" w:cs="Consolas" w:eastAsia="Consolas" w:hAnsi="Consolas"/>
                <w:color w:val="12293F"/>
                <w:sz w:val="14"/>
                <w:szCs w:val="14"/>
              </w:rPr>
              <w:t xml:space="preserve">minimal</w:t>
            </w:r>
            <w:r>
              <w:rPr>
                <w:rFonts w:ascii="Calibri" w:cs="Calibri" w:eastAsia="Calibri" w:hAnsi="Calibri"/>
                <w:color w:val="22303C"/>
                <w:sz w:val="17"/>
                <w:szCs w:val="17"/>
              </w:rPr>
              <w:t xml:space="preserve">, </w:t>
            </w:r>
            <w:r>
              <w:rPr>
                <w:rFonts w:ascii="Consolas" w:cs="Consolas" w:eastAsia="Consolas" w:hAnsi="Consolas"/>
                <w:color w:val="12293F"/>
                <w:sz w:val="14"/>
                <w:szCs w:val="14"/>
              </w:rPr>
              <w:t xml:space="preserve">standard</w:t>
            </w:r>
            <w:r>
              <w:rPr>
                <w:rFonts w:ascii="Calibri" w:cs="Calibri" w:eastAsia="Calibri" w:hAnsi="Calibri"/>
                <w:color w:val="22303C"/>
                <w:sz w:val="17"/>
                <w:szCs w:val="17"/>
              </w:rPr>
              <w:t xml:space="preserve">, </w:t>
            </w:r>
            <w:r>
              <w:rPr>
                <w:rFonts w:ascii="Consolas" w:cs="Consolas" w:eastAsia="Consolas" w:hAnsi="Consolas"/>
                <w:color w:val="12293F"/>
                <w:sz w:val="14"/>
                <w:szCs w:val="14"/>
              </w:rPr>
              <w:t xml:space="preserve">entitled</w:t>
            </w:r>
            <w:r>
              <w:rPr>
                <w:rFonts w:ascii="Calibri" w:cs="Calibri" w:eastAsia="Calibri" w:hAnsi="Calibri"/>
                <w:color w:val="22303C"/>
                <w:sz w:val="17"/>
                <w:szCs w:val="17"/>
              </w:rPr>
              <w:t xml:space="preserve">). Unlisted fields are unaddressable, not merely filtered.</w:t>
            </w:r>
          </w:p>
        </w:tc>
      </w:tr>
      <w:tr>
        <w:tc>
          <w:tcPr>
            <w:tcW w:type="dxa" w:w="1613"/>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Shaping</w:t>
            </w:r>
          </w:p>
        </w:tc>
        <w:tc>
          <w:tcPr>
            <w:tcW w:type="dxa" w:w="3226"/>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What must be transformed before it leaves?</w:t>
            </w:r>
          </w:p>
        </w:tc>
        <w:tc>
          <w:tcPr>
            <w:tcW w:type="dxa" w:w="5241"/>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Identifier tokenisation, tax-lot aggregation, rounding, delayed-vs-real-time market data selection, geographic restrictions.</w:t>
            </w:r>
          </w:p>
        </w:tc>
      </w:tr>
      <w:tr>
        <w:tc>
          <w:tcPr>
            <w:tcW w:type="dxa" w:w="1613"/>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Egress budget</w:t>
            </w:r>
          </w:p>
        </w:tc>
        <w:tc>
          <w:tcPr>
            <w:tcW w:type="dxa" w:w="3226"/>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How much may leave, in total?</w:t>
            </w:r>
          </w:p>
        </w:tc>
        <w:tc>
          <w:tcPr>
            <w:tcW w:type="dxa" w:w="5241"/>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Rows and bytes per agent, per purpose, per day. Exhaustion returns 429 with a reset timestamp; sustained near-limit behaviour raises a surveillance signal.</w:t>
            </w:r>
          </w:p>
        </w:tc>
      </w:tr>
    </w:tbl>
    <w:p>
      <w:pPr>
        <w:pStyle w:val="Heading3"/>
      </w:pPr>
      <w:r>
        <w:rPr>
          <w:rFonts w:ascii="Calibri" w:cs="Calibri" w:eastAsia="Calibri" w:hAnsi="Calibri"/>
          <w:color w:val="42566B"/>
          <w:sz w:val="20"/>
          <w:szCs w:val="20"/>
        </w:rPr>
        <w:t xml:space="preserve">5.7.4  Anti-enumeration and canary controls</w:t>
      </w:r>
    </w:p>
    <w:p>
      <w:pPr>
        <w:pStyle w:val="ListParagraph"/>
        <w:numPr>
          <w:ilvl w:val="0"/>
          <w:numId w:val="30"/>
        </w:numPr>
        <w:spacing w:after="66" w:before="24" w:line="262"/>
        <w:jc w:val="both"/>
      </w:pPr>
      <w:r>
        <w:rPr>
          <w:rFonts w:ascii="Calibri" w:cs="Calibri" w:eastAsia="Calibri" w:hAnsi="Calibri"/>
          <w:color w:val="22303C"/>
          <w:sz w:val="20"/>
          <w:szCs w:val="20"/>
        </w:rPr>
        <w:t xml:space="preserve">Account references are opaque, per-grant tokens. They are not account numbers, they are not sequential, and they are not portable between agents — so a leaked reference is useless elsewhere.</w:t>
      </w:r>
    </w:p>
    <w:p>
      <w:pPr>
        <w:pStyle w:val="ListParagraph"/>
        <w:numPr>
          <w:ilvl w:val="0"/>
          <w:numId w:val="30"/>
        </w:numPr>
        <w:spacing w:after="66" w:before="24" w:line="262"/>
        <w:jc w:val="both"/>
      </w:pPr>
      <w:r>
        <w:rPr>
          <w:rFonts w:ascii="Calibri" w:cs="Calibri" w:eastAsia="Calibri" w:hAnsi="Calibri"/>
          <w:color w:val="22303C"/>
          <w:sz w:val="20"/>
          <w:szCs w:val="20"/>
        </w:rPr>
        <w:t xml:space="preserve">Aggregation floors prevent single-record inference through repeated narrow queries.</w:t>
      </w:r>
    </w:p>
    <w:p>
      <w:pPr>
        <w:pStyle w:val="ListParagraph"/>
        <w:numPr>
          <w:ilvl w:val="0"/>
          <w:numId w:val="30"/>
        </w:numPr>
        <w:spacing w:after="66" w:before="24" w:line="262"/>
        <w:jc w:val="both"/>
      </w:pPr>
      <w:r>
        <w:rPr>
          <w:rFonts w:ascii="Calibri" w:cs="Calibri" w:eastAsia="Calibri" w:hAnsi="Calibri"/>
          <w:color w:val="22303C"/>
          <w:sz w:val="20"/>
          <w:szCs w:val="20"/>
        </w:rPr>
        <w:t xml:space="preserve">Egress budgets are per purpose, which defeats the common evasion of re-reading the same data under a different justification.</w:t>
      </w:r>
    </w:p>
    <w:p>
      <w:pPr>
        <w:pStyle w:val="ListParagraph"/>
        <w:numPr>
          <w:ilvl w:val="0"/>
          <w:numId w:val="30"/>
        </w:numPr>
        <w:spacing w:after="66" w:before="24" w:line="262"/>
        <w:jc w:val="both"/>
      </w:pPr>
      <w:r>
        <w:rPr>
          <w:rFonts w:ascii="Calibri" w:cs="Calibri" w:eastAsia="Calibri" w:hAnsi="Calibri"/>
          <w:color w:val="22303C"/>
          <w:sz w:val="20"/>
          <w:szCs w:val="20"/>
        </w:rPr>
        <w:t xml:space="preserve">Canary records and query-pattern baselines detect systematic harvesting. An agent that reads the whole portfolio every ninety seconds is doing something other than answering a question, and that pattern is actionable under REG-2’s monitoring expectation.</w:t>
      </w:r>
    </w:p>
    <w:p>
      <w:pPr>
        <w:pStyle w:val="Heading2"/>
      </w:pPr>
      <w:r>
        <w:rPr>
          <w:rFonts w:ascii="Calibri Light" w:cs="Calibri Light" w:eastAsia="Calibri Light" w:hAnsi="Calibri Light"/>
          <w:color w:val="1B3A5C"/>
          <w:sz w:val="23"/>
          <w:szCs w:val="23"/>
        </w:rPr>
        <w:t xml:space="preserve">5.8  The intent model (write path)</w:t>
      </w:r>
    </w:p>
    <w:p>
      <w:pPr>
        <w:keepNext w:val="false"/>
        <w:spacing w:after="130" w:before="0" w:line="268"/>
        <w:jc w:val="both"/>
      </w:pPr>
      <w:r>
        <w:rPr>
          <w:rFonts w:ascii="Calibri" w:cs="Calibri" w:eastAsia="Calibri" w:hAnsi="Calibri"/>
          <w:color w:val="22303C"/>
          <w:sz w:val="20"/>
          <w:szCs w:val="20"/>
        </w:rPr>
        <w:t xml:space="preserve">An intent is an immutable, typed, hashed statement of a desired business outcome, submitted by an agent on behalf of a named human. It is not a command. Nothing happens because an intent exists; things happen because an intent passed deterministic validation and acquired a mandate.</w:t>
      </w:r>
    </w:p>
    <w:p>
      <w:pPr>
        <w:pStyle w:val="Heading3"/>
      </w:pPr>
      <w:r>
        <w:rPr>
          <w:rFonts w:ascii="Calibri" w:cs="Calibri" w:eastAsia="Calibri" w:hAnsi="Calibri"/>
          <w:color w:val="42566B"/>
          <w:sz w:val="20"/>
          <w:szCs w:val="20"/>
        </w:rPr>
        <w:t xml:space="preserve">5.8.1  Lifecycle</w:t>
      </w:r>
    </w:p>
    <w:p>
      <w:pPr>
        <w:keepLines/>
        <w:pBdr>
          <w:top w:val="single" w:color="C7D0DA" w:sz="2" w:space="2"/>
          <w:left w:val="single" w:color="1E7B96" w:sz="12" w:space="6"/>
        </w:pBdr>
        <w:shd w:fill="F3F5F8" w:color="auto" w:val="clear"/>
        <w:spacing w:after="0" w:before="90" w:line="208"/>
        <w:ind w:left="130" w:right="90"/>
        <w:jc w:val="left"/>
      </w:pPr>
      <w:r>
        <w:rPr>
          <w:rFonts w:ascii="Consolas" w:cs="Consolas" w:eastAsia="Consolas" w:hAnsi="Consolas"/>
          <w:color w:val="12293F"/>
          <w:sz w:val="15"/>
          <w:szCs w:val="15"/>
        </w:rPr>
        <w:t xml:space="preserve">                    +----------------------- expired (TTL) &lt;----------------+</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                    |                                                        |</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  draft --&gt; validating --&gt; awaiting_approval --&gt; approved --&gt; executing --&gt; completed</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                    |              |                  |            |</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                    v              v                  v            v</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                rejected      declined /         revoked      failed / compensated</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               (422 with     approval_timeout   (mandate      (saga compensation</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                violations)                      revoked)      then terminal state)</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 </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  Terminal states: completed | rejected | declined | expired | revoked | failed</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  Only 'approved' may transition to 'executing'; only the Execution Orchestrator</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  may perform that transition, and only on presentation of a valid, unrevoked,</w:t>
      </w:r>
    </w:p>
    <w:p>
      <w:pPr>
        <w:keepLines/>
        <w:pBdr>
          <w:bottom w:val="single" w:color="C7D0DA" w:sz="2" w:space="2"/>
          <w:left w:val="single" w:color="1E7B96" w:sz="12" w:space="6"/>
        </w:pBdr>
        <w:shd w:fill="F3F5F8" w:color="auto" w:val="clear"/>
        <w:spacing w:after="150" w:before="0" w:line="208"/>
        <w:ind w:left="130" w:right="90"/>
        <w:jc w:val="left"/>
      </w:pPr>
      <w:r>
        <w:rPr>
          <w:rFonts w:ascii="Consolas" w:cs="Consolas" w:eastAsia="Consolas" w:hAnsi="Consolas"/>
          <w:color w:val="12293F"/>
          <w:sz w:val="15"/>
          <w:szCs w:val="15"/>
        </w:rPr>
        <w:t xml:space="preserve">  unexpired mandate whose intent_hash matches the stored canonical hash.</w:t>
      </w:r>
    </w:p>
    <w:p>
      <w:pPr>
        <w:keepNext w:val="false"/>
        <w:spacing w:after="130" w:before="0" w:line="268"/>
        <w:jc w:val="both"/>
      </w:pPr>
      <w:r>
        <w:rPr>
          <w:rFonts w:ascii="Calibri" w:cs="Calibri" w:eastAsia="Calibri" w:hAnsi="Calibri"/>
          <w:color w:val="22303C"/>
          <w:sz w:val="20"/>
          <w:szCs w:val="20"/>
        </w:rPr>
        <w:t xml:space="preserve">The lifecycle is adopted from delegated-task protocol practice (ALT-5), with two additions that carry the regulatory weight: </w:t>
      </w:r>
      <w:r>
        <w:rPr>
          <w:rFonts w:ascii="Consolas" w:cs="Consolas" w:eastAsia="Consolas" w:hAnsi="Consolas"/>
          <w:color w:val="12293F"/>
          <w:sz w:val="17"/>
          <w:szCs w:val="17"/>
        </w:rPr>
        <w:t xml:space="preserve">awaiting_approval</w:t>
      </w:r>
      <w:r>
        <w:rPr>
          <w:rFonts w:ascii="Calibri" w:cs="Calibri" w:eastAsia="Calibri" w:hAnsi="Calibri"/>
          <w:color w:val="22303C"/>
          <w:sz w:val="20"/>
          <w:szCs w:val="20"/>
        </w:rPr>
        <w:t xml:space="preserve"> is a first-class state with its own TTL and its own audit events, and </w:t>
      </w:r>
      <w:r>
        <w:rPr>
          <w:rFonts w:ascii="Consolas" w:cs="Consolas" w:eastAsia="Consolas" w:hAnsi="Consolas"/>
          <w:color w:val="12293F"/>
          <w:sz w:val="17"/>
          <w:szCs w:val="17"/>
        </w:rPr>
        <w:t xml:space="preserve">revoked</w:t>
      </w:r>
      <w:r>
        <w:rPr>
          <w:rFonts w:ascii="Calibri" w:cs="Calibri" w:eastAsia="Calibri" w:hAnsi="Calibri"/>
          <w:color w:val="22303C"/>
          <w:sz w:val="20"/>
          <w:szCs w:val="20"/>
        </w:rPr>
        <w:t xml:space="preserve"> exists as a terminal state reachable at any point before execution completes.</w:t>
      </w:r>
    </w:p>
    <w:p>
      <w:pPr>
        <w:pStyle w:val="Heading3"/>
      </w:pPr>
      <w:r>
        <w:rPr>
          <w:rFonts w:ascii="Calibri" w:cs="Calibri" w:eastAsia="Calibri" w:hAnsi="Calibri"/>
          <w:color w:val="42566B"/>
          <w:sz w:val="20"/>
          <w:szCs w:val="20"/>
        </w:rPr>
        <w:t xml:space="preserve">5.8.2  Intent submission</w:t>
      </w:r>
    </w:p>
    <w:p>
      <w:pPr>
        <w:keepLines/>
        <w:pBdr>
          <w:top w:val="single" w:color="C7D0DA" w:sz="2" w:space="2"/>
          <w:left w:val="single" w:color="1E7B96" w:sz="12" w:space="6"/>
        </w:pBdr>
        <w:shd w:fill="F3F5F8" w:color="auto" w:val="clear"/>
        <w:spacing w:after="0" w:before="90" w:line="208"/>
        <w:ind w:left="130" w:right="90"/>
        <w:jc w:val="left"/>
      </w:pPr>
      <w:r>
        <w:rPr>
          <w:rFonts w:ascii="Consolas" w:cs="Consolas" w:eastAsia="Consolas" w:hAnsi="Consolas"/>
          <w:color w:val="12293F"/>
          <w:sz w:val="15"/>
          <w:szCs w:val="15"/>
        </w:rPr>
        <w:t xml:space="preserve">POST /v1/intents</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Authorization: DPoP eyJhbGciOiJFUzI1NiIsInR5cCI6ImF0K2p3dCJ9...</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DPoP: eyJ0eXAiOiJkcG9wK2p3dCIs...          Idempotency-Key: 9f2c1b6e-2f19-4a...</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  "intent_type": "equity.order.v1",</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  "account_ref": "acct_tok_7Q4F",</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  "purpose": "user_directed_trade",</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  "actor": { "agent_id": "agt_2f19", "runtime": "claude-desktop/1.14",</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              "model": "claude-opus-5", "session_ref": "sess_8812" },</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  "parameters": {</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    "side": "BUY", "symbol": "ROAR",</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    "notional": { "currency": "USD", "amount": 2500.00 },</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    "order_type": "LIMIT",</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    "limit_price": { "currency": "USD", "amount": 205.00 },</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    "time_in_force": "DAY", "extended_hours": false },</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  "constraints": { "max_slippage_bps": 25, "not_after": "2026-07-29T20:55:00Z" },</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  "provenance": { "user_utterance_digest": "sha256:1f3a9c...",</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                   "agent_rationale": "User asked to add ~$2.5k of ROAR below 205." }</w:t>
      </w:r>
    </w:p>
    <w:p>
      <w:pPr>
        <w:keepLines/>
        <w:pBdr>
          <w:bottom w:val="single" w:color="C7D0DA" w:sz="2" w:space="2"/>
          <w:left w:val="single" w:color="1E7B96" w:sz="12" w:space="6"/>
        </w:pBdr>
        <w:shd w:fill="F3F5F8" w:color="auto" w:val="clear"/>
        <w:spacing w:after="150" w:before="0" w:line="208"/>
        <w:ind w:left="130" w:right="90"/>
        <w:jc w:val="left"/>
      </w:pPr>
      <w:r>
        <w:rPr>
          <w:rFonts w:ascii="Consolas" w:cs="Consolas" w:eastAsia="Consolas" w:hAnsi="Consolas"/>
          <w:color w:val="12293F"/>
          <w:sz w:val="15"/>
          <w:szCs w:val="15"/>
        </w:rPr>
        <w:t xml:space="preserve">}</w:t>
      </w:r>
    </w:p>
    <w:p>
      <w:pPr>
        <w:keepNext w:val="false"/>
        <w:spacing w:after="130" w:before="0" w:line="268"/>
        <w:jc w:val="both"/>
      </w:pPr>
      <w:r>
        <w:rPr>
          <w:rFonts w:ascii="Consolas" w:cs="Consolas" w:eastAsia="Consolas" w:hAnsi="Consolas"/>
          <w:color w:val="12293F"/>
          <w:sz w:val="17"/>
          <w:szCs w:val="17"/>
        </w:rPr>
        <w:t xml:space="preserve">provenance</w:t>
      </w:r>
      <w:r>
        <w:rPr>
          <w:rFonts w:ascii="Calibri" w:cs="Calibri" w:eastAsia="Calibri" w:hAnsi="Calibri"/>
          <w:color w:val="22303C"/>
          <w:sz w:val="20"/>
          <w:szCs w:val="20"/>
        </w:rPr>
        <w:t xml:space="preserve"> is recorded but never trusted. It is useful for supervision, dispute review and agent-quality analytics; it is not an authorisation input, because an agent under injection will happily fabricate it. This distinction — recorded versus relied upon — should be written into the code review checklist, because it is the single easiest place for a well-meaning engineer to reintroduce trust in the untrusted zone.</w:t>
      </w:r>
    </w:p>
    <w:p>
      <w:pPr>
        <w:pStyle w:val="Heading3"/>
      </w:pPr>
      <w:r>
        <w:rPr>
          <w:rFonts w:ascii="Calibri" w:cs="Calibri" w:eastAsia="Calibri" w:hAnsi="Calibri"/>
          <w:color w:val="42566B"/>
          <w:sz w:val="20"/>
          <w:szCs w:val="20"/>
        </w:rPr>
        <w:t xml:space="preserve">5.8.3  Deterministic validation and simulation</w:t>
      </w:r>
    </w:p>
    <w:p>
      <w:pPr>
        <w:keepNext w:val="false"/>
        <w:spacing w:after="130" w:before="0" w:line="268"/>
        <w:jc w:val="both"/>
      </w:pPr>
      <w:r>
        <w:rPr>
          <w:rFonts w:ascii="Calibri" w:cs="Calibri" w:eastAsia="Calibri" w:hAnsi="Calibri"/>
          <w:color w:val="22303C"/>
          <w:sz w:val="20"/>
          <w:szCs w:val="20"/>
        </w:rPr>
        <w:t xml:space="preserve">Validation is a pure function of the intent, the account state and the versioned rule set. Simulation prices the intent so that the human approves a number rather than a description. Both run before any market-bound artefact exists, which is what satisfies REG-1’s pre-trade requirement under the firm’s direct and exclusive control.</w:t>
      </w:r>
    </w:p>
    <w:tbl>
      <w:tblPr>
        <w:tblW w:type="dxa" w:w="10080"/>
        <w:tblBorders>
          <w:top w:val="single" w:color="1B3A5C" w:sz="4"/>
          <w:left w:val="none" w:color="FFFFFF" w:sz="0"/>
          <w:bottom w:val="single" w:color="1B3A5C" w:sz="4"/>
          <w:right w:val="none" w:color="FFFFFF" w:sz="0"/>
          <w:insideH w:val="single" w:color="C7D0DA" w:sz="2"/>
          <w:insideV w:val="single" w:color="C7D0DA" w:sz="2"/>
        </w:tblBorders>
      </w:tblPr>
      <w:tblGrid>
        <w:gridCol w:w="2621"/>
        <w:gridCol w:w="5040"/>
        <w:gridCol w:w="2419"/>
      </w:tblGrid>
      <w:tr>
        <w:trPr>
          <w:tblHeader/>
        </w:trPr>
        <w:tc>
          <w:tcPr>
            <w:tcW w:type="dxa" w:w="2621"/>
            <w:shd w:fill="1B3A5C"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FFFFFF"/>
                <w:sz w:val="17"/>
                <w:szCs w:val="17"/>
              </w:rPr>
              <w:t xml:space="preserve">Control</w:t>
            </w:r>
          </w:p>
        </w:tc>
        <w:tc>
          <w:tcPr>
            <w:tcW w:type="dxa" w:w="5040"/>
            <w:shd w:fill="1B3A5C"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FFFFFF"/>
                <w:sz w:val="17"/>
                <w:szCs w:val="17"/>
              </w:rPr>
              <w:t xml:space="preserve">Check</w:t>
            </w:r>
          </w:p>
        </w:tc>
        <w:tc>
          <w:tcPr>
            <w:tcW w:type="dxa" w:w="2419"/>
            <w:shd w:fill="1B3A5C"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FFFFFF"/>
                <w:sz w:val="17"/>
                <w:szCs w:val="17"/>
              </w:rPr>
              <w:t xml:space="preserve">On failure</w:t>
            </w:r>
          </w:p>
        </w:tc>
      </w:tr>
      <w:tr>
        <w:tc>
          <w:tcPr>
            <w:tcW w:type="dxa" w:w="2621"/>
            <w:tcMar>
              <w:top w:type="dxa" w:w="60"/>
              <w:left w:type="dxa" w:w="100"/>
              <w:bottom w:type="dxa" w:w="60"/>
              <w:right w:type="dxa" w:w="100"/>
            </w:tcMar>
            <w:vAlign w:val="top"/>
          </w:tcPr>
          <w:p>
            <w:pPr>
              <w:spacing w:after="40" w:before="40" w:line="240"/>
              <w:jc w:val="left"/>
            </w:pPr>
            <w:r>
              <w:rPr>
                <w:rFonts w:ascii="Consolas" w:cs="Consolas" w:eastAsia="Consolas" w:hAnsi="Consolas"/>
                <w:color w:val="12293F"/>
                <w:sz w:val="14"/>
                <w:szCs w:val="14"/>
              </w:rPr>
              <w:t xml:space="preserve">buying_power</w:t>
            </w:r>
          </w:p>
        </w:tc>
        <w:tc>
          <w:tcPr>
            <w:tcW w:type="dxa" w:w="5040"/>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Worst-case cost (limit price × resolved quantity + fees) ≤ available buying power.</w:t>
            </w:r>
          </w:p>
        </w:tc>
        <w:tc>
          <w:tcPr>
            <w:tcW w:type="dxa" w:w="2419"/>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Hard reject, </w:t>
            </w:r>
            <w:r>
              <w:rPr>
                <w:rFonts w:ascii="Consolas" w:cs="Consolas" w:eastAsia="Consolas" w:hAnsi="Consolas"/>
                <w:color w:val="12293F"/>
                <w:sz w:val="14"/>
                <w:szCs w:val="14"/>
              </w:rPr>
              <w:t xml:space="preserve">BUYING_POWER_EXCEEDED</w:t>
            </w:r>
          </w:p>
        </w:tc>
      </w:tr>
      <w:tr>
        <w:tc>
          <w:tcPr>
            <w:tcW w:type="dxa" w:w="2621"/>
            <w:shd w:fill="F4F7FA" w:color="auto" w:val="clear"/>
            <w:tcMar>
              <w:top w:type="dxa" w:w="60"/>
              <w:left w:type="dxa" w:w="100"/>
              <w:bottom w:type="dxa" w:w="60"/>
              <w:right w:type="dxa" w:w="100"/>
            </w:tcMar>
            <w:vAlign w:val="top"/>
          </w:tcPr>
          <w:p>
            <w:pPr>
              <w:spacing w:after="40" w:before="40" w:line="240"/>
              <w:jc w:val="left"/>
            </w:pPr>
            <w:r>
              <w:rPr>
                <w:rFonts w:ascii="Consolas" w:cs="Consolas" w:eastAsia="Consolas" w:hAnsi="Consolas"/>
                <w:color w:val="12293F"/>
                <w:sz w:val="14"/>
                <w:szCs w:val="14"/>
              </w:rPr>
              <w:t xml:space="preserve">sea_15c3_5.order_size</w:t>
            </w:r>
          </w:p>
        </w:tc>
        <w:tc>
          <w:tcPr>
            <w:tcW w:type="dxa" w:w="5040"/>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Per-order notional and share-count ceilings for the account class.</w:t>
            </w:r>
          </w:p>
        </w:tc>
        <w:tc>
          <w:tcPr>
            <w:tcW w:type="dxa" w:w="2419"/>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Hard reject, </w:t>
            </w:r>
            <w:r>
              <w:rPr>
                <w:rFonts w:ascii="Consolas" w:cs="Consolas" w:eastAsia="Consolas" w:hAnsi="Consolas"/>
                <w:color w:val="12293F"/>
                <w:sz w:val="14"/>
                <w:szCs w:val="14"/>
              </w:rPr>
              <w:t xml:space="preserve">ORDER_SIZE_LIMIT</w:t>
            </w:r>
          </w:p>
        </w:tc>
      </w:tr>
      <w:tr>
        <w:tc>
          <w:tcPr>
            <w:tcW w:type="dxa" w:w="2621"/>
            <w:tcMar>
              <w:top w:type="dxa" w:w="60"/>
              <w:left w:type="dxa" w:w="100"/>
              <w:bottom w:type="dxa" w:w="60"/>
              <w:right w:type="dxa" w:w="100"/>
            </w:tcMar>
            <w:vAlign w:val="top"/>
          </w:tcPr>
          <w:p>
            <w:pPr>
              <w:spacing w:after="40" w:before="40" w:line="240"/>
              <w:jc w:val="left"/>
            </w:pPr>
            <w:r>
              <w:rPr>
                <w:rFonts w:ascii="Consolas" w:cs="Consolas" w:eastAsia="Consolas" w:hAnsi="Consolas"/>
                <w:color w:val="12293F"/>
                <w:sz w:val="14"/>
                <w:szCs w:val="14"/>
              </w:rPr>
              <w:t xml:space="preserve">sea_15c3_5.credit_capital</w:t>
            </w:r>
          </w:p>
        </w:tc>
        <w:tc>
          <w:tcPr>
            <w:tcW w:type="dxa" w:w="5040"/>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Aggregate exposure against preset capital and credit thresholds.</w:t>
            </w:r>
          </w:p>
        </w:tc>
        <w:tc>
          <w:tcPr>
            <w:tcW w:type="dxa" w:w="2419"/>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Hard reject, </w:t>
            </w:r>
            <w:r>
              <w:rPr>
                <w:rFonts w:ascii="Consolas" w:cs="Consolas" w:eastAsia="Consolas" w:hAnsi="Consolas"/>
                <w:color w:val="12293F"/>
                <w:sz w:val="14"/>
                <w:szCs w:val="14"/>
              </w:rPr>
              <w:t xml:space="preserve">CREDIT_THRESHOLD</w:t>
            </w:r>
          </w:p>
        </w:tc>
      </w:tr>
      <w:tr>
        <w:tc>
          <w:tcPr>
            <w:tcW w:type="dxa" w:w="2621"/>
            <w:shd w:fill="F4F7FA" w:color="auto" w:val="clear"/>
            <w:tcMar>
              <w:top w:type="dxa" w:w="60"/>
              <w:left w:type="dxa" w:w="100"/>
              <w:bottom w:type="dxa" w:w="60"/>
              <w:right w:type="dxa" w:w="100"/>
            </w:tcMar>
            <w:vAlign w:val="top"/>
          </w:tcPr>
          <w:p>
            <w:pPr>
              <w:spacing w:after="40" w:before="40" w:line="240"/>
              <w:jc w:val="left"/>
            </w:pPr>
            <w:r>
              <w:rPr>
                <w:rFonts w:ascii="Consolas" w:cs="Consolas" w:eastAsia="Consolas" w:hAnsi="Consolas"/>
                <w:color w:val="12293F"/>
                <w:sz w:val="14"/>
                <w:szCs w:val="14"/>
              </w:rPr>
              <w:t xml:space="preserve">erroneous_order</w:t>
            </w:r>
          </w:p>
        </w:tc>
        <w:tc>
          <w:tcPr>
            <w:tcW w:type="dxa" w:w="5040"/>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Limit price within a tolerance band of the NBBO; quantity outside historical norms.</w:t>
            </w:r>
          </w:p>
        </w:tc>
        <w:tc>
          <w:tcPr>
            <w:tcW w:type="dxa" w:w="2419"/>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Hard reject, </w:t>
            </w:r>
            <w:r>
              <w:rPr>
                <w:rFonts w:ascii="Consolas" w:cs="Consolas" w:eastAsia="Consolas" w:hAnsi="Consolas"/>
                <w:color w:val="12293F"/>
                <w:sz w:val="14"/>
                <w:szCs w:val="14"/>
              </w:rPr>
              <w:t xml:space="preserve">PRICE_BAND</w:t>
            </w:r>
            <w:r>
              <w:rPr>
                <w:rFonts w:ascii="Calibri" w:cs="Calibri" w:eastAsia="Calibri" w:hAnsi="Calibri"/>
                <w:color w:val="22303C"/>
                <w:sz w:val="17"/>
                <w:szCs w:val="17"/>
              </w:rPr>
              <w:t xml:space="preserve"> / </w:t>
            </w:r>
            <w:r>
              <w:rPr>
                <w:rFonts w:ascii="Consolas" w:cs="Consolas" w:eastAsia="Consolas" w:hAnsi="Consolas"/>
                <w:color w:val="12293F"/>
                <w:sz w:val="14"/>
                <w:szCs w:val="14"/>
              </w:rPr>
              <w:t xml:space="preserve">SIZE_ANOMALY</w:t>
            </w:r>
          </w:p>
        </w:tc>
      </w:tr>
      <w:tr>
        <w:tc>
          <w:tcPr>
            <w:tcW w:type="dxa" w:w="2621"/>
            <w:tcMar>
              <w:top w:type="dxa" w:w="60"/>
              <w:left w:type="dxa" w:w="100"/>
              <w:bottom w:type="dxa" w:w="60"/>
              <w:right w:type="dxa" w:w="100"/>
            </w:tcMar>
            <w:vAlign w:val="top"/>
          </w:tcPr>
          <w:p>
            <w:pPr>
              <w:spacing w:after="40" w:before="40" w:line="240"/>
              <w:jc w:val="left"/>
            </w:pPr>
            <w:r>
              <w:rPr>
                <w:rFonts w:ascii="Consolas" w:cs="Consolas" w:eastAsia="Consolas" w:hAnsi="Consolas"/>
                <w:color w:val="12293F"/>
                <w:sz w:val="14"/>
                <w:szCs w:val="14"/>
              </w:rPr>
              <w:t xml:space="preserve">restricted_list</w:t>
            </w:r>
          </w:p>
        </w:tc>
        <w:tc>
          <w:tcPr>
            <w:tcW w:type="dxa" w:w="5040"/>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Symbol against restricted, watch, insider and halted lists.</w:t>
            </w:r>
          </w:p>
        </w:tc>
        <w:tc>
          <w:tcPr>
            <w:tcW w:type="dxa" w:w="2419"/>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Hard reject, </w:t>
            </w:r>
            <w:r>
              <w:rPr>
                <w:rFonts w:ascii="Consolas" w:cs="Consolas" w:eastAsia="Consolas" w:hAnsi="Consolas"/>
                <w:color w:val="12293F"/>
                <w:sz w:val="14"/>
                <w:szCs w:val="14"/>
              </w:rPr>
              <w:t xml:space="preserve">RESTRICTED_SYMBOL</w:t>
            </w:r>
            <w:r>
              <w:rPr>
                <w:rFonts w:ascii="Calibri" w:cs="Calibri" w:eastAsia="Calibri" w:hAnsi="Calibri"/>
                <w:color w:val="22303C"/>
                <w:sz w:val="17"/>
                <w:szCs w:val="17"/>
              </w:rPr>
              <w:t xml:space="preserve"> (no reason disclosed)</w:t>
            </w:r>
          </w:p>
        </w:tc>
      </w:tr>
      <w:tr>
        <w:tc>
          <w:tcPr>
            <w:tcW w:type="dxa" w:w="2621"/>
            <w:shd w:fill="F4F7FA" w:color="auto" w:val="clear"/>
            <w:tcMar>
              <w:top w:type="dxa" w:w="60"/>
              <w:left w:type="dxa" w:w="100"/>
              <w:bottom w:type="dxa" w:w="60"/>
              <w:right w:type="dxa" w:w="100"/>
            </w:tcMar>
            <w:vAlign w:val="top"/>
          </w:tcPr>
          <w:p>
            <w:pPr>
              <w:spacing w:after="40" w:before="40" w:line="240"/>
              <w:jc w:val="left"/>
            </w:pPr>
            <w:r>
              <w:rPr>
                <w:rFonts w:ascii="Consolas" w:cs="Consolas" w:eastAsia="Consolas" w:hAnsi="Consolas"/>
                <w:color w:val="12293F"/>
                <w:sz w:val="14"/>
                <w:szCs w:val="14"/>
              </w:rPr>
              <w:t xml:space="preserve">pdt</w:t>
            </w:r>
          </w:p>
        </w:tc>
        <w:tc>
          <w:tcPr>
            <w:tcW w:type="dxa" w:w="5040"/>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Pattern day-trader status and day-trade count for the account.</w:t>
            </w:r>
          </w:p>
        </w:tc>
        <w:tc>
          <w:tcPr>
            <w:tcW w:type="dxa" w:w="2419"/>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Hard reject or warn per account state</w:t>
            </w:r>
          </w:p>
        </w:tc>
      </w:tr>
      <w:tr>
        <w:tc>
          <w:tcPr>
            <w:tcW w:type="dxa" w:w="2621"/>
            <w:tcMar>
              <w:top w:type="dxa" w:w="60"/>
              <w:left w:type="dxa" w:w="100"/>
              <w:bottom w:type="dxa" w:w="60"/>
              <w:right w:type="dxa" w:w="100"/>
            </w:tcMar>
            <w:vAlign w:val="top"/>
          </w:tcPr>
          <w:p>
            <w:pPr>
              <w:spacing w:after="40" w:before="40" w:line="240"/>
              <w:jc w:val="left"/>
            </w:pPr>
            <w:r>
              <w:rPr>
                <w:rFonts w:ascii="Consolas" w:cs="Consolas" w:eastAsia="Consolas" w:hAnsi="Consolas"/>
                <w:color w:val="12293F"/>
                <w:sz w:val="14"/>
                <w:szCs w:val="14"/>
              </w:rPr>
              <w:t xml:space="preserve">options_level</w:t>
            </w:r>
            <w:r>
              <w:rPr>
                <w:rFonts w:ascii="Calibri" w:cs="Calibri" w:eastAsia="Calibri" w:hAnsi="Calibri"/>
                <w:color w:val="22303C"/>
                <w:sz w:val="17"/>
                <w:szCs w:val="17"/>
              </w:rPr>
              <w:t xml:space="preserve"> / </w:t>
            </w:r>
            <w:r>
              <w:rPr>
                <w:rFonts w:ascii="Consolas" w:cs="Consolas" w:eastAsia="Consolas" w:hAnsi="Consolas"/>
                <w:color w:val="12293F"/>
                <w:sz w:val="14"/>
                <w:szCs w:val="14"/>
              </w:rPr>
              <w:t xml:space="preserve">instrument_class</w:t>
            </w:r>
          </w:p>
        </w:tc>
        <w:tc>
          <w:tcPr>
            <w:tcW w:type="dxa" w:w="5040"/>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Instrument class inside the grant envelope and the account’s approved level.</w:t>
            </w:r>
          </w:p>
        </w:tc>
        <w:tc>
          <w:tcPr>
            <w:tcW w:type="dxa" w:w="2419"/>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Hard reject, </w:t>
            </w:r>
            <w:r>
              <w:rPr>
                <w:rFonts w:ascii="Consolas" w:cs="Consolas" w:eastAsia="Consolas" w:hAnsi="Consolas"/>
                <w:color w:val="12293F"/>
                <w:sz w:val="14"/>
                <w:szCs w:val="14"/>
              </w:rPr>
              <w:t xml:space="preserve">NOT_PERMITTED_INSTRUMENT</w:t>
            </w:r>
          </w:p>
        </w:tc>
      </w:tr>
      <w:tr>
        <w:tc>
          <w:tcPr>
            <w:tcW w:type="dxa" w:w="2621"/>
            <w:shd w:fill="F4F7FA" w:color="auto" w:val="clear"/>
            <w:tcMar>
              <w:top w:type="dxa" w:w="60"/>
              <w:left w:type="dxa" w:w="100"/>
              <w:bottom w:type="dxa" w:w="60"/>
              <w:right w:type="dxa" w:w="100"/>
            </w:tcMar>
            <w:vAlign w:val="top"/>
          </w:tcPr>
          <w:p>
            <w:pPr>
              <w:spacing w:after="40" w:before="40" w:line="240"/>
              <w:jc w:val="left"/>
            </w:pPr>
            <w:r>
              <w:rPr>
                <w:rFonts w:ascii="Consolas" w:cs="Consolas" w:eastAsia="Consolas" w:hAnsi="Consolas"/>
                <w:color w:val="12293F"/>
                <w:sz w:val="14"/>
                <w:szCs w:val="14"/>
              </w:rPr>
              <w:t xml:space="preserve">suitability_reg_bi</w:t>
            </w:r>
          </w:p>
        </w:tc>
        <w:tc>
          <w:tcPr>
            <w:tcW w:type="dxa" w:w="5040"/>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Concentration, complexity and profile checks appropriate to a self-directed agentic account.</w:t>
            </w:r>
          </w:p>
        </w:tc>
        <w:tc>
          <w:tcPr>
            <w:tcW w:type="dxa" w:w="2419"/>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Hard reject or step-up approval tier</w:t>
            </w:r>
          </w:p>
        </w:tc>
      </w:tr>
      <w:tr>
        <w:tc>
          <w:tcPr>
            <w:tcW w:type="dxa" w:w="2621"/>
            <w:tcMar>
              <w:top w:type="dxa" w:w="60"/>
              <w:left w:type="dxa" w:w="100"/>
              <w:bottom w:type="dxa" w:w="60"/>
              <w:right w:type="dxa" w:w="100"/>
            </w:tcMar>
            <w:vAlign w:val="top"/>
          </w:tcPr>
          <w:p>
            <w:pPr>
              <w:spacing w:after="40" w:before="40" w:line="240"/>
              <w:jc w:val="left"/>
            </w:pPr>
            <w:r>
              <w:rPr>
                <w:rFonts w:ascii="Consolas" w:cs="Consolas" w:eastAsia="Consolas" w:hAnsi="Consolas"/>
                <w:color w:val="12293F"/>
                <w:sz w:val="14"/>
                <w:szCs w:val="14"/>
              </w:rPr>
              <w:t xml:space="preserve">wash_sale</w:t>
            </w:r>
            <w:r>
              <w:rPr>
                <w:rFonts w:ascii="Calibri" w:cs="Calibri" w:eastAsia="Calibri" w:hAnsi="Calibri"/>
                <w:color w:val="22303C"/>
                <w:sz w:val="17"/>
                <w:szCs w:val="17"/>
              </w:rPr>
              <w:t xml:space="preserve"> / </w:t>
            </w:r>
            <w:r>
              <w:rPr>
                <w:rFonts w:ascii="Consolas" w:cs="Consolas" w:eastAsia="Consolas" w:hAnsi="Consolas"/>
                <w:color w:val="12293F"/>
                <w:sz w:val="14"/>
                <w:szCs w:val="14"/>
              </w:rPr>
              <w:t xml:space="preserve">duplicate</w:t>
            </w:r>
          </w:p>
        </w:tc>
        <w:tc>
          <w:tcPr>
            <w:tcW w:type="dxa" w:w="5040"/>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Near-duplicate intents within a window; wash-sale and self-trade patterns.</w:t>
            </w:r>
          </w:p>
        </w:tc>
        <w:tc>
          <w:tcPr>
            <w:tcW w:type="dxa" w:w="2419"/>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Warn, or reject on exact duplicate</w:t>
            </w:r>
          </w:p>
        </w:tc>
      </w:tr>
      <w:tr>
        <w:tc>
          <w:tcPr>
            <w:tcW w:type="dxa" w:w="2621"/>
            <w:shd w:fill="F4F7FA" w:color="auto" w:val="clear"/>
            <w:tcMar>
              <w:top w:type="dxa" w:w="60"/>
              <w:left w:type="dxa" w:w="100"/>
              <w:bottom w:type="dxa" w:w="60"/>
              <w:right w:type="dxa" w:w="100"/>
            </w:tcMar>
            <w:vAlign w:val="top"/>
          </w:tcPr>
          <w:p>
            <w:pPr>
              <w:spacing w:after="40" w:before="40" w:line="240"/>
              <w:jc w:val="left"/>
            </w:pPr>
            <w:r>
              <w:rPr>
                <w:rFonts w:ascii="Consolas" w:cs="Consolas" w:eastAsia="Consolas" w:hAnsi="Consolas"/>
                <w:color w:val="12293F"/>
                <w:sz w:val="14"/>
                <w:szCs w:val="14"/>
              </w:rPr>
              <w:t xml:space="preserve">mandate_envelope</w:t>
            </w:r>
          </w:p>
        </w:tc>
        <w:tc>
          <w:tcPr>
            <w:tcW w:type="dxa" w:w="5040"/>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Intent inside the RFC 9396 grant: intent type, account, instrument class, caps, exclusions.</w:t>
            </w:r>
          </w:p>
        </w:tc>
        <w:tc>
          <w:tcPr>
            <w:tcW w:type="dxa" w:w="2419"/>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Hard reject, </w:t>
            </w:r>
            <w:r>
              <w:rPr>
                <w:rFonts w:ascii="Consolas" w:cs="Consolas" w:eastAsia="Consolas" w:hAnsi="Consolas"/>
                <w:color w:val="12293F"/>
                <w:sz w:val="14"/>
                <w:szCs w:val="14"/>
              </w:rPr>
              <w:t xml:space="preserve">OUTSIDE_GRANT</w:t>
            </w:r>
          </w:p>
        </w:tc>
      </w:tr>
      <w:tr>
        <w:tc>
          <w:tcPr>
            <w:tcW w:type="dxa" w:w="2621"/>
            <w:tcMar>
              <w:top w:type="dxa" w:w="60"/>
              <w:left w:type="dxa" w:w="100"/>
              <w:bottom w:type="dxa" w:w="60"/>
              <w:right w:type="dxa" w:w="100"/>
            </w:tcMar>
            <w:vAlign w:val="top"/>
          </w:tcPr>
          <w:p>
            <w:pPr>
              <w:spacing w:after="40" w:before="40" w:line="240"/>
              <w:jc w:val="left"/>
            </w:pPr>
            <w:r>
              <w:rPr>
                <w:rFonts w:ascii="Consolas" w:cs="Consolas" w:eastAsia="Consolas" w:hAnsi="Consolas"/>
                <w:color w:val="12293F"/>
                <w:sz w:val="14"/>
                <w:szCs w:val="14"/>
              </w:rPr>
              <w:t xml:space="preserve">market_state</w:t>
            </w:r>
          </w:p>
        </w:tc>
        <w:tc>
          <w:tcPr>
            <w:tcW w:type="dxa" w:w="5040"/>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Session state, halts, auction periods, extended-hours eligibility.</w:t>
            </w:r>
          </w:p>
        </w:tc>
        <w:tc>
          <w:tcPr>
            <w:tcW w:type="dxa" w:w="2419"/>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Hard reject or queue with disclosure</w:t>
            </w:r>
          </w:p>
        </w:tc>
      </w:tr>
    </w:tbl>
    <w:tbl>
      <w:tblPr>
        <w:tblW w:type="dxa" w:w="10080"/>
        <w:tblBorders>
          <w:top w:val="single" w:color="3F7D5C" w:sz="2"/>
          <w:left w:val="single" w:color="3F7D5C" w:sz="14"/>
          <w:bottom w:val="single" w:color="3F7D5C" w:sz="2"/>
          <w:right w:val="single" w:color="3F7D5C" w:sz="2"/>
          <w:insideH w:val="none" w:color="EBF3EE" w:sz="0"/>
          <w:insideV w:val="none" w:color="EBF3EE" w:sz="0"/>
        </w:tblBorders>
      </w:tblPr>
      <w:tblGrid>
        <w:gridCol w:w="10080"/>
      </w:tblGrid>
      <w:tr>
        <w:tc>
          <w:tcPr>
            <w:tcW w:type="dxa" w:w="10080"/>
            <w:shd w:fill="EBF3EE" w:color="auto" w:val="clear"/>
            <w:tcMar>
              <w:top w:type="dxa" w:w="120"/>
              <w:left w:type="dxa" w:w="160"/>
              <w:bottom w:type="dxa" w:w="120"/>
              <w:right w:type="dxa" w:w="160"/>
            </w:tcMar>
          </w:tcPr>
          <w:p>
            <w:pPr>
              <w:keepNext/>
              <w:spacing w:after="60" w:before="20"/>
            </w:pPr>
            <w:r>
              <w:rPr>
                <w:rFonts w:ascii="Calibri" w:cs="Calibri" w:eastAsia="Calibri" w:hAnsi="Calibri"/>
                <w:color w:val="3F7D5C"/>
                <w:sz w:val="18"/>
                <w:szCs w:val="18"/>
              </w:rPr>
              <w:t xml:space="preserve">Why simulation is a control, not a convenience</w:t>
            </w:r>
          </w:p>
          <w:p>
            <w:pPr>
              <w:spacing w:after="80" w:before="0" w:line="254"/>
              <w:jc w:val="both"/>
            </w:pPr>
            <w:r>
              <w:rPr>
                <w:rFonts w:ascii="Calibri" w:cs="Calibri" w:eastAsia="Calibri" w:hAnsi="Calibri"/>
                <w:color w:val="22303C"/>
                <w:sz w:val="18"/>
                <w:szCs w:val="18"/>
              </w:rPr>
              <w:t xml:space="preserve">Simulation converts a natural-language instruction into an exact, priced, bounded artefact: twelve shares, limit 205.00, worst case $2,460.03. That artefact is what gets hashed, what the human sees, what the human signs, and what the executor is permitted to do.</w:t>
            </w:r>
          </w:p>
          <w:p>
            <w:pPr>
              <w:spacing w:after="30" w:before="0" w:line="254"/>
              <w:jc w:val="both"/>
            </w:pPr>
            <w:r>
              <w:rPr>
                <w:rFonts w:ascii="Calibri" w:cs="Calibri" w:eastAsia="Calibri" w:hAnsi="Calibri"/>
                <w:color w:val="22303C"/>
                <w:sz w:val="18"/>
                <w:szCs w:val="18"/>
              </w:rPr>
              <w:t xml:space="preserve">This is the structural fix for the approval-fidelity gap (S-8). The customer is not approving a rendering of a function call that may or may not match the payload; they are signing over a hash of the canonical, server-computed effect. If the bytes differ by one character, the signature does not verify and execution cannot proceed.</w:t>
            </w:r>
          </w:p>
        </w:tc>
      </w:tr>
    </w:tbl>
    <w:p>
      <w:pPr>
        <w:pStyle w:val="Heading3"/>
      </w:pPr>
      <w:r>
        <w:rPr>
          <w:rFonts w:ascii="Calibri" w:cs="Calibri" w:eastAsia="Calibri" w:hAnsi="Calibri"/>
          <w:color w:val="42566B"/>
          <w:sz w:val="20"/>
          <w:szCs w:val="20"/>
        </w:rPr>
        <w:t xml:space="preserve">5.8.4  Mandates</w:t>
      </w:r>
    </w:p>
    <w:p>
      <w:pPr>
        <w:keepNext w:val="false"/>
        <w:spacing w:after="130" w:before="0" w:line="268"/>
        <w:jc w:val="both"/>
      </w:pPr>
      <w:r>
        <w:rPr>
          <w:rFonts w:ascii="Calibri" w:cs="Calibri" w:eastAsia="Calibri" w:hAnsi="Calibri"/>
          <w:color w:val="22303C"/>
          <w:sz w:val="20"/>
          <w:szCs w:val="20"/>
        </w:rPr>
        <w:t xml:space="preserve">A mandate is a short-lived, signed credential asserting that a specific human authorised a specific validated intent, within specific limits, at a specific time, via a specific authentication method. Verification happens twice: at issuance and again at the execution boundary.</w:t>
      </w:r>
    </w:p>
    <w:p>
      <w:pPr>
        <w:keepLines/>
        <w:pBdr>
          <w:top w:val="single" w:color="C7D0DA" w:sz="2" w:space="2"/>
          <w:left w:val="single" w:color="1E7B96" w:sz="12" w:space="6"/>
        </w:pBdr>
        <w:shd w:fill="F3F5F8" w:color="auto" w:val="clear"/>
        <w:spacing w:after="0" w:before="90" w:line="208"/>
        <w:ind w:left="130" w:right="90"/>
        <w:jc w:val="left"/>
      </w:pPr>
      <w:r>
        <w:rPr>
          <w:rFonts w:ascii="Consolas" w:cs="Consolas" w:eastAsia="Consolas" w:hAnsi="Consolas"/>
          <w:color w:val="12293F"/>
          <w:sz w:val="15"/>
          <w:szCs w:val="15"/>
        </w:rPr>
        <w:t xml:space="preserve">// Decoded JWS payload (ES256, HSM-held key). Compact form is carried in the</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 execution request; the full form is retained in the evidence ledger.</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  "iss": "https://id.example-broker.com",</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  "sub": "usr_88213",                        // the human who authorised</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  "act": { "sub": "agt_2f19" },              // the agent that proposed (RFC 8693)</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  "aud": "https://agents.example-broker.com/v1/intents",</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  "jti": "mnd_01J9WQ7C4E",</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  "iat": 1785787632, "exp": 1785787932,       // 5-minute lifetime</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  "mandate_type": "single_use",</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  "intent_hash": "sha256:8ad2f0c1...",         // binds to THIS canonical intent</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  "authorization_details": [</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    { "type": "brokerage_intent", "actions": ["equity.order.place"],</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      "accounts": ["acct_tok_7Q4F"], "instruments": ["US:ROAR"],</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      "limits": { "max_principal": { "currency": "USD", "amount": 2460.03 },</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                  "max_orders": 1 } } ],</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  "authn": { "method": "passkey", "aal": "AAL2", "device_id": "dev_5f2a",</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              "ts": "2026-07-29T20:47:12Z", "binding_message_hash": "sha256:c0ff..." },</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  "cnf": { "jkt": "0ZcOCORZNYy-DWpqq30jZyJGHTN0d2HglBV3uiguA4I" }  // agent key</w:t>
      </w:r>
    </w:p>
    <w:p>
      <w:pPr>
        <w:keepLines/>
        <w:pBdr>
          <w:bottom w:val="single" w:color="C7D0DA" w:sz="2" w:space="2"/>
          <w:left w:val="single" w:color="1E7B96" w:sz="12" w:space="6"/>
        </w:pBdr>
        <w:shd w:fill="F3F5F8" w:color="auto" w:val="clear"/>
        <w:spacing w:after="150" w:before="0" w:line="208"/>
        <w:ind w:left="130" w:right="90"/>
        <w:jc w:val="left"/>
      </w:pPr>
      <w:r>
        <w:rPr>
          <w:rFonts w:ascii="Consolas" w:cs="Consolas" w:eastAsia="Consolas" w:hAnsi="Consolas"/>
          <w:color w:val="12293F"/>
          <w:sz w:val="15"/>
          <w:szCs w:val="15"/>
        </w:rPr>
        <w:t xml:space="preserve">}</w:t>
      </w:r>
    </w:p>
    <w:p>
      <w:pPr>
        <w:keepNext w:val="false"/>
        <w:spacing w:after="130" w:before="0" w:line="268"/>
        <w:jc w:val="both"/>
      </w:pPr>
      <w:r>
        <w:rPr>
          <w:rFonts w:ascii="Calibri" w:cs="Calibri" w:eastAsia="Calibri" w:hAnsi="Calibri"/>
          <w:color w:val="22303C"/>
          <w:sz w:val="20"/>
          <w:szCs w:val="20"/>
        </w:rPr>
        <w:t xml:space="preserve">Five properties do the work. </w:t>
      </w:r>
      <w:r>
        <w:rPr>
          <w:rFonts w:ascii="Calibri" w:cs="Calibri" w:eastAsia="Calibri" w:hAnsi="Calibri"/>
          <w:b/>
          <w:bCs/>
          <w:color w:val="22303C"/>
          <w:sz w:val="20"/>
          <w:szCs w:val="20"/>
        </w:rPr>
        <w:t xml:space="preserve">Hash binding</w:t>
      </w:r>
      <w:r>
        <w:rPr>
          <w:rFonts w:ascii="Calibri" w:cs="Calibri" w:eastAsia="Calibri" w:hAnsi="Calibri"/>
          <w:color w:val="22303C"/>
          <w:sz w:val="20"/>
          <w:szCs w:val="20"/>
        </w:rPr>
        <w:t xml:space="preserve"> makes the mandate useless for any other intent. </w:t>
      </w:r>
      <w:r>
        <w:rPr>
          <w:rFonts w:ascii="Calibri" w:cs="Calibri" w:eastAsia="Calibri" w:hAnsi="Calibri"/>
          <w:b/>
          <w:bCs/>
          <w:color w:val="22303C"/>
          <w:sz w:val="20"/>
          <w:szCs w:val="20"/>
        </w:rPr>
        <w:t xml:space="preserve">Single-use plus short TTL</w:t>
      </w:r>
      <w:r>
        <w:rPr>
          <w:rFonts w:ascii="Calibri" w:cs="Calibri" w:eastAsia="Calibri" w:hAnsi="Calibri"/>
          <w:color w:val="22303C"/>
          <w:sz w:val="20"/>
          <w:szCs w:val="20"/>
        </w:rPr>
        <w:t xml:space="preserve"> makes replay uninteresting. </w:t>
      </w:r>
      <w:r>
        <w:rPr>
          <w:rFonts w:ascii="Calibri" w:cs="Calibri" w:eastAsia="Calibri" w:hAnsi="Calibri"/>
          <w:b/>
          <w:bCs/>
          <w:color w:val="22303C"/>
          <w:sz w:val="20"/>
          <w:szCs w:val="20"/>
        </w:rPr>
        <w:t xml:space="preserve">`cnf` key binding</w:t>
      </w:r>
      <w:r>
        <w:rPr>
          <w:rFonts w:ascii="Calibri" w:cs="Calibri" w:eastAsia="Calibri" w:hAnsi="Calibri"/>
          <w:color w:val="22303C"/>
          <w:sz w:val="20"/>
          <w:szCs w:val="20"/>
        </w:rPr>
        <w:t xml:space="preserve"> means a stolen mandate cannot be presented by a different agent. </w:t>
      </w:r>
      <w:r>
        <w:rPr>
          <w:rFonts w:ascii="Calibri" w:cs="Calibri" w:eastAsia="Calibri" w:hAnsi="Calibri"/>
          <w:b/>
          <w:bCs/>
          <w:color w:val="22303C"/>
          <w:sz w:val="20"/>
          <w:szCs w:val="20"/>
        </w:rPr>
        <w:t xml:space="preserve">Explicit limits</w:t>
      </w:r>
      <w:r>
        <w:rPr>
          <w:rFonts w:ascii="Calibri" w:cs="Calibri" w:eastAsia="Calibri" w:hAnsi="Calibri"/>
          <w:color w:val="22303C"/>
          <w:sz w:val="20"/>
          <w:szCs w:val="20"/>
        </w:rPr>
        <w:t xml:space="preserve"> cap the damage even if every other control were bypassed. </w:t>
      </w:r>
      <w:r>
        <w:rPr>
          <w:rFonts w:ascii="Calibri" w:cs="Calibri" w:eastAsia="Calibri" w:hAnsi="Calibri"/>
          <w:b/>
          <w:bCs/>
          <w:color w:val="22303C"/>
          <w:sz w:val="20"/>
          <w:szCs w:val="20"/>
        </w:rPr>
        <w:t xml:space="preserve">`authn` provenance</w:t>
      </w:r>
      <w:r>
        <w:rPr>
          <w:rFonts w:ascii="Calibri" w:cs="Calibri" w:eastAsia="Calibri" w:hAnsi="Calibri"/>
          <w:color w:val="22303C"/>
          <w:sz w:val="20"/>
          <w:szCs w:val="20"/>
        </w:rPr>
        <w:t xml:space="preserve"> records how the human proved themselves, which is what a dispute actually turns on.</w:t>
      </w:r>
    </w:p>
    <w:p>
      <w:pPr>
        <w:pStyle w:val="Heading3"/>
      </w:pPr>
      <w:r>
        <w:rPr>
          <w:rFonts w:ascii="Calibri" w:cs="Calibri" w:eastAsia="Calibri" w:hAnsi="Calibri"/>
          <w:color w:val="42566B"/>
          <w:sz w:val="20"/>
          <w:szCs w:val="20"/>
        </w:rPr>
        <w:t xml:space="preserve">5.8.5  Approval tiers</w:t>
      </w:r>
    </w:p>
    <w:tbl>
      <w:tblPr>
        <w:tblW w:type="dxa" w:w="10080"/>
        <w:tblBorders>
          <w:top w:val="single" w:color="1B3A5C" w:sz="4"/>
          <w:left w:val="none" w:color="FFFFFF" w:sz="0"/>
          <w:bottom w:val="single" w:color="1B3A5C" w:sz="4"/>
          <w:right w:val="none" w:color="FFFFFF" w:sz="0"/>
          <w:insideH w:val="single" w:color="C7D0DA" w:sz="2"/>
          <w:insideV w:val="single" w:color="C7D0DA" w:sz="2"/>
        </w:tblBorders>
      </w:tblPr>
      <w:tblGrid>
        <w:gridCol w:w="1714"/>
        <w:gridCol w:w="4133"/>
        <w:gridCol w:w="4233"/>
      </w:tblGrid>
      <w:tr>
        <w:trPr>
          <w:tblHeader/>
        </w:trPr>
        <w:tc>
          <w:tcPr>
            <w:tcW w:type="dxa" w:w="1714"/>
            <w:shd w:fill="1B3A5C"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FFFFFF"/>
                <w:sz w:val="17"/>
                <w:szCs w:val="17"/>
              </w:rPr>
              <w:t xml:space="preserve">Tier</w:t>
            </w:r>
          </w:p>
        </w:tc>
        <w:tc>
          <w:tcPr>
            <w:tcW w:type="dxa" w:w="4133"/>
            <w:shd w:fill="1B3A5C"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FFFFFF"/>
                <w:sz w:val="17"/>
                <w:szCs w:val="17"/>
              </w:rPr>
              <w:t xml:space="preserve">When it applies</w:t>
            </w:r>
          </w:p>
        </w:tc>
        <w:tc>
          <w:tcPr>
            <w:tcW w:type="dxa" w:w="4233"/>
            <w:shd w:fill="1B3A5C"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FFFFFF"/>
                <w:sz w:val="17"/>
                <w:szCs w:val="17"/>
              </w:rPr>
              <w:t xml:space="preserve">Mechanism</w:t>
            </w:r>
          </w:p>
        </w:tc>
      </w:tr>
      <w:tr>
        <w:tc>
          <w:tcPr>
            <w:tcW w:type="dxa" w:w="1714"/>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Auto-approve</w:t>
            </w:r>
          </w:p>
        </w:tc>
        <w:tc>
          <w:tcPr>
            <w:tcW w:type="dxa" w:w="4133"/>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Intent value below the customer’s </w:t>
            </w:r>
            <w:r>
              <w:rPr>
                <w:rFonts w:ascii="Consolas" w:cs="Consolas" w:eastAsia="Consolas" w:hAnsi="Consolas"/>
                <w:color w:val="12293F"/>
                <w:sz w:val="14"/>
                <w:szCs w:val="14"/>
              </w:rPr>
              <w:t xml:space="preserve">auto_below</w:t>
            </w:r>
            <w:r>
              <w:rPr>
                <w:rFonts w:ascii="Calibri" w:cs="Calibri" w:eastAsia="Calibri" w:hAnsi="Calibri"/>
                <w:color w:val="22303C"/>
                <w:sz w:val="17"/>
                <w:szCs w:val="17"/>
              </w:rPr>
              <w:t xml:space="preserve"> threshold, inside a standing mandate, and no control returned a warning.</w:t>
            </w:r>
          </w:p>
        </w:tc>
        <w:tc>
          <w:tcPr>
            <w:tcW w:type="dxa" w:w="4233"/>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Mandate minted from the standing authorisation; push notification after the fact; full receipt.</w:t>
            </w:r>
          </w:p>
        </w:tc>
      </w:tr>
      <w:tr>
        <w:tc>
          <w:tcPr>
            <w:tcW w:type="dxa" w:w="1714"/>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Notify-and-hold</w:t>
            </w:r>
          </w:p>
        </w:tc>
        <w:tc>
          <w:tcPr>
            <w:tcW w:type="dxa" w:w="4133"/>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Moderate value or a soft warning present.</w:t>
            </w:r>
          </w:p>
        </w:tc>
        <w:tc>
          <w:tcPr>
            <w:tcW w:type="dxa" w:w="4233"/>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Push notification with a short hold window during which the customer can cancel; auto-proceeds on expiry if the customer set that preference.</w:t>
            </w:r>
          </w:p>
        </w:tc>
      </w:tr>
      <w:tr>
        <w:tc>
          <w:tcPr>
            <w:tcW w:type="dxa" w:w="1714"/>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Explicit signature</w:t>
            </w:r>
          </w:p>
        </w:tc>
        <w:tc>
          <w:tcPr>
            <w:tcW w:type="dxa" w:w="4133"/>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Default for all order placement.</w:t>
            </w:r>
          </w:p>
        </w:tc>
        <w:tc>
          <w:tcPr>
            <w:tcW w:type="dxa" w:w="4233"/>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Backchannel authentication (CIBA) to the customer’s device; passkey signature over the binding message; 90-second TTL.</w:t>
            </w:r>
          </w:p>
        </w:tc>
      </w:tr>
      <w:tr>
        <w:tc>
          <w:tcPr>
            <w:tcW w:type="dxa" w:w="1714"/>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Step-up signature</w:t>
            </w:r>
          </w:p>
        </w:tc>
        <w:tc>
          <w:tcPr>
            <w:tcW w:type="dxa" w:w="4133"/>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High value, concentration or suitability warning, first use of an instrument class, or anomalous agent behaviour.</w:t>
            </w:r>
          </w:p>
        </w:tc>
        <w:tc>
          <w:tcPr>
            <w:tcW w:type="dxa" w:w="4233"/>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Explicit signature plus re-authentication and an on-device disclosure the customer must scroll through.</w:t>
            </w:r>
          </w:p>
        </w:tc>
      </w:tr>
      <w:tr>
        <w:tc>
          <w:tcPr>
            <w:tcW w:type="dxa" w:w="1714"/>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Blocked</w:t>
            </w:r>
          </w:p>
        </w:tc>
        <w:tc>
          <w:tcPr>
            <w:tcW w:type="dxa" w:w="4133"/>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Excluded action, restricted instrument, or hard control failure.</w:t>
            </w:r>
          </w:p>
        </w:tc>
        <w:tc>
          <w:tcPr>
            <w:tcW w:type="dxa" w:w="4233"/>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No approval offered. 422 with violation codes; event raised to surveillance.</w:t>
            </w:r>
          </w:p>
        </w:tc>
      </w:tr>
    </w:tbl>
    <w:p>
      <w:pPr>
        <w:keepLines/>
        <w:pBdr>
          <w:top w:val="single" w:color="C7D0DA" w:sz="2" w:space="2"/>
          <w:left w:val="single" w:color="1E7B96" w:sz="12" w:space="6"/>
        </w:pBdr>
        <w:shd w:fill="F3F5F8" w:color="auto" w:val="clear"/>
        <w:spacing w:after="0" w:before="90" w:line="208"/>
        <w:ind w:left="130" w:right="90"/>
        <w:jc w:val="left"/>
      </w:pPr>
      <w:r>
        <w:rPr>
          <w:rFonts w:ascii="Consolas" w:cs="Consolas" w:eastAsia="Consolas" w:hAnsi="Consolas"/>
          <w:color w:val="12293F"/>
          <w:sz w:val="15"/>
          <w:szCs w:val="15"/>
        </w:rPr>
        <w:t xml:space="preserve">// Backchannel authentication request (CIBA), issued by the Approval Orchestrator</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POST /oauth2/bc-authorize</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  login_hint_token=&lt;usr_88213&gt;&amp;scope=openid&amp;acr_values=urn:mace:incommon:iap:silver</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  &amp;binding_message=ACE 4417 | BUY 12 ROAR @ LIMIT 205.00 | est. 2,460.03 USD</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  &amp;authorization_details=[{"type":"brokerage_intent","intent_hash":"sha256:8ad2f0c1..."}]</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  &amp;requested_expiry=90</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 </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-&gt; 200 { "auth_req_id": "cib_8Kd2", "expires_in": 90, "interval": 2 }</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 </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 The customer's device shows the binding message and the full simulated effect.</w:t>
      </w:r>
    </w:p>
    <w:p>
      <w:pPr>
        <w:keepLines/>
        <w:pBdr>
          <w:bottom w:val="single" w:color="C7D0DA" w:sz="2" w:space="2"/>
          <w:left w:val="single" w:color="1E7B96" w:sz="12" w:space="6"/>
        </w:pBdr>
        <w:shd w:fill="F3F5F8" w:color="auto" w:val="clear"/>
        <w:spacing w:after="150" w:before="0" w:line="208"/>
        <w:ind w:left="130" w:right="90"/>
        <w:jc w:val="left"/>
      </w:pPr>
      <w:r>
        <w:rPr>
          <w:rFonts w:ascii="Consolas" w:cs="Consolas" w:eastAsia="Consolas" w:hAnsi="Consolas"/>
          <w:color w:val="12293F"/>
          <w:sz w:val="15"/>
          <w:szCs w:val="15"/>
        </w:rPr>
        <w:t xml:space="preserve">// The agent polls intent status; it never sees or handles the challenge.</w:t>
      </w:r>
    </w:p>
    <w:p>
      <w:pPr>
        <w:keepNext w:val="false"/>
        <w:spacing w:after="130" w:before="0" w:line="268"/>
        <w:jc w:val="both"/>
      </w:pPr>
      <w:r>
        <w:rPr>
          <w:rFonts w:ascii="Calibri" w:cs="Calibri" w:eastAsia="Calibri" w:hAnsi="Calibri"/>
          <w:color w:val="22303C"/>
          <w:sz w:val="20"/>
          <w:szCs w:val="20"/>
        </w:rPr>
        <w:t xml:space="preserve">The four-digit code in the binding message is deliberate: it lets the customer confirm that the approval on their phone belongs to the request their agent just made, which defeats a race in which a hostile intent is submitted at the same moment as a legitimate one.</w:t>
      </w:r>
    </w:p>
    <w:p>
      <w:pPr>
        <w:pStyle w:val="Heading3"/>
      </w:pPr>
      <w:r>
        <w:rPr>
          <w:rFonts w:ascii="Calibri" w:cs="Calibri" w:eastAsia="Calibri" w:hAnsi="Calibri"/>
          <w:color w:val="42566B"/>
          <w:sz w:val="20"/>
          <w:szCs w:val="20"/>
        </w:rPr>
        <w:t xml:space="preserve">5.8.6  Standing mandates: automation without a trusted agent</w:t>
      </w:r>
    </w:p>
    <w:p>
      <w:pPr>
        <w:keepNext w:val="false"/>
        <w:spacing w:after="130" w:before="0" w:line="268"/>
        <w:jc w:val="both"/>
      </w:pPr>
      <w:r>
        <w:rPr>
          <w:rFonts w:ascii="Calibri" w:cs="Calibri" w:eastAsia="Calibri" w:hAnsi="Calibri"/>
          <w:color w:val="22303C"/>
          <w:sz w:val="20"/>
          <w:szCs w:val="20"/>
        </w:rPr>
        <w:t xml:space="preserve">FR-6 requires conditional automation — “buy $100 of ROAR whenever it drops 2% in a day” — without trusting the agent to evaluate the condition. The customer signs a standing mandate describing the trigger and the action template; </w:t>
      </w:r>
      <w:r>
        <w:rPr>
          <w:rFonts w:ascii="Calibri" w:cs="Calibri" w:eastAsia="Calibri" w:hAnsi="Calibri"/>
          <w:b/>
          <w:bCs/>
          <w:color w:val="22303C"/>
          <w:sz w:val="20"/>
          <w:szCs w:val="20"/>
        </w:rPr>
        <w:t xml:space="preserve">the trigger is evaluated by the provider</w:t>
      </w:r>
      <w:r>
        <w:rPr>
          <w:rFonts w:ascii="Calibri" w:cs="Calibri" w:eastAsia="Calibri" w:hAnsi="Calibri"/>
          <w:color w:val="22303C"/>
          <w:sz w:val="20"/>
          <w:szCs w:val="20"/>
        </w:rPr>
        <w:t xml:space="preserve">, and the resulting order is minted from the mandate, not from an agent request.</w:t>
      </w:r>
    </w:p>
    <w:p>
      <w:pPr>
        <w:keepLines/>
        <w:pBdr>
          <w:top w:val="single" w:color="C7D0DA" w:sz="2" w:space="2"/>
          <w:left w:val="single" w:color="1E7B96" w:sz="12" w:space="6"/>
        </w:pBdr>
        <w:shd w:fill="F3F5F8" w:color="auto" w:val="clear"/>
        <w:spacing w:after="0" w:before="90" w:line="208"/>
        <w:ind w:left="130" w:right="90"/>
        <w:jc w:val="left"/>
      </w:pPr>
      <w:r>
        <w:rPr>
          <w:rFonts w:ascii="Consolas" w:cs="Consolas" w:eastAsia="Consolas" w:hAnsi="Consolas"/>
          <w:color w:val="12293F"/>
          <w:sz w:val="15"/>
          <w:szCs w:val="15"/>
        </w:rPr>
        <w:t xml:space="preserve">{ "mandate_type": "standing",</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  "intent_type": "equity.order.conditional.v1",</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  "trigger": { "kind": "intraday_price_change", "symbol": "ROAR", "window": "1d",</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                "operator": "&lt;=", "value_pct": -2.0,</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                "evaluator": "broker_side", "max_fires_per_day": 1 },</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  "action_template": { "side": "BUY", "symbol": "ROAR",</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                        "notional": { "currency": "USD", "amount": 100.00 },</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                        "order_type": "MARKET", "time_in_force": "DAY" },</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  "limits": { "max_notional_per_day": { "currency": "USD", "amount": 100.00 },</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              "max_notional_total":   { "currency": "USD", "amount": 2000.00 },</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              "max_open_orders": 1, "halt_on_consecutive_rejections": 2 },</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  "valid_from": "2026-08-01", "valid_until": "2026-10-31",</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  "revocable": true, "pause_on_volatility_halt": true,</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  "notify": { "channel": "push", "on": ["fire", "execution", "rejection", "expiry"] },</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  "human_summary": "Buy $100 of ROAR whenever it falls 2% or more in a day, at most once a",</w:t>
      </w:r>
    </w:p>
    <w:p>
      <w:pPr>
        <w:keepLines/>
        <w:pBdr>
          <w:bottom w:val="single" w:color="C7D0DA" w:sz="2" w:space="2"/>
          <w:left w:val="single" w:color="1E7B96" w:sz="12" w:space="6"/>
        </w:pBdr>
        <w:shd w:fill="F3F5F8" w:color="auto" w:val="clear"/>
        <w:spacing w:after="150" w:before="0" w:line="208"/>
        <w:ind w:left="130" w:right="90"/>
        <w:jc w:val="left"/>
      </w:pPr>
      <w:r>
        <w:rPr>
          <w:rFonts w:ascii="Consolas" w:cs="Consolas" w:eastAsia="Consolas" w:hAnsi="Consolas"/>
          <w:color w:val="12293F"/>
          <w:sz w:val="15"/>
          <w:szCs w:val="15"/>
        </w:rPr>
        <w:t xml:space="preserve">  "human_summary_cont": "day, until 31 Oct 2026, up to $2,000 in total." }</w:t>
      </w:r>
    </w:p>
    <w:tbl>
      <w:tblPr>
        <w:tblW w:type="dxa" w:w="10080"/>
        <w:tblBorders>
          <w:top w:val="single" w:color="1E7B96" w:sz="2"/>
          <w:left w:val="single" w:color="1E7B96" w:sz="14"/>
          <w:bottom w:val="single" w:color="1E7B96" w:sz="2"/>
          <w:right w:val="single" w:color="1E7B96" w:sz="2"/>
          <w:insideH w:val="none" w:color="EEF3F8" w:sz="0"/>
          <w:insideV w:val="none" w:color="EEF3F8" w:sz="0"/>
        </w:tblBorders>
      </w:tblPr>
      <w:tblGrid>
        <w:gridCol w:w="10080"/>
      </w:tblGrid>
      <w:tr>
        <w:tc>
          <w:tcPr>
            <w:tcW w:type="dxa" w:w="10080"/>
            <w:shd w:fill="EEF3F8" w:color="auto" w:val="clear"/>
            <w:tcMar>
              <w:top w:type="dxa" w:w="120"/>
              <w:left w:type="dxa" w:w="160"/>
              <w:bottom w:type="dxa" w:w="120"/>
              <w:right w:type="dxa" w:w="160"/>
            </w:tcMar>
          </w:tcPr>
          <w:p>
            <w:pPr>
              <w:keepNext/>
              <w:spacing w:after="60" w:before="20"/>
            </w:pPr>
            <w:r>
              <w:rPr>
                <w:rFonts w:ascii="Calibri" w:cs="Calibri" w:eastAsia="Calibri" w:hAnsi="Calibri"/>
                <w:color w:val="1E7B96"/>
                <w:sz w:val="18"/>
                <w:szCs w:val="18"/>
              </w:rPr>
              <w:t xml:space="preserve">This is the sharpest architectural divergence from the MCP-based products in market</w:t>
            </w:r>
          </w:p>
          <w:p>
            <w:pPr>
              <w:spacing w:after="80" w:before="0" w:line="254"/>
              <w:jc w:val="both"/>
            </w:pPr>
            <w:r>
              <w:rPr>
                <w:rFonts w:ascii="Calibri" w:cs="Calibri" w:eastAsia="Calibri" w:hAnsi="Calibri"/>
                <w:color w:val="22303C"/>
                <w:sz w:val="18"/>
                <w:szCs w:val="18"/>
              </w:rPr>
              <w:t xml:space="preserve">When the agent evaluates the trigger, the provider cannot supervise the strategy, cannot prove what fired the order, cannot stop it when the agent goes offline mid-strategy, and cannot prevent a hijacked agent from claiming a trigger fired. Every one of those is a supervision finding waiting to happen.</w:t>
            </w:r>
          </w:p>
          <w:p>
            <w:pPr>
              <w:spacing w:after="30" w:before="0" w:line="254"/>
              <w:jc w:val="both"/>
            </w:pPr>
            <w:r>
              <w:rPr>
                <w:rFonts w:ascii="Calibri" w:cs="Calibri" w:eastAsia="Calibri" w:hAnsi="Calibri"/>
                <w:color w:val="22303C"/>
                <w:sz w:val="18"/>
                <w:szCs w:val="18"/>
              </w:rPr>
              <w:t xml:space="preserve">When the provider evaluates the trigger, the automation runs even with the agent disconnected, the firing condition is recorded and replayable, volatility halts and caps are honoured server-side, and the customer can revoke it from their phone. The agent’s role reverts to what it is good at: helping the customer express the strategy in the first place.</w:t>
            </w:r>
          </w:p>
        </w:tc>
      </w:tr>
    </w:tbl>
    <w:p>
      <w:pPr>
        <w:pStyle w:val="Heading2"/>
      </w:pPr>
      <w:r>
        <w:rPr>
          <w:rFonts w:ascii="Calibri Light" w:cs="Calibri Light" w:eastAsia="Calibri Light" w:hAnsi="Calibri Light"/>
          <w:color w:val="1B3A5C"/>
          <w:sz w:val="23"/>
          <w:szCs w:val="23"/>
        </w:rPr>
        <w:t xml:space="preserve">5.9  Execution, idempotency and compensation</w:t>
      </w:r>
    </w:p>
    <w:p>
      <w:pPr>
        <w:pStyle w:val="ListParagraph"/>
        <w:numPr>
          <w:ilvl w:val="0"/>
          <w:numId w:val="31"/>
        </w:numPr>
        <w:spacing w:after="66" w:before="24" w:line="262"/>
        <w:jc w:val="both"/>
      </w:pPr>
      <w:r>
        <w:rPr>
          <w:rFonts w:ascii="Calibri" w:cs="Calibri" w:eastAsia="Calibri" w:hAnsi="Calibri"/>
          <w:b/>
          <w:bCs/>
          <w:color w:val="22303C"/>
          <w:sz w:val="20"/>
          <w:szCs w:val="20"/>
        </w:rPr>
        <w:t xml:space="preserve">Idempotency key is the intent hash.</w:t>
      </w:r>
      <w:r>
        <w:rPr>
          <w:rFonts w:ascii="Calibri" w:cs="Calibri" w:eastAsia="Calibri" w:hAnsi="Calibri"/>
          <w:color w:val="22303C"/>
          <w:sz w:val="20"/>
          <w:szCs w:val="20"/>
        </w:rPr>
        <w:t xml:space="preserve"> A replayed execution returns the original receipt. It is impossible to produce two orders from one approved intent, however many times the request is retried.</w:t>
      </w:r>
    </w:p>
    <w:p>
      <w:pPr>
        <w:pStyle w:val="ListParagraph"/>
        <w:numPr>
          <w:ilvl w:val="0"/>
          <w:numId w:val="31"/>
        </w:numPr>
        <w:spacing w:after="66" w:before="24" w:line="262"/>
        <w:jc w:val="both"/>
      </w:pPr>
      <w:r>
        <w:rPr>
          <w:rFonts w:ascii="Calibri" w:cs="Calibri" w:eastAsia="Calibri" w:hAnsi="Calibri"/>
          <w:b/>
          <w:bCs/>
          <w:color w:val="22303C"/>
          <w:sz w:val="20"/>
          <w:szCs w:val="20"/>
        </w:rPr>
        <w:t xml:space="preserve">Second-pass verification at the boundary.</w:t>
      </w:r>
      <w:r>
        <w:rPr>
          <w:rFonts w:ascii="Calibri" w:cs="Calibri" w:eastAsia="Calibri" w:hAnsi="Calibri"/>
          <w:color w:val="22303C"/>
          <w:sz w:val="20"/>
          <w:szCs w:val="20"/>
        </w:rPr>
        <w:t xml:space="preserve"> Mandate signature, TTL, revocation status, </w:t>
      </w:r>
      <w:r>
        <w:rPr>
          <w:rFonts w:ascii="Consolas" w:cs="Consolas" w:eastAsia="Consolas" w:hAnsi="Consolas"/>
          <w:color w:val="12293F"/>
          <w:sz w:val="17"/>
          <w:szCs w:val="17"/>
        </w:rPr>
        <w:t xml:space="preserve">cnf</w:t>
      </w:r>
      <w:r>
        <w:rPr>
          <w:rFonts w:ascii="Calibri" w:cs="Calibri" w:eastAsia="Calibri" w:hAnsi="Calibri"/>
          <w:color w:val="22303C"/>
          <w:sz w:val="20"/>
          <w:szCs w:val="20"/>
        </w:rPr>
        <w:t xml:space="preserve"> binding and envelope limits are all re-checked immediately before the internal call. Zone 3 also applies its own independent pre-trade gate.</w:t>
      </w:r>
    </w:p>
    <w:p>
      <w:pPr>
        <w:pStyle w:val="ListParagraph"/>
        <w:numPr>
          <w:ilvl w:val="0"/>
          <w:numId w:val="31"/>
        </w:numPr>
        <w:spacing w:after="66" w:before="24" w:line="262"/>
        <w:jc w:val="both"/>
      </w:pPr>
      <w:r>
        <w:rPr>
          <w:rFonts w:ascii="Calibri" w:cs="Calibri" w:eastAsia="Calibri" w:hAnsi="Calibri"/>
          <w:b/>
          <w:bCs/>
          <w:color w:val="22303C"/>
          <w:sz w:val="20"/>
          <w:szCs w:val="20"/>
        </w:rPr>
        <w:t xml:space="preserve">Sagas for multi-step outcomes.</w:t>
      </w:r>
      <w:r>
        <w:rPr>
          <w:rFonts w:ascii="Calibri" w:cs="Calibri" w:eastAsia="Calibri" w:hAnsi="Calibri"/>
          <w:color w:val="22303C"/>
          <w:sz w:val="20"/>
          <w:szCs w:val="20"/>
        </w:rPr>
        <w:t xml:space="preserve"> A rebalance expands into an ordered plan — sells before buys, cash settlement respected — executed step by step with compensations. Partial completion is a first-class, reported outcome, never an exception.</w:t>
      </w:r>
    </w:p>
    <w:p>
      <w:pPr>
        <w:pStyle w:val="ListParagraph"/>
        <w:numPr>
          <w:ilvl w:val="0"/>
          <w:numId w:val="31"/>
        </w:numPr>
        <w:spacing w:after="66" w:before="24" w:line="262"/>
        <w:jc w:val="both"/>
      </w:pPr>
      <w:r>
        <w:rPr>
          <w:rFonts w:ascii="Calibri" w:cs="Calibri" w:eastAsia="Calibri" w:hAnsi="Calibri"/>
          <w:b/>
          <w:bCs/>
          <w:color w:val="22303C"/>
          <w:sz w:val="20"/>
          <w:szCs w:val="20"/>
        </w:rPr>
        <w:t xml:space="preserve">Circuit breakers.</w:t>
      </w:r>
      <w:r>
        <w:rPr>
          <w:rFonts w:ascii="Calibri" w:cs="Calibri" w:eastAsia="Calibri" w:hAnsi="Calibri"/>
          <w:color w:val="22303C"/>
          <w:sz w:val="20"/>
          <w:szCs w:val="20"/>
        </w:rPr>
        <w:t xml:space="preserve"> Per intent type, per agent, per instrument and global. Consecutive rejections, abnormal submission rates or a spike in one symbol trip the breaker and page a human.</w:t>
      </w:r>
    </w:p>
    <w:p>
      <w:pPr>
        <w:pStyle w:val="ListParagraph"/>
        <w:numPr>
          <w:ilvl w:val="0"/>
          <w:numId w:val="31"/>
        </w:numPr>
        <w:spacing w:after="66" w:before="24" w:line="262"/>
        <w:jc w:val="both"/>
      </w:pPr>
      <w:r>
        <w:rPr>
          <w:rFonts w:ascii="Calibri" w:cs="Calibri" w:eastAsia="Calibri" w:hAnsi="Calibri"/>
          <w:b/>
          <w:bCs/>
          <w:color w:val="22303C"/>
          <w:sz w:val="20"/>
          <w:szCs w:val="20"/>
        </w:rPr>
        <w:t xml:space="preserve">Kill switch semantics are defined in advance.</w:t>
      </w:r>
      <w:r>
        <w:rPr>
          <w:rFonts w:ascii="Calibri" w:cs="Calibri" w:eastAsia="Calibri" w:hAnsi="Calibri"/>
          <w:color w:val="22303C"/>
          <w:sz w:val="20"/>
          <w:szCs w:val="20"/>
        </w:rPr>
        <w:t xml:space="preserve"> On activation: refuse new executions, cancel open agent-originated orders where cancellable, void standing mandates, keep reads available, and write a ledger entry explaining who pulled it and why.</w:t>
      </w:r>
    </w:p>
    <w:p>
      <w:pPr>
        <w:pStyle w:val="Heading2"/>
      </w:pPr>
      <w:r>
        <w:rPr>
          <w:rFonts w:ascii="Calibri Light" w:cs="Calibri Light" w:eastAsia="Calibri Light" w:hAnsi="Calibri Light"/>
          <w:color w:val="1B3A5C"/>
          <w:sz w:val="23"/>
          <w:szCs w:val="23"/>
        </w:rPr>
        <w:t xml:space="preserve">5.10  Evidence, receipts and non-repudiation</w:t>
      </w:r>
    </w:p>
    <w:p>
      <w:pPr>
        <w:keepNext w:val="false"/>
        <w:spacing w:after="130" w:before="0" w:line="268"/>
        <w:jc w:val="both"/>
      </w:pPr>
      <w:r>
        <w:rPr>
          <w:rFonts w:ascii="Calibri" w:cs="Calibri" w:eastAsia="Calibri" w:hAnsi="Calibri"/>
          <w:color w:val="22303C"/>
          <w:sz w:val="20"/>
          <w:szCs w:val="20"/>
        </w:rPr>
        <w:t xml:space="preserve">The receipt is the deliverable that makes the whole design defensible. It is generated by the provider, signed by the provider, chained to its predecessor, and retained to regulatory standard.</w:t>
      </w:r>
    </w:p>
    <w:p>
      <w:pPr>
        <w:keepLines/>
        <w:pBdr>
          <w:top w:val="single" w:color="C7D0DA" w:sz="2" w:space="2"/>
          <w:left w:val="single" w:color="1E7B96" w:sz="12" w:space="6"/>
        </w:pBdr>
        <w:shd w:fill="F3F5F8" w:color="auto" w:val="clear"/>
        <w:spacing w:after="0" w:before="90" w:line="208"/>
        <w:ind w:left="130" w:right="90"/>
        <w:jc w:val="left"/>
      </w:pPr>
      <w:r>
        <w:rPr>
          <w:rFonts w:ascii="Consolas" w:cs="Consolas" w:eastAsia="Consolas" w:hAnsi="Consolas"/>
          <w:color w:val="12293F"/>
          <w:sz w:val="15"/>
          <w:szCs w:val="15"/>
        </w:rPr>
        <w:t xml:space="preserve">{ "receipt_id": "rcp_01J9WQ8H2M", "issued_at": "2026-07-29T20:47:15.412Z",</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  "chain": { "intent_hash":   "sha256:8ad2f0c1...",</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              "mandate_jti":   "mnd_01J9WQ7C4E",</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              "decision_hash": "sha256:c41d3b77...",   // versioned rule set + inputs</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              "prev_receipt_hash": "sha256:77b0a9e2..." },</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  "principals": { "human": "usr_88213", "agent": "agt_2f19",</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                   "workload": "spiffe://ace/exec-orchestrator" },</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  "authorised_effect": { "side": "BUY", "symbol": "ROAR", "quantity": 12,</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                          "order_type": "LIMIT", "limit_price": 205.00,</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                          "time_in_force": "DAY", "max_principal": 2460.03 },</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  "execution": { "broker_order_id": "ORD-88213-4417", "status": "working",</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                  "accepted_at": "2026-07-29T20:47:15.288Z", "route": "smart" },</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  "controls_applied": [ "buying_power", "sea_15c3_5.order_size",</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      "sea_15c3_5.credit_capital", "erroneous_order", "restricted_list", "pdt",</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      "suitability_reg_bi", "mandate_verify", "envelope_check" ],</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  "rule_set_version": "pretrade-2026.07.02",</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  "records": { "cat_reportable": true, "retention": "sec_17a-4(f)",</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                "evidence_ref": "wrm://ledger/2026/07/29/rcp_01J9WQ8H2M" },</w:t>
      </w:r>
    </w:p>
    <w:p>
      <w:pPr>
        <w:keepLines/>
        <w:pBdr>
          <w:bottom w:val="single" w:color="C7D0DA" w:sz="2" w:space="2"/>
          <w:left w:val="single" w:color="1E7B96" w:sz="12" w:space="6"/>
        </w:pBdr>
        <w:shd w:fill="F3F5F8" w:color="auto" w:val="clear"/>
        <w:spacing w:after="150" w:before="0" w:line="208"/>
        <w:ind w:left="130" w:right="90"/>
        <w:jc w:val="left"/>
      </w:pPr>
      <w:r>
        <w:rPr>
          <w:rFonts w:ascii="Consolas" w:cs="Consolas" w:eastAsia="Consolas" w:hAnsi="Consolas"/>
          <w:color w:val="12293F"/>
          <w:sz w:val="15"/>
          <w:szCs w:val="15"/>
        </w:rPr>
        <w:t xml:space="preserve">  "signature": "&lt;detached JWS over the canonical receipt&gt;" }</w:t>
      </w:r>
    </w:p>
    <w:tbl>
      <w:tblPr>
        <w:tblW w:type="dxa" w:w="10080"/>
        <w:tblBorders>
          <w:top w:val="single" w:color="1B3A5C" w:sz="4"/>
          <w:left w:val="none" w:color="FFFFFF" w:sz="0"/>
          <w:bottom w:val="single" w:color="1B3A5C" w:sz="4"/>
          <w:right w:val="none" w:color="FFFFFF" w:sz="0"/>
          <w:insideH w:val="single" w:color="C7D0DA" w:sz="2"/>
          <w:insideV w:val="single" w:color="C7D0DA" w:sz="2"/>
        </w:tblBorders>
      </w:tblPr>
      <w:tblGrid>
        <w:gridCol w:w="3427"/>
        <w:gridCol w:w="6653"/>
      </w:tblGrid>
      <w:tr>
        <w:trPr>
          <w:tblHeader/>
        </w:trPr>
        <w:tc>
          <w:tcPr>
            <w:tcW w:type="dxa" w:w="3427"/>
            <w:shd w:fill="1B3A5C"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FFFFFF"/>
                <w:sz w:val="17"/>
                <w:szCs w:val="17"/>
              </w:rPr>
              <w:t xml:space="preserve">Question asked later</w:t>
            </w:r>
          </w:p>
        </w:tc>
        <w:tc>
          <w:tcPr>
            <w:tcW w:type="dxa" w:w="6653"/>
            <w:shd w:fill="1B3A5C"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FFFFFF"/>
                <w:sz w:val="17"/>
                <w:szCs w:val="17"/>
              </w:rPr>
              <w:t xml:space="preserve">Where the answer comes from</w:t>
            </w:r>
          </w:p>
        </w:tc>
      </w:tr>
      <w:tr>
        <w:tc>
          <w:tcPr>
            <w:tcW w:type="dxa" w:w="3427"/>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Did the customer authorise this order?</w:t>
            </w:r>
          </w:p>
        </w:tc>
        <w:tc>
          <w:tcPr>
            <w:tcW w:type="dxa" w:w="6653"/>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The mandate: a human signature over a hash of the exact simulated effect, with the authentication method and device recorded.</w:t>
            </w:r>
          </w:p>
        </w:tc>
      </w:tr>
      <w:tr>
        <w:tc>
          <w:tcPr>
            <w:tcW w:type="dxa" w:w="3427"/>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Was it the customer or the agent that decided?</w:t>
            </w:r>
          </w:p>
        </w:tc>
        <w:tc>
          <w:tcPr>
            <w:tcW w:type="dxa" w:w="6653"/>
            <w:shd w:fill="F4F7FA" w:color="auto" w:val="clear"/>
            <w:tcMar>
              <w:top w:type="dxa" w:w="60"/>
              <w:left w:type="dxa" w:w="100"/>
              <w:bottom w:type="dxa" w:w="60"/>
              <w:right w:type="dxa" w:w="100"/>
            </w:tcMar>
            <w:vAlign w:val="top"/>
          </w:tcPr>
          <w:p>
            <w:pPr>
              <w:spacing w:after="40" w:before="40" w:line="240"/>
              <w:jc w:val="left"/>
            </w:pPr>
            <w:r>
              <w:rPr>
                <w:rFonts w:ascii="Consolas" w:cs="Consolas" w:eastAsia="Consolas" w:hAnsi="Consolas"/>
                <w:color w:val="12293F"/>
                <w:sz w:val="14"/>
                <w:szCs w:val="14"/>
              </w:rPr>
              <w:t xml:space="preserve">sub</w:t>
            </w:r>
            <w:r>
              <w:rPr>
                <w:rFonts w:ascii="Calibri" w:cs="Calibri" w:eastAsia="Calibri" w:hAnsi="Calibri"/>
                <w:color w:val="22303C"/>
                <w:sz w:val="17"/>
                <w:szCs w:val="17"/>
              </w:rPr>
              <w:t xml:space="preserve"> versus </w:t>
            </w:r>
            <w:r>
              <w:rPr>
                <w:rFonts w:ascii="Consolas" w:cs="Consolas" w:eastAsia="Consolas" w:hAnsi="Consolas"/>
                <w:color w:val="12293F"/>
                <w:sz w:val="14"/>
                <w:szCs w:val="14"/>
              </w:rPr>
              <w:t xml:space="preserve">act.sub</w:t>
            </w:r>
            <w:r>
              <w:rPr>
                <w:rFonts w:ascii="Calibri" w:cs="Calibri" w:eastAsia="Calibri" w:hAnsi="Calibri"/>
                <w:color w:val="22303C"/>
                <w:sz w:val="17"/>
                <w:szCs w:val="17"/>
              </w:rPr>
              <w:t xml:space="preserve"> in the mandate, plus the recorded (untrusted) agent rationale for context.</w:t>
            </w:r>
          </w:p>
        </w:tc>
      </w:tr>
      <w:tr>
        <w:tc>
          <w:tcPr>
            <w:tcW w:type="dxa" w:w="3427"/>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Which controls ran, and under which rules?</w:t>
            </w:r>
          </w:p>
        </w:tc>
        <w:tc>
          <w:tcPr>
            <w:tcW w:type="dxa" w:w="6653"/>
            <w:tcMar>
              <w:top w:type="dxa" w:w="60"/>
              <w:left w:type="dxa" w:w="100"/>
              <w:bottom w:type="dxa" w:w="60"/>
              <w:right w:type="dxa" w:w="100"/>
            </w:tcMar>
            <w:vAlign w:val="top"/>
          </w:tcPr>
          <w:p>
            <w:pPr>
              <w:spacing w:after="40" w:before="40" w:line="240"/>
              <w:jc w:val="left"/>
            </w:pPr>
            <w:r>
              <w:rPr>
                <w:rFonts w:ascii="Consolas" w:cs="Consolas" w:eastAsia="Consolas" w:hAnsi="Consolas"/>
                <w:color w:val="12293F"/>
                <w:sz w:val="14"/>
                <w:szCs w:val="14"/>
              </w:rPr>
              <w:t xml:space="preserve">controls_applied</w:t>
            </w:r>
            <w:r>
              <w:rPr>
                <w:rFonts w:ascii="Calibri" w:cs="Calibri" w:eastAsia="Calibri" w:hAnsi="Calibri"/>
                <w:color w:val="22303C"/>
                <w:sz w:val="17"/>
                <w:szCs w:val="17"/>
              </w:rPr>
              <w:t xml:space="preserve"> plus </w:t>
            </w:r>
            <w:r>
              <w:rPr>
                <w:rFonts w:ascii="Consolas" w:cs="Consolas" w:eastAsia="Consolas" w:hAnsi="Consolas"/>
                <w:color w:val="12293F"/>
                <w:sz w:val="14"/>
                <w:szCs w:val="14"/>
              </w:rPr>
              <w:t xml:space="preserve">rule_set_version</w:t>
            </w:r>
            <w:r>
              <w:rPr>
                <w:rFonts w:ascii="Calibri" w:cs="Calibri" w:eastAsia="Calibri" w:hAnsi="Calibri"/>
                <w:color w:val="22303C"/>
                <w:sz w:val="17"/>
                <w:szCs w:val="17"/>
              </w:rPr>
              <w:t xml:space="preserve">, which allows the decision to be replayed byte-for-byte.</w:t>
            </w:r>
          </w:p>
        </w:tc>
      </w:tr>
      <w:tr>
        <w:tc>
          <w:tcPr>
            <w:tcW w:type="dxa" w:w="3427"/>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Could the record have been altered afterwards?</w:t>
            </w:r>
          </w:p>
        </w:tc>
        <w:tc>
          <w:tcPr>
            <w:tcW w:type="dxa" w:w="6653"/>
            <w:shd w:fill="F4F7FA" w:color="auto" w:val="clear"/>
            <w:tcMar>
              <w:top w:type="dxa" w:w="60"/>
              <w:left w:type="dxa" w:w="100"/>
              <w:bottom w:type="dxa" w:w="60"/>
              <w:right w:type="dxa" w:w="100"/>
            </w:tcMar>
            <w:vAlign w:val="top"/>
          </w:tcPr>
          <w:p>
            <w:pPr>
              <w:spacing w:after="40" w:before="40" w:line="240"/>
              <w:jc w:val="left"/>
            </w:pPr>
            <w:r>
              <w:rPr>
                <w:rFonts w:ascii="Consolas" w:cs="Consolas" w:eastAsia="Consolas" w:hAnsi="Consolas"/>
                <w:color w:val="12293F"/>
                <w:sz w:val="14"/>
                <w:szCs w:val="14"/>
              </w:rPr>
              <w:t xml:space="preserve">prev_receipt_hash</w:t>
            </w:r>
            <w:r>
              <w:rPr>
                <w:rFonts w:ascii="Calibri" w:cs="Calibri" w:eastAsia="Calibri" w:hAnsi="Calibri"/>
                <w:color w:val="22303C"/>
                <w:sz w:val="17"/>
                <w:szCs w:val="17"/>
              </w:rPr>
              <w:t xml:space="preserve"> chaining plus WORM retention; any alteration breaks the chain.</w:t>
            </w:r>
          </w:p>
        </w:tc>
      </w:tr>
      <w:tr>
        <w:tc>
          <w:tcPr>
            <w:tcW w:type="dxa" w:w="3427"/>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What did the customer actually see?</w:t>
            </w:r>
          </w:p>
        </w:tc>
        <w:tc>
          <w:tcPr>
            <w:tcW w:type="dxa" w:w="6653"/>
            <w:tcMar>
              <w:top w:type="dxa" w:w="60"/>
              <w:left w:type="dxa" w:w="100"/>
              <w:bottom w:type="dxa" w:w="60"/>
              <w:right w:type="dxa" w:w="100"/>
            </w:tcMar>
            <w:vAlign w:val="top"/>
          </w:tcPr>
          <w:p>
            <w:pPr>
              <w:spacing w:after="40" w:before="40" w:line="240"/>
              <w:jc w:val="left"/>
            </w:pPr>
            <w:r>
              <w:rPr>
                <w:rFonts w:ascii="Consolas" w:cs="Consolas" w:eastAsia="Consolas" w:hAnsi="Consolas"/>
                <w:color w:val="12293F"/>
                <w:sz w:val="14"/>
                <w:szCs w:val="14"/>
              </w:rPr>
              <w:t xml:space="preserve">authn.binding_message_hash</w:t>
            </w:r>
            <w:r>
              <w:rPr>
                <w:rFonts w:ascii="Calibri" w:cs="Calibri" w:eastAsia="Calibri" w:hAnsi="Calibri"/>
                <w:color w:val="22303C"/>
                <w:sz w:val="17"/>
                <w:szCs w:val="17"/>
              </w:rPr>
              <w:t xml:space="preserve">, computed over the exact text rendered on the approval device.</w:t>
            </w:r>
          </w:p>
        </w:tc>
      </w:tr>
      <w:tr>
        <w:tc>
          <w:tcPr>
            <w:tcW w:type="dxa" w:w="3427"/>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Why was this order rejected?</w:t>
            </w:r>
          </w:p>
        </w:tc>
        <w:tc>
          <w:tcPr>
            <w:tcW w:type="dxa" w:w="6653"/>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The rejected intent and its violation codes are retained with the same rigour as accepted ones — rejections are evidence too.</w:t>
            </w:r>
          </w:p>
        </w:tc>
      </w:tr>
    </w:tbl>
    <w:p>
      <w:pPr>
        <w:pStyle w:val="Heading2"/>
      </w:pPr>
      <w:r>
        <w:rPr>
          <w:rFonts w:ascii="Calibri Light" w:cs="Calibri Light" w:eastAsia="Calibri Light" w:hAnsi="Calibri Light"/>
          <w:color w:val="1B3A5C"/>
          <w:sz w:val="23"/>
          <w:szCs w:val="23"/>
        </w:rPr>
        <w:t xml:space="preserve">5.11  Metering, quotas and cost control</w:t>
      </w:r>
    </w:p>
    <w:p>
      <w:pPr>
        <w:keepNext w:val="false"/>
        <w:spacing w:after="130" w:before="0" w:line="268"/>
        <w:jc w:val="both"/>
      </w:pPr>
      <w:r>
        <w:rPr>
          <w:rFonts w:ascii="Calibri" w:cs="Calibri" w:eastAsia="Calibri" w:hAnsi="Calibri"/>
          <w:color w:val="22303C"/>
          <w:sz w:val="20"/>
          <w:szCs w:val="20"/>
        </w:rPr>
        <w:t xml:space="preserve">This is where the economics of §3.5 become mechanism rather than aspiration.</w:t>
      </w:r>
    </w:p>
    <w:tbl>
      <w:tblPr>
        <w:tblW w:type="dxa" w:w="10080"/>
        <w:tblBorders>
          <w:top w:val="single" w:color="1B3A5C" w:sz="4"/>
          <w:left w:val="none" w:color="FFFFFF" w:sz="0"/>
          <w:bottom w:val="single" w:color="1B3A5C" w:sz="4"/>
          <w:right w:val="none" w:color="FFFFFF" w:sz="0"/>
          <w:insideH w:val="single" w:color="C7D0DA" w:sz="2"/>
          <w:insideV w:val="single" w:color="C7D0DA" w:sz="2"/>
        </w:tblBorders>
      </w:tblPr>
      <w:tblGrid>
        <w:gridCol w:w="4032"/>
        <w:gridCol w:w="6048"/>
      </w:tblGrid>
      <w:tr>
        <w:trPr>
          <w:tblHeader/>
        </w:trPr>
        <w:tc>
          <w:tcPr>
            <w:tcW w:type="dxa" w:w="4032"/>
            <w:shd w:fill="1B3A5C"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FFFFFF"/>
                <w:sz w:val="17"/>
                <w:szCs w:val="17"/>
              </w:rPr>
              <w:t xml:space="preserve">Mechanism</w:t>
            </w:r>
          </w:p>
        </w:tc>
        <w:tc>
          <w:tcPr>
            <w:tcW w:type="dxa" w:w="6048"/>
            <w:shd w:fill="1B3A5C"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FFFFFF"/>
                <w:sz w:val="17"/>
                <w:szCs w:val="17"/>
              </w:rPr>
              <w:t xml:space="preserve">Effect</w:t>
            </w:r>
          </w:p>
        </w:tc>
      </w:tr>
      <w:tr>
        <w:tc>
          <w:tcPr>
            <w:tcW w:type="dxa" w:w="4032"/>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Every request attributed to </w:t>
            </w:r>
            <w:r>
              <w:rPr>
                <w:rFonts w:ascii="Consolas" w:cs="Consolas" w:eastAsia="Consolas" w:hAnsi="Consolas"/>
                <w:color w:val="12293F"/>
                <w:sz w:val="14"/>
                <w:szCs w:val="14"/>
              </w:rPr>
              <w:t xml:space="preserve">(human, agent, purpose, intent_type)</w:t>
            </w:r>
          </w:p>
        </w:tc>
        <w:tc>
          <w:tcPr>
            <w:tcW w:type="dxa" w:w="6048"/>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Cost, abuse and value are all measurable along the same axis. Unattributable traffic is rejected at the edge rather than absorbed.</w:t>
            </w:r>
          </w:p>
        </w:tc>
      </w:tr>
      <w:tr>
        <w:tc>
          <w:tcPr>
            <w:tcW w:type="dxa" w:w="4032"/>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Egress budgets on the read path</w:t>
            </w:r>
          </w:p>
        </w:tc>
        <w:tc>
          <w:tcPr>
            <w:tcW w:type="dxa" w:w="6048"/>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Bounds the worst case of a looping agent, and makes harvesting visible long before it becomes expensive.</w:t>
            </w:r>
          </w:p>
        </w:tc>
      </w:tr>
      <w:tr>
        <w:tc>
          <w:tcPr>
            <w:tcW w:type="dxa" w:w="4032"/>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Server-side composition in data products</w:t>
            </w:r>
          </w:p>
        </w:tc>
        <w:tc>
          <w:tcPr>
            <w:tcW w:type="dxa" w:w="6048"/>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One agent request becomes one internal fan-out that the provider designed, not fifteen the model improvised. This is the single largest compute saving.</w:t>
            </w:r>
          </w:p>
        </w:tc>
      </w:tr>
      <w:tr>
        <w:tc>
          <w:tcPr>
            <w:tcW w:type="dxa" w:w="4032"/>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Cacheable, versioned projections</w:t>
            </w:r>
          </w:p>
        </w:tc>
        <w:tc>
          <w:tcPr>
            <w:tcW w:type="dxa" w:w="6048"/>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Predictable hit ratios, because the provider controls the shape of the query rather than the model.</w:t>
            </w:r>
          </w:p>
        </w:tc>
      </w:tr>
      <w:tr>
        <w:tc>
          <w:tcPr>
            <w:tcW w:type="dxa" w:w="4032"/>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Intent-level pricing and quotas</w:t>
            </w:r>
          </w:p>
        </w:tc>
        <w:tc>
          <w:tcPr>
            <w:tcW w:type="dxa" w:w="6048"/>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Commercial terms can be written against approved outcomes — the same unit the business already understands.</w:t>
            </w:r>
          </w:p>
        </w:tc>
      </w:tr>
      <w:tr>
        <w:tc>
          <w:tcPr>
            <w:tcW w:type="dxa" w:w="4032"/>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No session infrastructure</w:t>
            </w:r>
          </w:p>
        </w:tc>
        <w:tc>
          <w:tcPr>
            <w:tcW w:type="dxa" w:w="6048"/>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Capacity scales with requests in flight, not with connected agents idling through a customer’s working day.</w:t>
            </w:r>
          </w:p>
        </w:tc>
      </w:tr>
      <w:tr>
        <w:tc>
          <w:tcPr>
            <w:tcW w:type="dxa" w:w="4032"/>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Three verbs, no client matrix</w:t>
            </w:r>
          </w:p>
        </w:tc>
        <w:tc>
          <w:tcPr>
            <w:tcW w:type="dxa" w:w="6048"/>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Support and engineering — the dominant cost lines — stop scaling with the number of external host runtimes.</w:t>
            </w:r>
          </w:p>
        </w:tc>
      </w:tr>
    </w:tbl>
    <w:p>
      <w:pPr>
        <w:pStyle w:val="Heading2"/>
      </w:pPr>
      <w:r>
        <w:rPr>
          <w:rFonts w:ascii="Calibri Light" w:cs="Calibri Light" w:eastAsia="Calibri Light" w:hAnsi="Calibri Light"/>
          <w:color w:val="1B3A5C"/>
          <w:sz w:val="23"/>
          <w:szCs w:val="23"/>
        </w:rPr>
        <w:t xml:space="preserve">5.12  Observability and surveillance</w:t>
      </w:r>
    </w:p>
    <w:p>
      <w:pPr>
        <w:pStyle w:val="ListParagraph"/>
        <w:numPr>
          <w:ilvl w:val="0"/>
          <w:numId w:val="32"/>
        </w:numPr>
        <w:spacing w:after="66" w:before="24" w:line="262"/>
        <w:jc w:val="both"/>
      </w:pPr>
      <w:r>
        <w:rPr>
          <w:rFonts w:ascii="Calibri" w:cs="Calibri" w:eastAsia="Calibri" w:hAnsi="Calibri"/>
          <w:b/>
          <w:bCs/>
          <w:color w:val="22303C"/>
          <w:sz w:val="20"/>
          <w:szCs w:val="20"/>
        </w:rPr>
        <w:t xml:space="preserve">One trace per intent</w:t>
      </w:r>
      <w:r>
        <w:rPr>
          <w:rFonts w:ascii="Calibri" w:cs="Calibri" w:eastAsia="Calibri" w:hAnsi="Calibri"/>
          <w:color w:val="22303C"/>
          <w:sz w:val="20"/>
          <w:szCs w:val="20"/>
        </w:rPr>
        <w:t xml:space="preserve">, spanning submission, validation, approval, execution and receipt, with the intent hash as the correlation identifier across every service and log.</w:t>
      </w:r>
    </w:p>
    <w:p>
      <w:pPr>
        <w:pStyle w:val="ListParagraph"/>
        <w:numPr>
          <w:ilvl w:val="0"/>
          <w:numId w:val="32"/>
        </w:numPr>
        <w:spacing w:after="66" w:before="24" w:line="262"/>
        <w:jc w:val="both"/>
      </w:pPr>
      <w:r>
        <w:rPr>
          <w:rFonts w:ascii="Calibri" w:cs="Calibri" w:eastAsia="Calibri" w:hAnsi="Calibri"/>
          <w:b/>
          <w:bCs/>
          <w:color w:val="22303C"/>
          <w:sz w:val="20"/>
          <w:szCs w:val="20"/>
        </w:rPr>
        <w:t xml:space="preserve">Agents as monitored identities.</w:t>
      </w:r>
      <w:r>
        <w:rPr>
          <w:rFonts w:ascii="Calibri" w:cs="Calibri" w:eastAsia="Calibri" w:hAnsi="Calibri"/>
          <w:color w:val="22303C"/>
          <w:sz w:val="20"/>
          <w:szCs w:val="20"/>
        </w:rPr>
        <w:t xml:space="preserve"> Baselines per agent: submission rate, rejection rate, approval-decline rate, read-to-write ratio, symbol concentration, time-of-day profile. Deviations raise signals — this is the concrete implementation of REG-2’s “monitor for out-of-bounds actions”.</w:t>
      </w:r>
    </w:p>
    <w:p>
      <w:pPr>
        <w:pStyle w:val="ListParagraph"/>
        <w:numPr>
          <w:ilvl w:val="0"/>
          <w:numId w:val="32"/>
        </w:numPr>
        <w:spacing w:after="66" w:before="24" w:line="262"/>
        <w:jc w:val="both"/>
      </w:pPr>
      <w:r>
        <w:rPr>
          <w:rFonts w:ascii="Calibri" w:cs="Calibri" w:eastAsia="Calibri" w:hAnsi="Calibri"/>
          <w:b/>
          <w:bCs/>
          <w:color w:val="22303C"/>
          <w:sz w:val="20"/>
          <w:szCs w:val="20"/>
        </w:rPr>
        <w:t xml:space="preserve">Rejection analytics as a product signal.</w:t>
      </w:r>
      <w:r>
        <w:rPr>
          <w:rFonts w:ascii="Calibri" w:cs="Calibri" w:eastAsia="Calibri" w:hAnsi="Calibri"/>
          <w:color w:val="22303C"/>
          <w:sz w:val="20"/>
          <w:szCs w:val="20"/>
        </w:rPr>
        <w:t xml:space="preserve"> A cluster of </w:t>
      </w:r>
      <w:r>
        <w:rPr>
          <w:rFonts w:ascii="Consolas" w:cs="Consolas" w:eastAsia="Consolas" w:hAnsi="Consolas"/>
          <w:color w:val="12293F"/>
          <w:sz w:val="17"/>
          <w:szCs w:val="17"/>
        </w:rPr>
        <w:t xml:space="preserve">OUTSIDE_GRANT</w:t>
      </w:r>
      <w:r>
        <w:rPr>
          <w:rFonts w:ascii="Calibri" w:cs="Calibri" w:eastAsia="Calibri" w:hAnsi="Calibri"/>
          <w:color w:val="22303C"/>
          <w:sz w:val="20"/>
          <w:szCs w:val="20"/>
        </w:rPr>
        <w:t xml:space="preserve"> rejections usually means the capability descriptors are misleading, not that customers are hostile. Fix the descriptor.</w:t>
      </w:r>
    </w:p>
    <w:p>
      <w:pPr>
        <w:pStyle w:val="ListParagraph"/>
        <w:numPr>
          <w:ilvl w:val="0"/>
          <w:numId w:val="32"/>
        </w:numPr>
        <w:spacing w:after="66" w:before="24" w:line="262"/>
        <w:jc w:val="both"/>
      </w:pPr>
      <w:r>
        <w:rPr>
          <w:rFonts w:ascii="Calibri" w:cs="Calibri" w:eastAsia="Calibri" w:hAnsi="Calibri"/>
          <w:b/>
          <w:bCs/>
          <w:color w:val="22303C"/>
          <w:sz w:val="20"/>
          <w:szCs w:val="20"/>
        </w:rPr>
        <w:t xml:space="preserve">Surveillance over agent-originated flow specifically.</w:t>
      </w:r>
      <w:r>
        <w:rPr>
          <w:rFonts w:ascii="Calibri" w:cs="Calibri" w:eastAsia="Calibri" w:hAnsi="Calibri"/>
          <w:color w:val="22303C"/>
          <w:sz w:val="20"/>
          <w:szCs w:val="20"/>
        </w:rPr>
        <w:t xml:space="preserve"> Layering, spoofing and wash patterns must be detected across agent-originated orders, including patterns that emerge from many customers running the same popular agent or prompt — a genuinely new correlated-behaviour risk that no single-account view will catch.</w:t>
      </w:r>
    </w:p>
    <w:p>
      <w:pPr>
        <w:pStyle w:val="ListParagraph"/>
        <w:numPr>
          <w:ilvl w:val="0"/>
          <w:numId w:val="32"/>
        </w:numPr>
        <w:spacing w:after="66" w:before="24" w:line="262"/>
        <w:jc w:val="both"/>
      </w:pPr>
      <w:r>
        <w:rPr>
          <w:rFonts w:ascii="Calibri" w:cs="Calibri" w:eastAsia="Calibri" w:hAnsi="Calibri"/>
          <w:b/>
          <w:bCs/>
          <w:color w:val="22303C"/>
          <w:sz w:val="20"/>
          <w:szCs w:val="20"/>
        </w:rPr>
        <w:t xml:space="preserve">Approval friction metrics.</w:t>
      </w:r>
      <w:r>
        <w:rPr>
          <w:rFonts w:ascii="Calibri" w:cs="Calibri" w:eastAsia="Calibri" w:hAnsi="Calibri"/>
          <w:color w:val="22303C"/>
          <w:sz w:val="20"/>
          <w:szCs w:val="20"/>
        </w:rPr>
        <w:t xml:space="preserve"> Median time to approve, decline reasons and timeout rates. If explicit approval is too slow, customers will raise </w:t>
      </w:r>
      <w:r>
        <w:rPr>
          <w:rFonts w:ascii="Consolas" w:cs="Consolas" w:eastAsia="Consolas" w:hAnsi="Consolas"/>
          <w:color w:val="12293F"/>
          <w:sz w:val="17"/>
          <w:szCs w:val="17"/>
        </w:rPr>
        <w:t xml:space="preserve">auto_below</w:t>
      </w:r>
      <w:r>
        <w:rPr>
          <w:rFonts w:ascii="Calibri" w:cs="Calibri" w:eastAsia="Calibri" w:hAnsi="Calibri"/>
          <w:color w:val="22303C"/>
          <w:sz w:val="20"/>
          <w:szCs w:val="20"/>
        </w:rPr>
        <w:t xml:space="preserve">, which is a risk transfer that must be visible to the risk committee rather than an invisible product default.</w:t>
      </w:r>
    </w:p>
    <w:p>
      <w:pPr>
        <w:pStyle w:val="Heading2"/>
      </w:pPr>
      <w:r>
        <w:rPr>
          <w:rFonts w:ascii="Calibri Light" w:cs="Calibri Light" w:eastAsia="Calibri Light" w:hAnsi="Calibri Light"/>
          <w:color w:val="1B3A5C"/>
          <w:sz w:val="23"/>
          <w:szCs w:val="23"/>
        </w:rPr>
        <w:t xml:space="preserve">5.13  Technology mapping</w:t>
      </w:r>
    </w:p>
    <w:tbl>
      <w:tblPr>
        <w:tblW w:type="dxa" w:w="10080"/>
        <w:tblBorders>
          <w:top w:val="single" w:color="1B3A5C" w:sz="4"/>
          <w:left w:val="none" w:color="FFFFFF" w:sz="0"/>
          <w:bottom w:val="single" w:color="1B3A5C" w:sz="4"/>
          <w:right w:val="none" w:color="FFFFFF" w:sz="0"/>
          <w:insideH w:val="single" w:color="C7D0DA" w:sz="2"/>
          <w:insideV w:val="single" w:color="C7D0DA" w:sz="2"/>
        </w:tblBorders>
      </w:tblPr>
      <w:tblGrid>
        <w:gridCol w:w="2419"/>
        <w:gridCol w:w="5846"/>
        <w:gridCol w:w="1815"/>
      </w:tblGrid>
      <w:tr>
        <w:trPr>
          <w:tblHeader/>
        </w:trPr>
        <w:tc>
          <w:tcPr>
            <w:tcW w:type="dxa" w:w="2419"/>
            <w:shd w:fill="1B3A5C"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FFFFFF"/>
                <w:sz w:val="17"/>
                <w:szCs w:val="17"/>
              </w:rPr>
              <w:t xml:space="preserve">Concern</w:t>
            </w:r>
          </w:p>
        </w:tc>
        <w:tc>
          <w:tcPr>
            <w:tcW w:type="dxa" w:w="5846"/>
            <w:shd w:fill="1B3A5C"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FFFFFF"/>
                <w:sz w:val="17"/>
                <w:szCs w:val="17"/>
              </w:rPr>
              <w:t xml:space="preserve">Standard or component</w:t>
            </w:r>
          </w:p>
        </w:tc>
        <w:tc>
          <w:tcPr>
            <w:tcW w:type="dxa" w:w="1815"/>
            <w:shd w:fill="1B3A5C"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FFFFFF"/>
                <w:sz w:val="17"/>
                <w:szCs w:val="17"/>
              </w:rPr>
              <w:t xml:space="preserve">Status</w:t>
            </w:r>
          </w:p>
        </w:tc>
      </w:tr>
      <w:tr>
        <w:tc>
          <w:tcPr>
            <w:tcW w:type="dxa" w:w="2419"/>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Transport</w:t>
            </w:r>
          </w:p>
        </w:tc>
        <w:tc>
          <w:tcPr>
            <w:tcW w:type="dxa" w:w="5846"/>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HTTP/2 over TLS 1.3; JSON; OpenAPI 3.1 description</w:t>
            </w:r>
          </w:p>
        </w:tc>
        <w:tc>
          <w:tcPr>
            <w:tcW w:type="dxa" w:w="1815"/>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Ratified</w:t>
            </w:r>
          </w:p>
        </w:tc>
      </w:tr>
      <w:tr>
        <w:tc>
          <w:tcPr>
            <w:tcW w:type="dxa" w:w="2419"/>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Client authentication</w:t>
            </w:r>
          </w:p>
        </w:tc>
        <w:tc>
          <w:tcPr>
            <w:tcW w:type="dxa" w:w="5846"/>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OAuth 2.1 authorisation code + PKCE; mTLS client certificates</w:t>
            </w:r>
          </w:p>
        </w:tc>
        <w:tc>
          <w:tcPr>
            <w:tcW w:type="dxa" w:w="1815"/>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Ratified</w:t>
            </w:r>
          </w:p>
        </w:tc>
      </w:tr>
      <w:tr>
        <w:tc>
          <w:tcPr>
            <w:tcW w:type="dxa" w:w="2419"/>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Sender-constrained tokens</w:t>
            </w:r>
          </w:p>
        </w:tc>
        <w:tc>
          <w:tcPr>
            <w:tcW w:type="dxa" w:w="5846"/>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DPoP (RFC 9449); optionally HTTP message signatures (RFC 9421)</w:t>
            </w:r>
          </w:p>
        </w:tc>
        <w:tc>
          <w:tcPr>
            <w:tcW w:type="dxa" w:w="1815"/>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Ratified</w:t>
            </w:r>
          </w:p>
        </w:tc>
      </w:tr>
      <w:tr>
        <w:tc>
          <w:tcPr>
            <w:tcW w:type="dxa" w:w="2419"/>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Fine-grained authorisation</w:t>
            </w:r>
          </w:p>
        </w:tc>
        <w:tc>
          <w:tcPr>
            <w:tcW w:type="dxa" w:w="5846"/>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Rich Authorization Requests (RFC 9396); pushed authorisation requests (RFC 9126)</w:t>
            </w:r>
          </w:p>
        </w:tc>
        <w:tc>
          <w:tcPr>
            <w:tcW w:type="dxa" w:w="1815"/>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Ratified</w:t>
            </w:r>
          </w:p>
        </w:tc>
      </w:tr>
      <w:tr>
        <w:tc>
          <w:tcPr>
            <w:tcW w:type="dxa" w:w="2419"/>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Delegation chain</w:t>
            </w:r>
          </w:p>
        </w:tc>
        <w:tc>
          <w:tcPr>
            <w:tcW w:type="dxa" w:w="5846"/>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Token exchange (RFC 8693) with </w:t>
            </w:r>
            <w:r>
              <w:rPr>
                <w:rFonts w:ascii="Consolas" w:cs="Consolas" w:eastAsia="Consolas" w:hAnsi="Consolas"/>
                <w:color w:val="12293F"/>
                <w:sz w:val="14"/>
                <w:szCs w:val="14"/>
              </w:rPr>
              <w:t xml:space="preserve">act</w:t>
            </w:r>
            <w:r>
              <w:rPr>
                <w:rFonts w:ascii="Calibri" w:cs="Calibri" w:eastAsia="Calibri" w:hAnsi="Calibri"/>
                <w:color w:val="22303C"/>
                <w:sz w:val="17"/>
                <w:szCs w:val="17"/>
              </w:rPr>
              <w:t xml:space="preserve"> claim; short-lived transaction tokens</w:t>
            </w:r>
          </w:p>
        </w:tc>
        <w:tc>
          <w:tcPr>
            <w:tcW w:type="dxa" w:w="1815"/>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Ratified</w:t>
            </w:r>
          </w:p>
        </w:tc>
      </w:tr>
      <w:tr>
        <w:tc>
          <w:tcPr>
            <w:tcW w:type="dxa" w:w="2419"/>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Out-of-band approval</w:t>
            </w:r>
          </w:p>
        </w:tc>
        <w:tc>
          <w:tcPr>
            <w:tcW w:type="dxa" w:w="5846"/>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OpenID Connect CIBA; FIDO2 / WebAuthn passkeys on the customer device</w:t>
            </w:r>
          </w:p>
        </w:tc>
        <w:tc>
          <w:tcPr>
            <w:tcW w:type="dxa" w:w="1815"/>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Ratified</w:t>
            </w:r>
          </w:p>
        </w:tc>
      </w:tr>
      <w:tr>
        <w:tc>
          <w:tcPr>
            <w:tcW w:type="dxa" w:w="2419"/>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Mandate format</w:t>
            </w:r>
          </w:p>
        </w:tc>
        <w:tc>
          <w:tcPr>
            <w:tcW w:type="dxa" w:w="5846"/>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Signed JWS; optionally W3C Verifiable Credentials for portability</w:t>
            </w:r>
          </w:p>
        </w:tc>
        <w:tc>
          <w:tcPr>
            <w:tcW w:type="dxa" w:w="1815"/>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Ratified / stable</w:t>
            </w:r>
          </w:p>
        </w:tc>
      </w:tr>
      <w:tr>
        <w:tc>
          <w:tcPr>
            <w:tcW w:type="dxa" w:w="2419"/>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Workload identity</w:t>
            </w:r>
          </w:p>
        </w:tc>
        <w:tc>
          <w:tcPr>
            <w:tcW w:type="dxa" w:w="5846"/>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SPIFFE / SVID with mTLS between Zone 2 and Zone 3</w:t>
            </w:r>
          </w:p>
        </w:tc>
        <w:tc>
          <w:tcPr>
            <w:tcW w:type="dxa" w:w="1815"/>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Stable</w:t>
            </w:r>
          </w:p>
        </w:tc>
      </w:tr>
      <w:tr>
        <w:tc>
          <w:tcPr>
            <w:tcW w:type="dxa" w:w="2419"/>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Policy</w:t>
            </w:r>
          </w:p>
        </w:tc>
        <w:tc>
          <w:tcPr>
            <w:tcW w:type="dxa" w:w="5846"/>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Externalised decision point; relationship-based authorisation for row and field scope</w:t>
            </w:r>
          </w:p>
        </w:tc>
        <w:tc>
          <w:tcPr>
            <w:tcW w:type="dxa" w:w="1815"/>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Stable</w:t>
            </w:r>
          </w:p>
        </w:tc>
      </w:tr>
      <w:tr>
        <w:tc>
          <w:tcPr>
            <w:tcW w:type="dxa" w:w="2419"/>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Evidence store</w:t>
            </w:r>
          </w:p>
        </w:tc>
        <w:tc>
          <w:tcPr>
            <w:tcW w:type="dxa" w:w="5846"/>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Append-only hash-chained ledger on WORM storage meeting SEC 17a-4(f)</w:t>
            </w:r>
          </w:p>
        </w:tc>
        <w:tc>
          <w:tcPr>
            <w:tcW w:type="dxa" w:w="1815"/>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Stable</w:t>
            </w:r>
          </w:p>
        </w:tc>
      </w:tr>
      <w:tr>
        <w:tc>
          <w:tcPr>
            <w:tcW w:type="dxa" w:w="2419"/>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Discovery index</w:t>
            </w:r>
          </w:p>
        </w:tc>
        <w:tc>
          <w:tcPr>
            <w:tcW w:type="dxa" w:w="5846"/>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Hybrid lexical + vector retrieval over capability descriptors</w:t>
            </w:r>
          </w:p>
        </w:tc>
        <w:tc>
          <w:tcPr>
            <w:tcW w:type="dxa" w:w="1815"/>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Stable</w:t>
            </w:r>
          </w:p>
        </w:tc>
      </w:tr>
      <w:tr>
        <w:tc>
          <w:tcPr>
            <w:tcW w:type="dxa" w:w="2419"/>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Emerging protocols</w:t>
            </w:r>
          </w:p>
        </w:tc>
        <w:tc>
          <w:tcPr>
            <w:tcW w:type="dxa" w:w="5846"/>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Delegated-task protocols and payment-mandate schemes are supported, if at all, as </w:t>
            </w:r>
            <w:r>
              <w:rPr>
                <w:rFonts w:ascii="Calibri" w:cs="Calibri" w:eastAsia="Calibri" w:hAnsi="Calibri"/>
                <w:b/>
                <w:bCs/>
                <w:color w:val="22303C"/>
                <w:sz w:val="17"/>
                <w:szCs w:val="17"/>
              </w:rPr>
              <w:t xml:space="preserve">optional edge adapters</w:t>
            </w:r>
            <w:r>
              <w:rPr>
                <w:rFonts w:ascii="Calibri" w:cs="Calibri" w:eastAsia="Calibri" w:hAnsi="Calibri"/>
                <w:color w:val="22303C"/>
                <w:sz w:val="17"/>
                <w:szCs w:val="17"/>
              </w:rPr>
              <w:t xml:space="preserve"> that translate into the same three verbs. Never load-bearing.</w:t>
            </w:r>
          </w:p>
        </w:tc>
        <w:tc>
          <w:tcPr>
            <w:tcW w:type="dxa" w:w="1815"/>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Draft — isolated</w:t>
            </w:r>
          </w:p>
        </w:tc>
      </w:tr>
    </w:tbl>
    <w:p>
      <w:r>
        <w:br w:type="page"/>
      </w:r>
    </w:p>
    <w:p>
      <w:pPr>
        <w:pStyle w:val="Heading1"/>
      </w:pPr>
      <w:r>
        <w:rPr>
          <w:rFonts w:ascii="Calibri Light" w:cs="Calibri Light" w:eastAsia="Calibri Light" w:hAnsi="Calibri Light"/>
          <w:color w:val="1B3A5C"/>
          <w:sz w:val="28"/>
          <w:szCs w:val="28"/>
        </w:rPr>
        <w:t xml:space="preserve">6  Sequence Flow: Connect, Search, Read, Act</w:t>
      </w:r>
    </w:p>
    <w:p>
      <w:pPr>
        <w:spacing w:after="200" w:before="40" w:line="276"/>
        <w:jc w:val="both"/>
      </w:pPr>
      <w:r>
        <w:rPr>
          <w:rFonts w:ascii="Calibri" w:cs="Calibri" w:eastAsia="Calibri" w:hAnsi="Calibri"/>
          <w:color w:val="42566B"/>
          <w:sz w:val="21"/>
          <w:szCs w:val="21"/>
        </w:rPr>
        <w:t xml:space="preserve">Figure 2 (overleaf) traces one customer goal — “add about $2,500 of ROAR to my agentic account, but don’t pay more than $205” — from an unconnected agent to a working order and a signed receipt. The step table in §6.2 gives the wire-level detail for each numbered arrow.</w:t>
      </w:r>
    </w:p>
    <w:p>
      <w:pPr>
        <w:keepNext w:val="false"/>
        <w:spacing w:after="130" w:before="0" w:line="268"/>
        <w:jc w:val="both"/>
      </w:pPr>
      <w:r>
        <w:rPr>
          <w:rFonts w:ascii="Calibri" w:cs="Calibri" w:eastAsia="Calibri" w:hAnsi="Calibri"/>
          <w:color w:val="22303C"/>
          <w:sz w:val="20"/>
          <w:szCs w:val="20"/>
        </w:rPr>
        <w:t xml:space="preserve">Three things to watch while reading the figure. The </w:t>
      </w:r>
      <w:r>
        <w:rPr>
          <w:rFonts w:ascii="Calibri" w:cs="Calibri" w:eastAsia="Calibri" w:hAnsi="Calibri"/>
          <w:b/>
          <w:bCs/>
          <w:color w:val="22303C"/>
          <w:sz w:val="20"/>
          <w:szCs w:val="20"/>
        </w:rPr>
        <w:t xml:space="preserve">Agent Edge</w:t>
      </w:r>
      <w:r>
        <w:rPr>
          <w:rFonts w:ascii="Calibri" w:cs="Calibri" w:eastAsia="Calibri" w:hAnsi="Calibri"/>
          <w:color w:val="22303C"/>
          <w:sz w:val="20"/>
          <w:szCs w:val="20"/>
        </w:rPr>
        <w:t xml:space="preserve"> column is a band rather than a lifeline because every single agent request crosses it; there is no bypass. The </w:t>
      </w:r>
      <w:r>
        <w:rPr>
          <w:rFonts w:ascii="Calibri" w:cs="Calibri" w:eastAsia="Calibri" w:hAnsi="Calibri"/>
          <w:b/>
          <w:bCs/>
          <w:color w:val="22303C"/>
          <w:sz w:val="20"/>
          <w:szCs w:val="20"/>
        </w:rPr>
        <w:t xml:space="preserve">approval arrows in Phase E reverse direction</w:t>
      </w:r>
      <w:r>
        <w:rPr>
          <w:rFonts w:ascii="Calibri" w:cs="Calibri" w:eastAsia="Calibri" w:hAnsi="Calibri"/>
          <w:color w:val="22303C"/>
          <w:sz w:val="20"/>
          <w:szCs w:val="20"/>
        </w:rPr>
        <w:t xml:space="preserve"> — the exchange calls the human, not the agent, which is what makes the signature meaningful. And </w:t>
      </w:r>
      <w:r>
        <w:rPr>
          <w:rFonts w:ascii="Calibri" w:cs="Calibri" w:eastAsia="Calibri" w:hAnsi="Calibri"/>
          <w:b/>
          <w:bCs/>
          <w:color w:val="22303C"/>
          <w:sz w:val="20"/>
          <w:szCs w:val="20"/>
        </w:rPr>
        <w:t xml:space="preserve">no arrow originates in the agent column and terminates in the Zone 3 column</w:t>
      </w:r>
      <w:r>
        <w:rPr>
          <w:rFonts w:ascii="Calibri" w:cs="Calibri" w:eastAsia="Calibri" w:hAnsi="Calibri"/>
          <w:color w:val="22303C"/>
          <w:sz w:val="20"/>
          <w:szCs w:val="20"/>
        </w:rPr>
        <w:t xml:space="preserve">; the two are never adjacent in the call graph.</w:t>
      </w:r>
    </w:p>
    <w:p>
      <w:r>
        <w:br w:type="page"/>
      </w:r>
    </w:p>
    <w:p>
      <w:pPr>
        <w:sectPr>
          <w:headerReference w:type="default" r:id="rId11"/>
          <w:footerReference w:type="default" r:id="rId12"/>
          <w:pgSz w:w="12240" w:h="15840" w:orient="portrait"/>
          <w:pgMar w:top="1080" w:right="1080" w:bottom="1080" w:left="1080" w:header="620" w:footer="560" w:gutter="0"/>
          <w:pgNumType/>
          <w:docGrid w:linePitch="360"/>
        </w:sectPr>
      </w:pPr>
    </w:p>
    <w:p>
      <w:pPr>
        <w:spacing w:after="60" w:before="0"/>
        <w:jc w:val="center"/>
      </w:pPr>
      <w:r>
        <w:drawing>
          <wp:inline distT="0" distB="0" distL="0" distR="0">
            <wp:extent cx="8763000" cy="657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8763000" cy="6572250"/>
                    </a:xfrm>
                    <a:prstGeom prst="rect">
                      <a:avLst/>
                    </a:prstGeom>
                  </pic:spPr>
                </pic:pic>
              </a:graphicData>
            </a:graphic>
          </wp:inline>
        </w:drawing>
      </w:r>
    </w:p>
    <w:p>
      <w:pPr>
        <w:spacing w:after="180" w:before="100"/>
        <w:jc w:val="center"/>
      </w:pPr>
      <w:r>
        <w:rPr>
          <w:rFonts w:ascii="Calibri" w:cs="Calibri" w:eastAsia="Calibri" w:hAnsi="Calibri"/>
          <w:color w:val="42566B"/>
          <w:sz w:val="17"/>
          <w:szCs w:val="17"/>
        </w:rPr>
        <w:t xml:space="preserve">Figure 2 — End-to-end sequence for a bring-your-own agent: bind, discover, read, intend, approve, execute, evidence. Numbered steps correspond to the rows of Table §6.2.</w:t>
      </w:r>
    </w:p>
    <w:p>
      <w:pPr>
        <w:sectPr>
          <w:headerReference w:type="default" r:id="rId13"/>
          <w:footerReference w:type="default" r:id="rId14"/>
          <w:pgSz w:w="15840" w:h="12240" w:orient="landscape"/>
          <w:pgMar w:top="648" w:right="1008" w:bottom="648" w:left="1008" w:header="400" w:footer="360" w:gutter="0"/>
          <w:pgNumType/>
          <w:docGrid w:linePitch="360"/>
        </w:sectPr>
      </w:pPr>
    </w:p>
    <w:p>
      <w:pPr>
        <w:pStyle w:val="Heading2"/>
      </w:pPr>
      <w:r>
        <w:rPr>
          <w:rFonts w:ascii="Calibri Light" w:cs="Calibri Light" w:eastAsia="Calibri Light" w:hAnsi="Calibri Light"/>
          <w:color w:val="1B3A5C"/>
          <w:sz w:val="23"/>
          <w:szCs w:val="23"/>
        </w:rPr>
        <w:t xml:space="preserve">6.2  Step detail</w:t>
      </w:r>
    </w:p>
    <w:tbl>
      <w:tblPr>
        <w:tblW w:type="dxa" w:w="10080"/>
        <w:tblBorders>
          <w:top w:val="single" w:color="1B3A5C" w:sz="4"/>
          <w:left w:val="none" w:color="FFFFFF" w:sz="0"/>
          <w:bottom w:val="single" w:color="1B3A5C" w:sz="4"/>
          <w:right w:val="none" w:color="FFFFFF" w:sz="0"/>
          <w:insideH w:val="single" w:color="C7D0DA" w:sz="2"/>
          <w:insideV w:val="single" w:color="C7D0DA" w:sz="2"/>
        </w:tblBorders>
      </w:tblPr>
      <w:tblGrid>
        <w:gridCol w:w="403"/>
        <w:gridCol w:w="1714"/>
        <w:gridCol w:w="4234"/>
        <w:gridCol w:w="3729"/>
      </w:tblGrid>
      <w:tr>
        <w:trPr>
          <w:tblHeader/>
        </w:trPr>
        <w:tc>
          <w:tcPr>
            <w:tcW w:type="dxa" w:w="403"/>
            <w:shd w:fill="1B3A5C"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FFFFFF"/>
                <w:sz w:val="15"/>
                <w:szCs w:val="15"/>
              </w:rPr>
              <w:t xml:space="preserve">#</w:t>
            </w:r>
          </w:p>
        </w:tc>
        <w:tc>
          <w:tcPr>
            <w:tcW w:type="dxa" w:w="1714"/>
            <w:shd w:fill="1B3A5C"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FFFFFF"/>
                <w:sz w:val="15"/>
                <w:szCs w:val="15"/>
              </w:rPr>
              <w:t xml:space="preserve">From → To</w:t>
            </w:r>
          </w:p>
        </w:tc>
        <w:tc>
          <w:tcPr>
            <w:tcW w:type="dxa" w:w="4234"/>
            <w:shd w:fill="1B3A5C"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FFFFFF"/>
                <w:sz w:val="15"/>
                <w:szCs w:val="15"/>
              </w:rPr>
              <w:t xml:space="preserve">Wire detail</w:t>
            </w:r>
          </w:p>
        </w:tc>
        <w:tc>
          <w:tcPr>
            <w:tcW w:type="dxa" w:w="3729"/>
            <w:shd w:fill="1B3A5C"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FFFFFF"/>
                <w:sz w:val="15"/>
                <w:szCs w:val="15"/>
              </w:rPr>
              <w:t xml:space="preserve">Control asserted at this step</w:t>
            </w:r>
          </w:p>
        </w:tc>
      </w:tr>
      <w:tr>
        <w:tc>
          <w:tcPr>
            <w:tcW w:type="dxa" w:w="403"/>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1</w:t>
            </w:r>
          </w:p>
        </w:tc>
        <w:tc>
          <w:tcPr>
            <w:tcW w:type="dxa" w:w="1714"/>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Customer → ACE (browser)</w:t>
            </w:r>
          </w:p>
        </w:tc>
        <w:tc>
          <w:tcPr>
            <w:tcW w:type="dxa" w:w="4234"/>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OAuth 2.1 authorisation code + PKCE via pushed authorisation request; </w:t>
            </w:r>
            <w:r>
              <w:rPr>
                <w:rFonts w:ascii="Consolas" w:cs="Consolas" w:eastAsia="Consolas" w:hAnsi="Consolas"/>
                <w:color w:val="12293F"/>
                <w:sz w:val="14"/>
                <w:szCs w:val="14"/>
              </w:rPr>
              <w:t xml:space="preserve">authorization_details</w:t>
            </w:r>
            <w:r>
              <w:rPr>
                <w:rFonts w:ascii="Calibri" w:cs="Calibri" w:eastAsia="Calibri" w:hAnsi="Calibri"/>
                <w:color w:val="22303C"/>
                <w:sz w:val="15"/>
                <w:szCs w:val="15"/>
              </w:rPr>
              <w:t xml:space="preserve"> as in §5.5.3; agentic account onboarding and disclosures completed.</w:t>
            </w:r>
          </w:p>
        </w:tc>
        <w:tc>
          <w:tcPr>
            <w:tcW w:type="dxa" w:w="3729"/>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Human-only channel. Caps, excluded actions and </w:t>
            </w:r>
            <w:r>
              <w:rPr>
                <w:rFonts w:ascii="Consolas" w:cs="Consolas" w:eastAsia="Consolas" w:hAnsi="Consolas"/>
                <w:color w:val="12293F"/>
                <w:sz w:val="14"/>
                <w:szCs w:val="14"/>
              </w:rPr>
              <w:t xml:space="preserve">auto_below</w:t>
            </w:r>
            <w:r>
              <w:rPr>
                <w:rFonts w:ascii="Calibri" w:cs="Calibri" w:eastAsia="Calibri" w:hAnsi="Calibri"/>
                <w:color w:val="22303C"/>
                <w:sz w:val="15"/>
                <w:szCs w:val="15"/>
              </w:rPr>
              <w:t xml:space="preserve"> set by the customer, not by the agent.</w:t>
            </w:r>
          </w:p>
        </w:tc>
      </w:tr>
      <w:tr>
        <w:tc>
          <w:tcPr>
            <w:tcW w:type="dxa" w:w="403"/>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2</w:t>
            </w:r>
          </w:p>
        </w:tc>
        <w:tc>
          <w:tcPr>
            <w:tcW w:type="dxa" w:w="1714"/>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ACE → Agent</w:t>
            </w:r>
          </w:p>
        </w:tc>
        <w:tc>
          <w:tcPr>
            <w:tcW w:type="dxa" w:w="4234"/>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Client ID plus DPoP key binding; access token TTL ≤ 5 min; refresh token bound to the same key.</w:t>
            </w:r>
          </w:p>
        </w:tc>
        <w:tc>
          <w:tcPr>
            <w:tcW w:type="dxa" w:w="3729"/>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No execute scope is ever issued. A stolen token without the private key is inert.</w:t>
            </w:r>
          </w:p>
        </w:tc>
      </w:tr>
      <w:tr>
        <w:tc>
          <w:tcPr>
            <w:tcW w:type="dxa" w:w="403"/>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3</w:t>
            </w:r>
          </w:p>
        </w:tc>
        <w:tc>
          <w:tcPr>
            <w:tcW w:type="dxa" w:w="1714"/>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Agent → Discovery</w:t>
            </w:r>
          </w:p>
        </w:tc>
        <w:tc>
          <w:tcPr>
            <w:tcW w:type="dxa" w:w="4234"/>
            <w:tcMar>
              <w:top w:type="dxa" w:w="60"/>
              <w:left w:type="dxa" w:w="100"/>
              <w:bottom w:type="dxa" w:w="60"/>
              <w:right w:type="dxa" w:w="100"/>
            </w:tcMar>
            <w:vAlign w:val="top"/>
          </w:tcPr>
          <w:p>
            <w:pPr>
              <w:spacing w:after="40" w:before="40" w:line="240"/>
              <w:jc w:val="left"/>
            </w:pPr>
            <w:r>
              <w:rPr>
                <w:rFonts w:ascii="Consolas" w:cs="Consolas" w:eastAsia="Consolas" w:hAnsi="Consolas"/>
                <w:color w:val="12293F"/>
                <w:sz w:val="14"/>
                <w:szCs w:val="14"/>
              </w:rPr>
              <w:t xml:space="preserve">GET /.well-known/agent-capability-manifest</w:t>
            </w:r>
            <w:r>
              <w:rPr>
                <w:rFonts w:ascii="Calibri" w:cs="Calibri" w:eastAsia="Calibri" w:hAnsi="Calibri"/>
                <w:color w:val="22303C"/>
                <w:sz w:val="15"/>
                <w:szCs w:val="15"/>
              </w:rPr>
              <w:t xml:space="preserve">, unauthenticated, long-cacheable.</w:t>
            </w:r>
          </w:p>
        </w:tc>
        <w:tc>
          <w:tcPr>
            <w:tcW w:type="dxa" w:w="3729"/>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Byte-capped. Detached JWS lets the agent detect substitution.</w:t>
            </w:r>
          </w:p>
        </w:tc>
      </w:tr>
      <w:tr>
        <w:tc>
          <w:tcPr>
            <w:tcW w:type="dxa" w:w="403"/>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4</w:t>
            </w:r>
          </w:p>
        </w:tc>
        <w:tc>
          <w:tcPr>
            <w:tcW w:type="dxa" w:w="1714"/>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Discovery → Agent</w:t>
            </w:r>
          </w:p>
        </w:tc>
        <w:tc>
          <w:tcPr>
            <w:tcW w:type="dxa" w:w="4234"/>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Signed manifest, ~1.5 KB: three verbs, AS metadata, limits, control notes.</w:t>
            </w:r>
          </w:p>
        </w:tc>
        <w:tc>
          <w:tcPr>
            <w:tcW w:type="dxa" w:w="3729"/>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Fixed context cost. No operation inventory disclosed.</w:t>
            </w:r>
          </w:p>
        </w:tc>
      </w:tr>
      <w:tr>
        <w:tc>
          <w:tcPr>
            <w:tcW w:type="dxa" w:w="403"/>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5</w:t>
            </w:r>
          </w:p>
        </w:tc>
        <w:tc>
          <w:tcPr>
            <w:tcW w:type="dxa" w:w="1714"/>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Agent → Catalog</w:t>
            </w:r>
          </w:p>
        </w:tc>
        <w:tc>
          <w:tcPr>
            <w:tcW w:type="dxa" w:w="4234"/>
            <w:tcMar>
              <w:top w:type="dxa" w:w="60"/>
              <w:left w:type="dxa" w:w="100"/>
              <w:bottom w:type="dxa" w:w="60"/>
              <w:right w:type="dxa" w:w="100"/>
            </w:tcMar>
            <w:vAlign w:val="top"/>
          </w:tcPr>
          <w:p>
            <w:pPr>
              <w:spacing w:after="40" w:before="40" w:line="240"/>
              <w:jc w:val="left"/>
            </w:pPr>
            <w:r>
              <w:rPr>
                <w:rFonts w:ascii="Consolas" w:cs="Consolas" w:eastAsia="Consolas" w:hAnsi="Consolas"/>
                <w:color w:val="12293F"/>
                <w:sz w:val="14"/>
                <w:szCs w:val="14"/>
              </w:rPr>
              <w:t xml:space="preserve">POST /v1/catalog:search</w:t>
            </w:r>
            <w:r>
              <w:rPr>
                <w:rFonts w:ascii="Calibri" w:cs="Calibri" w:eastAsia="Calibri" w:hAnsi="Calibri"/>
                <w:color w:val="22303C"/>
                <w:sz w:val="15"/>
                <w:szCs w:val="15"/>
              </w:rPr>
              <w:t xml:space="preserve"> with the customer’s goal in natural language.</w:t>
            </w:r>
          </w:p>
        </w:tc>
        <w:tc>
          <w:tcPr>
            <w:tcW w:type="dxa" w:w="3729"/>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Results filtered by the caller’s grant before ranking, so the catalogue cannot enumerate unauthorised capability.</w:t>
            </w:r>
          </w:p>
        </w:tc>
      </w:tr>
      <w:tr>
        <w:tc>
          <w:tcPr>
            <w:tcW w:type="dxa" w:w="403"/>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6</w:t>
            </w:r>
          </w:p>
        </w:tc>
        <w:tc>
          <w:tcPr>
            <w:tcW w:type="dxa" w:w="1714"/>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Catalog → Agent</w:t>
            </w:r>
          </w:p>
        </w:tc>
        <w:tc>
          <w:tcPr>
            <w:tcW w:type="dxa" w:w="4234"/>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Ranked descriptors: identifiers, argument grammars, field catalogues, control notes, approval defaults. ~600 tokens.</w:t>
            </w:r>
          </w:p>
        </w:tc>
        <w:tc>
          <w:tcPr>
            <w:tcW w:type="dxa" w:w="3729"/>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No URLs, no internal identifiers, no schema names.</w:t>
            </w:r>
          </w:p>
        </w:tc>
      </w:tr>
      <w:tr>
        <w:tc>
          <w:tcPr>
            <w:tcW w:type="dxa" w:w="403"/>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7</w:t>
            </w:r>
          </w:p>
        </w:tc>
        <w:tc>
          <w:tcPr>
            <w:tcW w:type="dxa" w:w="1714"/>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Agent → Data Product</w:t>
            </w:r>
          </w:p>
        </w:tc>
        <w:tc>
          <w:tcPr>
            <w:tcW w:type="dxa" w:w="4234"/>
            <w:tcMar>
              <w:top w:type="dxa" w:w="60"/>
              <w:left w:type="dxa" w:w="100"/>
              <w:bottom w:type="dxa" w:w="60"/>
              <w:right w:type="dxa" w:w="100"/>
            </w:tcMar>
            <w:vAlign w:val="top"/>
          </w:tcPr>
          <w:p>
            <w:pPr>
              <w:spacing w:after="40" w:before="40" w:line="240"/>
              <w:jc w:val="left"/>
            </w:pPr>
            <w:r>
              <w:rPr>
                <w:rFonts w:ascii="Consolas" w:cs="Consolas" w:eastAsia="Consolas" w:hAnsi="Consolas"/>
                <w:color w:val="12293F"/>
                <w:sz w:val="14"/>
                <w:szCs w:val="14"/>
              </w:rPr>
              <w:t xml:space="preserve">POST /v1/data-products/portfolio.snapshot.v2:query</w:t>
            </w:r>
            <w:r>
              <w:rPr>
                <w:rFonts w:ascii="Calibri" w:cs="Calibri" w:eastAsia="Calibri" w:hAnsi="Calibri"/>
                <w:color w:val="22303C"/>
                <w:sz w:val="15"/>
                <w:szCs w:val="15"/>
              </w:rPr>
              <w:t xml:space="preserve"> with </w:t>
            </w:r>
            <w:r>
              <w:rPr>
                <w:rFonts w:ascii="Consolas" w:cs="Consolas" w:eastAsia="Consolas" w:hAnsi="Consolas"/>
                <w:color w:val="12293F"/>
                <w:sz w:val="14"/>
                <w:szCs w:val="14"/>
              </w:rPr>
              <w:t xml:space="preserve">purpose</w:t>
            </w:r>
            <w:r>
              <w:rPr>
                <w:rFonts w:ascii="Calibri" w:cs="Calibri" w:eastAsia="Calibri" w:hAnsi="Calibri"/>
                <w:color w:val="22303C"/>
                <w:sz w:val="15"/>
                <w:szCs w:val="15"/>
              </w:rPr>
              <w:t xml:space="preserve">, </w:t>
            </w:r>
            <w:r>
              <w:rPr>
                <w:rFonts w:ascii="Consolas" w:cs="Consolas" w:eastAsia="Consolas" w:hAnsi="Consolas"/>
                <w:color w:val="12293F"/>
                <w:sz w:val="14"/>
                <w:szCs w:val="14"/>
              </w:rPr>
              <w:t xml:space="preserve">account_ref</w:t>
            </w:r>
            <w:r>
              <w:rPr>
                <w:rFonts w:ascii="Calibri" w:cs="Calibri" w:eastAsia="Calibri" w:hAnsi="Calibri"/>
                <w:color w:val="22303C"/>
                <w:sz w:val="15"/>
                <w:szCs w:val="15"/>
              </w:rPr>
              <w:t xml:space="preserve">, explicit </w:t>
            </w:r>
            <w:r>
              <w:rPr>
                <w:rFonts w:ascii="Consolas" w:cs="Consolas" w:eastAsia="Consolas" w:hAnsi="Consolas"/>
                <w:color w:val="12293F"/>
                <w:sz w:val="14"/>
                <w:szCs w:val="14"/>
              </w:rPr>
              <w:t xml:space="preserve">fields</w:t>
            </w:r>
            <w:r>
              <w:rPr>
                <w:rFonts w:ascii="Calibri" w:cs="Calibri" w:eastAsia="Calibri" w:hAnsi="Calibri"/>
                <w:color w:val="22303C"/>
                <w:sz w:val="15"/>
                <w:szCs w:val="15"/>
              </w:rPr>
              <w:t xml:space="preserve">.</w:t>
            </w:r>
          </w:p>
        </w:tc>
        <w:tc>
          <w:tcPr>
            <w:tcW w:type="dxa" w:w="3729"/>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Parameterised only. Purpose is mandatory and is checked against the grant.</w:t>
            </w:r>
          </w:p>
        </w:tc>
      </w:tr>
      <w:tr>
        <w:tc>
          <w:tcPr>
            <w:tcW w:type="dxa" w:w="403"/>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8</w:t>
            </w:r>
          </w:p>
        </w:tc>
        <w:tc>
          <w:tcPr>
            <w:tcW w:type="dxa" w:w="1714"/>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Data Product → Policy</w:t>
            </w:r>
          </w:p>
        </w:tc>
        <w:tc>
          <w:tcPr>
            <w:tcW w:type="dxa" w:w="4234"/>
            <w:shd w:fill="F4F7FA" w:color="auto" w:val="clear"/>
            <w:tcMar>
              <w:top w:type="dxa" w:w="60"/>
              <w:left w:type="dxa" w:w="100"/>
              <w:bottom w:type="dxa" w:w="60"/>
              <w:right w:type="dxa" w:w="100"/>
            </w:tcMar>
            <w:vAlign w:val="top"/>
          </w:tcPr>
          <w:p>
            <w:pPr>
              <w:spacing w:after="40" w:before="40" w:line="240"/>
              <w:jc w:val="left"/>
            </w:pPr>
            <w:r>
              <w:rPr>
                <w:rFonts w:ascii="Consolas" w:cs="Consolas" w:eastAsia="Consolas" w:hAnsi="Consolas"/>
                <w:color w:val="12293F"/>
                <w:sz w:val="14"/>
                <w:szCs w:val="14"/>
              </w:rPr>
              <w:t xml:space="preserve">authorize(sub=usr_88213, act=agt_2f19, purpose, fields, rows)</w:t>
            </w:r>
            <w:r>
              <w:rPr>
                <w:rFonts w:ascii="Calibri" w:cs="Calibri" w:eastAsia="Calibri" w:hAnsi="Calibri"/>
                <w:color w:val="22303C"/>
                <w:sz w:val="15"/>
                <w:szCs w:val="15"/>
              </w:rPr>
              <w:t xml:space="preserve">.</w:t>
            </w:r>
          </w:p>
        </w:tc>
        <w:tc>
          <w:tcPr>
            <w:tcW w:type="dxa" w:w="3729"/>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Deny by default; relationship-based row scope anchored on the human.</w:t>
            </w:r>
          </w:p>
        </w:tc>
      </w:tr>
      <w:tr>
        <w:tc>
          <w:tcPr>
            <w:tcW w:type="dxa" w:w="403"/>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9</w:t>
            </w:r>
          </w:p>
        </w:tc>
        <w:tc>
          <w:tcPr>
            <w:tcW w:type="dxa" w:w="1714"/>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Data Product → Zone 3</w:t>
            </w:r>
          </w:p>
        </w:tc>
        <w:tc>
          <w:tcPr>
            <w:tcW w:type="dxa" w:w="4234"/>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Internal reads for positions, balances and buying power over mTLS with a 60-second transaction token.</w:t>
            </w:r>
          </w:p>
        </w:tc>
        <w:tc>
          <w:tcPr>
            <w:tcW w:type="dxa" w:w="3729"/>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The agent’s token is never forwarded. Full actor chain visible internally.</w:t>
            </w:r>
          </w:p>
        </w:tc>
      </w:tr>
      <w:tr>
        <w:tc>
          <w:tcPr>
            <w:tcW w:type="dxa" w:w="403"/>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10</w:t>
            </w:r>
          </w:p>
        </w:tc>
        <w:tc>
          <w:tcPr>
            <w:tcW w:type="dxa" w:w="1714"/>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Data Product → Agent</w:t>
            </w:r>
          </w:p>
        </w:tc>
        <w:tc>
          <w:tcPr>
            <w:tcW w:type="dxa" w:w="4234"/>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Projection: whitelisted fields, tokenised account reference, row cap, egress headers.</w:t>
            </w:r>
          </w:p>
        </w:tc>
        <w:tc>
          <w:tcPr>
            <w:tcW w:type="dxa" w:w="3729"/>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Field minimisation and egress accounting enforced at the boundary.</w:t>
            </w:r>
          </w:p>
        </w:tc>
      </w:tr>
      <w:tr>
        <w:tc>
          <w:tcPr>
            <w:tcW w:type="dxa" w:w="403"/>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11</w:t>
            </w:r>
          </w:p>
        </w:tc>
        <w:tc>
          <w:tcPr>
            <w:tcW w:type="dxa" w:w="1714"/>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Agent → Intent</w:t>
            </w:r>
          </w:p>
        </w:tc>
        <w:tc>
          <w:tcPr>
            <w:tcW w:type="dxa" w:w="4234"/>
            <w:tcMar>
              <w:top w:type="dxa" w:w="60"/>
              <w:left w:type="dxa" w:w="100"/>
              <w:bottom w:type="dxa" w:w="60"/>
              <w:right w:type="dxa" w:w="100"/>
            </w:tcMar>
            <w:vAlign w:val="top"/>
          </w:tcPr>
          <w:p>
            <w:pPr>
              <w:spacing w:after="40" w:before="40" w:line="240"/>
              <w:jc w:val="left"/>
            </w:pPr>
            <w:r>
              <w:rPr>
                <w:rFonts w:ascii="Consolas" w:cs="Consolas" w:eastAsia="Consolas" w:hAnsi="Consolas"/>
                <w:color w:val="12293F"/>
                <w:sz w:val="14"/>
                <w:szCs w:val="14"/>
              </w:rPr>
              <w:t xml:space="preserve">POST /v1/intents</w:t>
            </w:r>
            <w:r>
              <w:rPr>
                <w:rFonts w:ascii="Calibri" w:cs="Calibri" w:eastAsia="Calibri" w:hAnsi="Calibri"/>
                <w:color w:val="22303C"/>
                <w:sz w:val="15"/>
                <w:szCs w:val="15"/>
              </w:rPr>
              <w:t xml:space="preserve"> with </w:t>
            </w:r>
            <w:r>
              <w:rPr>
                <w:rFonts w:ascii="Consolas" w:cs="Consolas" w:eastAsia="Consolas" w:hAnsi="Consolas"/>
                <w:color w:val="12293F"/>
                <w:sz w:val="14"/>
                <w:szCs w:val="14"/>
              </w:rPr>
              <w:t xml:space="preserve">intent_type=equity.order.v1</w:t>
            </w:r>
            <w:r>
              <w:rPr>
                <w:rFonts w:ascii="Calibri" w:cs="Calibri" w:eastAsia="Calibri" w:hAnsi="Calibri"/>
                <w:color w:val="22303C"/>
                <w:sz w:val="15"/>
                <w:szCs w:val="15"/>
              </w:rPr>
              <w:t xml:space="preserve">, notional, limit, TIF, </w:t>
            </w:r>
            <w:r>
              <w:rPr>
                <w:rFonts w:ascii="Consolas" w:cs="Consolas" w:eastAsia="Consolas" w:hAnsi="Consolas"/>
                <w:color w:val="12293F"/>
                <w:sz w:val="14"/>
                <w:szCs w:val="14"/>
              </w:rPr>
              <w:t xml:space="preserve">Idempotency-Key</w:t>
            </w:r>
            <w:r>
              <w:rPr>
                <w:rFonts w:ascii="Calibri" w:cs="Calibri" w:eastAsia="Calibri" w:hAnsi="Calibri"/>
                <w:color w:val="22303C"/>
                <w:sz w:val="15"/>
                <w:szCs w:val="15"/>
              </w:rPr>
              <w:t xml:space="preserve">.</w:t>
            </w:r>
          </w:p>
        </w:tc>
        <w:tc>
          <w:tcPr>
            <w:tcW w:type="dxa" w:w="3729"/>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Schema and size admission; envelope pre-check; canonicalisation and hashing.</w:t>
            </w:r>
          </w:p>
        </w:tc>
      </w:tr>
      <w:tr>
        <w:tc>
          <w:tcPr>
            <w:tcW w:type="dxa" w:w="403"/>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12</w:t>
            </w:r>
          </w:p>
        </w:tc>
        <w:tc>
          <w:tcPr>
            <w:tcW w:type="dxa" w:w="1714"/>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Intent → Policy / Risk</w:t>
            </w:r>
          </w:p>
        </w:tc>
        <w:tc>
          <w:tcPr>
            <w:tcW w:type="dxa" w:w="4234"/>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Full deterministic control set from §5.8.3, plus simulation against live NBBO.</w:t>
            </w:r>
          </w:p>
        </w:tc>
        <w:tc>
          <w:tcPr>
            <w:tcW w:type="dxa" w:w="3729"/>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Pure, versioned, replayable. REG-1 satisfied inside the firm’s boundary.</w:t>
            </w:r>
          </w:p>
        </w:tc>
      </w:tr>
      <w:tr>
        <w:tc>
          <w:tcPr>
            <w:tcW w:type="dxa" w:w="403"/>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13</w:t>
            </w:r>
          </w:p>
        </w:tc>
        <w:tc>
          <w:tcPr>
            <w:tcW w:type="dxa" w:w="1714"/>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Policy / Risk → Intent</w:t>
            </w:r>
          </w:p>
        </w:tc>
        <w:tc>
          <w:tcPr>
            <w:tcW w:type="dxa" w:w="4234"/>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Pass with effects preview, or fail with machine-readable violation codes.</w:t>
            </w:r>
          </w:p>
        </w:tc>
        <w:tc>
          <w:tcPr>
            <w:tcW w:type="dxa" w:w="3729"/>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Fail closed. Nothing market-bound has been created at this point.</w:t>
            </w:r>
          </w:p>
        </w:tc>
      </w:tr>
      <w:tr>
        <w:tc>
          <w:tcPr>
            <w:tcW w:type="dxa" w:w="403"/>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14</w:t>
            </w:r>
          </w:p>
        </w:tc>
        <w:tc>
          <w:tcPr>
            <w:tcW w:type="dxa" w:w="1714"/>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Intent → Agent</w:t>
            </w:r>
          </w:p>
        </w:tc>
        <w:tc>
          <w:tcPr>
            <w:tcW w:type="dxa" w:w="4234"/>
            <w:shd w:fill="F4F7FA" w:color="auto" w:val="clear"/>
            <w:tcMar>
              <w:top w:type="dxa" w:w="60"/>
              <w:left w:type="dxa" w:w="100"/>
              <w:bottom w:type="dxa" w:w="60"/>
              <w:right w:type="dxa" w:w="100"/>
            </w:tcMar>
            <w:vAlign w:val="top"/>
          </w:tcPr>
          <w:p>
            <w:pPr>
              <w:spacing w:after="40" w:before="40" w:line="240"/>
              <w:jc w:val="left"/>
            </w:pPr>
            <w:r>
              <w:rPr>
                <w:rFonts w:ascii="Consolas" w:cs="Consolas" w:eastAsia="Consolas" w:hAnsi="Consolas"/>
                <w:color w:val="12293F"/>
                <w:sz w:val="14"/>
                <w:szCs w:val="14"/>
              </w:rPr>
              <w:t xml:space="preserve">201 Created</w:t>
            </w:r>
            <w:r>
              <w:rPr>
                <w:rFonts w:ascii="Calibri" w:cs="Calibri" w:eastAsia="Calibri" w:hAnsi="Calibri"/>
                <w:color w:val="22303C"/>
                <w:sz w:val="15"/>
                <w:szCs w:val="15"/>
              </w:rPr>
              <w:t xml:space="preserve">: </w:t>
            </w:r>
            <w:r>
              <w:rPr>
                <w:rFonts w:ascii="Consolas" w:cs="Consolas" w:eastAsia="Consolas" w:hAnsi="Consolas"/>
                <w:color w:val="12293F"/>
                <w:sz w:val="14"/>
                <w:szCs w:val="14"/>
              </w:rPr>
              <w:t xml:space="preserve">intent_id</w:t>
            </w:r>
            <w:r>
              <w:rPr>
                <w:rFonts w:ascii="Calibri" w:cs="Calibri" w:eastAsia="Calibri" w:hAnsi="Calibri"/>
                <w:color w:val="22303C"/>
                <w:sz w:val="15"/>
                <w:szCs w:val="15"/>
              </w:rPr>
              <w:t xml:space="preserve">, </w:t>
            </w:r>
            <w:r>
              <w:rPr>
                <w:rFonts w:ascii="Consolas" w:cs="Consolas" w:eastAsia="Consolas" w:hAnsi="Consolas"/>
                <w:color w:val="12293F"/>
                <w:sz w:val="14"/>
                <w:szCs w:val="14"/>
              </w:rPr>
              <w:t xml:space="preserve">intent_hash</w:t>
            </w:r>
            <w:r>
              <w:rPr>
                <w:rFonts w:ascii="Calibri" w:cs="Calibri" w:eastAsia="Calibri" w:hAnsi="Calibri"/>
                <w:color w:val="22303C"/>
                <w:sz w:val="15"/>
                <w:szCs w:val="15"/>
              </w:rPr>
              <w:t xml:space="preserve">, </w:t>
            </w:r>
            <w:r>
              <w:rPr>
                <w:rFonts w:ascii="Consolas" w:cs="Consolas" w:eastAsia="Consolas" w:hAnsi="Consolas"/>
                <w:color w:val="12293F"/>
                <w:sz w:val="14"/>
                <w:szCs w:val="14"/>
              </w:rPr>
              <w:t xml:space="preserve">status=awaiting_approval</w:t>
            </w:r>
            <w:r>
              <w:rPr>
                <w:rFonts w:ascii="Calibri" w:cs="Calibri" w:eastAsia="Calibri" w:hAnsi="Calibri"/>
                <w:color w:val="22303C"/>
                <w:sz w:val="15"/>
                <w:szCs w:val="15"/>
              </w:rPr>
              <w:t xml:space="preserve">, </w:t>
            </w:r>
            <w:r>
              <w:rPr>
                <w:rFonts w:ascii="Consolas" w:cs="Consolas" w:eastAsia="Consolas" w:hAnsi="Consolas"/>
                <w:color w:val="12293F"/>
                <w:sz w:val="14"/>
                <w:szCs w:val="14"/>
              </w:rPr>
              <w:t xml:space="preserve">human_summary</w:t>
            </w:r>
            <w:r>
              <w:rPr>
                <w:rFonts w:ascii="Calibri" w:cs="Calibri" w:eastAsia="Calibri" w:hAnsi="Calibri"/>
                <w:color w:val="22303C"/>
                <w:sz w:val="15"/>
                <w:szCs w:val="15"/>
              </w:rPr>
              <w:t xml:space="preserve">, expiry.</w:t>
            </w:r>
          </w:p>
        </w:tc>
        <w:tc>
          <w:tcPr>
            <w:tcW w:type="dxa" w:w="3729"/>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The agent learns the outcome but gains no authority from it.</w:t>
            </w:r>
          </w:p>
        </w:tc>
      </w:tr>
      <w:tr>
        <w:tc>
          <w:tcPr>
            <w:tcW w:type="dxa" w:w="403"/>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15</w:t>
            </w:r>
          </w:p>
        </w:tc>
        <w:tc>
          <w:tcPr>
            <w:tcW w:type="dxa" w:w="1714"/>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Intent → Customer</w:t>
            </w:r>
          </w:p>
        </w:tc>
        <w:tc>
          <w:tcPr>
            <w:tcW w:type="dxa" w:w="4234"/>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CIBA backchannel authentication; binding message carries a short code plus the priced effect; 90-second TTL.</w:t>
            </w:r>
          </w:p>
        </w:tc>
        <w:tc>
          <w:tcPr>
            <w:tcW w:type="dxa" w:w="3729"/>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The agent is not on this path and cannot observe or answer the challenge.</w:t>
            </w:r>
          </w:p>
        </w:tc>
      </w:tr>
      <w:tr>
        <w:tc>
          <w:tcPr>
            <w:tcW w:type="dxa" w:w="403"/>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16</w:t>
            </w:r>
          </w:p>
        </w:tc>
        <w:tc>
          <w:tcPr>
            <w:tcW w:type="dxa" w:w="1714"/>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Customer → Intent</w:t>
            </w:r>
          </w:p>
        </w:tc>
        <w:tc>
          <w:tcPr>
            <w:tcW w:type="dxa" w:w="4234"/>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Passkey signature over the binding message; mandate minted, hash-bound, single-use, key-bound, 5-minute TTL.</w:t>
            </w:r>
          </w:p>
        </w:tc>
        <w:tc>
          <w:tcPr>
            <w:tcW w:type="dxa" w:w="3729"/>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Non-repudiation established. S-8 (approval-fidelity gap) structurally closed.</w:t>
            </w:r>
          </w:p>
        </w:tc>
      </w:tr>
      <w:tr>
        <w:tc>
          <w:tcPr>
            <w:tcW w:type="dxa" w:w="403"/>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17</w:t>
            </w:r>
          </w:p>
        </w:tc>
        <w:tc>
          <w:tcPr>
            <w:tcW w:type="dxa" w:w="1714"/>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Intent → Executor</w:t>
            </w:r>
          </w:p>
        </w:tc>
        <w:tc>
          <w:tcPr>
            <w:tcW w:type="dxa" w:w="4234"/>
            <w:tcMar>
              <w:top w:type="dxa" w:w="60"/>
              <w:left w:type="dxa" w:w="100"/>
              <w:bottom w:type="dxa" w:w="60"/>
              <w:right w:type="dxa" w:w="100"/>
            </w:tcMar>
            <w:vAlign w:val="top"/>
          </w:tcPr>
          <w:p>
            <w:pPr>
              <w:spacing w:after="40" w:before="40" w:line="240"/>
              <w:jc w:val="left"/>
            </w:pPr>
            <w:r>
              <w:rPr>
                <w:rFonts w:ascii="Consolas" w:cs="Consolas" w:eastAsia="Consolas" w:hAnsi="Consolas"/>
                <w:color w:val="12293F"/>
                <w:sz w:val="14"/>
                <w:szCs w:val="14"/>
              </w:rPr>
              <w:t xml:space="preserve">execute(mandate)</w:t>
            </w:r>
            <w:r>
              <w:rPr>
                <w:rFonts w:ascii="Calibri" w:cs="Calibri" w:eastAsia="Calibri" w:hAnsi="Calibri"/>
                <w:color w:val="22303C"/>
                <w:sz w:val="15"/>
                <w:szCs w:val="15"/>
              </w:rPr>
              <w:t xml:space="preserve"> with </w:t>
            </w:r>
            <w:r>
              <w:rPr>
                <w:rFonts w:ascii="Consolas" w:cs="Consolas" w:eastAsia="Consolas" w:hAnsi="Consolas"/>
                <w:color w:val="12293F"/>
                <w:sz w:val="14"/>
                <w:szCs w:val="14"/>
              </w:rPr>
              <w:t xml:space="preserve">Idempotency-Key = intent_hash</w:t>
            </w:r>
            <w:r>
              <w:rPr>
                <w:rFonts w:ascii="Calibri" w:cs="Calibri" w:eastAsia="Calibri" w:hAnsi="Calibri"/>
                <w:color w:val="22303C"/>
                <w:sz w:val="15"/>
                <w:szCs w:val="15"/>
              </w:rPr>
              <w:t xml:space="preserve">.</w:t>
            </w:r>
          </w:p>
        </w:tc>
        <w:tc>
          <w:tcPr>
            <w:tcW w:type="dxa" w:w="3729"/>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Mandate signature, TTL, revocation list, </w:t>
            </w:r>
            <w:r>
              <w:rPr>
                <w:rFonts w:ascii="Consolas" w:cs="Consolas" w:eastAsia="Consolas" w:hAnsi="Consolas"/>
                <w:color w:val="12293F"/>
                <w:sz w:val="14"/>
                <w:szCs w:val="14"/>
              </w:rPr>
              <w:t xml:space="preserve">cnf</w:t>
            </w:r>
            <w:r>
              <w:rPr>
                <w:rFonts w:ascii="Calibri" w:cs="Calibri" w:eastAsia="Calibri" w:hAnsi="Calibri"/>
                <w:color w:val="22303C"/>
                <w:sz w:val="15"/>
                <w:szCs w:val="15"/>
              </w:rPr>
              <w:t xml:space="preserve"> binding and envelope limits all re-verified.</w:t>
            </w:r>
          </w:p>
        </w:tc>
      </w:tr>
      <w:tr>
        <w:tc>
          <w:tcPr>
            <w:tcW w:type="dxa" w:w="403"/>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18</w:t>
            </w:r>
          </w:p>
        </w:tc>
        <w:tc>
          <w:tcPr>
            <w:tcW w:type="dxa" w:w="1714"/>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Executor → Zone 3</w:t>
            </w:r>
          </w:p>
        </w:tc>
        <w:tc>
          <w:tcPr>
            <w:tcW w:type="dxa" w:w="4234"/>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Internal OMS order placement over mTLS with the transaction token; Zone 3 applies its own pre-trade gate.</w:t>
            </w:r>
          </w:p>
        </w:tc>
        <w:tc>
          <w:tcPr>
            <w:tcW w:type="dxa" w:w="3729"/>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Defence in depth: the internal gate does not trust the exchange’s decision.</w:t>
            </w:r>
          </w:p>
        </w:tc>
      </w:tr>
      <w:tr>
        <w:tc>
          <w:tcPr>
            <w:tcW w:type="dxa" w:w="403"/>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19</w:t>
            </w:r>
          </w:p>
        </w:tc>
        <w:tc>
          <w:tcPr>
            <w:tcW w:type="dxa" w:w="1714"/>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Zone 3 → Executor</w:t>
            </w:r>
          </w:p>
        </w:tc>
        <w:tc>
          <w:tcPr>
            <w:tcW w:type="dxa" w:w="4234"/>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Order accepted: </w:t>
            </w:r>
            <w:r>
              <w:rPr>
                <w:rFonts w:ascii="Consolas" w:cs="Consolas" w:eastAsia="Consolas" w:hAnsi="Consolas"/>
                <w:color w:val="12293F"/>
                <w:sz w:val="14"/>
                <w:szCs w:val="14"/>
              </w:rPr>
              <w:t xml:space="preserve">broker_order_id</w:t>
            </w:r>
            <w:r>
              <w:rPr>
                <w:rFonts w:ascii="Calibri" w:cs="Calibri" w:eastAsia="Calibri" w:hAnsi="Calibri"/>
                <w:color w:val="22303C"/>
                <w:sz w:val="15"/>
                <w:szCs w:val="15"/>
              </w:rPr>
              <w:t xml:space="preserve">, route, timestamps.</w:t>
            </w:r>
          </w:p>
        </w:tc>
        <w:tc>
          <w:tcPr>
            <w:tcW w:type="dxa" w:w="3729"/>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Any internal rejection triggers saga compensation and a </w:t>
            </w:r>
            <w:r>
              <w:rPr>
                <w:rFonts w:ascii="Consolas" w:cs="Consolas" w:eastAsia="Consolas" w:hAnsi="Consolas"/>
                <w:color w:val="12293F"/>
                <w:sz w:val="14"/>
                <w:szCs w:val="14"/>
              </w:rPr>
              <w:t xml:space="preserve">failed</w:t>
            </w:r>
            <w:r>
              <w:rPr>
                <w:rFonts w:ascii="Calibri" w:cs="Calibri" w:eastAsia="Calibri" w:hAnsi="Calibri"/>
                <w:color w:val="22303C"/>
                <w:sz w:val="15"/>
                <w:szCs w:val="15"/>
              </w:rPr>
              <w:t xml:space="preserve"> terminal state.</w:t>
            </w:r>
          </w:p>
        </w:tc>
      </w:tr>
      <w:tr>
        <w:tc>
          <w:tcPr>
            <w:tcW w:type="dxa" w:w="403"/>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20</w:t>
            </w:r>
          </w:p>
        </w:tc>
        <w:tc>
          <w:tcPr>
            <w:tcW w:type="dxa" w:w="1714"/>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Executor → Ledger</w:t>
            </w:r>
          </w:p>
        </w:tc>
        <w:tc>
          <w:tcPr>
            <w:tcW w:type="dxa" w:w="4234"/>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Signed receipt appended; hash-chained to the previous receipt; CAT and surveillance events emitted.</w:t>
            </w:r>
          </w:p>
        </w:tc>
        <w:tc>
          <w:tcPr>
            <w:tcW w:type="dxa" w:w="3729"/>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Evidence written before the response is returned to the agent.</w:t>
            </w:r>
          </w:p>
        </w:tc>
      </w:tr>
      <w:tr>
        <w:tc>
          <w:tcPr>
            <w:tcW w:type="dxa" w:w="403"/>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21</w:t>
            </w:r>
          </w:p>
        </w:tc>
        <w:tc>
          <w:tcPr>
            <w:tcW w:type="dxa" w:w="1714"/>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Executor → Agent</w:t>
            </w:r>
          </w:p>
        </w:tc>
        <w:tc>
          <w:tcPr>
            <w:tcW w:type="dxa" w:w="4234"/>
            <w:tcMar>
              <w:top w:type="dxa" w:w="60"/>
              <w:left w:type="dxa" w:w="100"/>
              <w:bottom w:type="dxa" w:w="60"/>
              <w:right w:type="dxa" w:w="100"/>
            </w:tcMar>
            <w:vAlign w:val="top"/>
          </w:tcPr>
          <w:p>
            <w:pPr>
              <w:spacing w:after="40" w:before="40" w:line="240"/>
              <w:jc w:val="left"/>
            </w:pPr>
            <w:r>
              <w:rPr>
                <w:rFonts w:ascii="Consolas" w:cs="Consolas" w:eastAsia="Consolas" w:hAnsi="Consolas"/>
                <w:color w:val="12293F"/>
                <w:sz w:val="14"/>
                <w:szCs w:val="14"/>
              </w:rPr>
              <w:t xml:space="preserve">200 OK</w:t>
            </w:r>
            <w:r>
              <w:rPr>
                <w:rFonts w:ascii="Calibri" w:cs="Calibri" w:eastAsia="Calibri" w:hAnsi="Calibri"/>
                <w:color w:val="22303C"/>
                <w:sz w:val="15"/>
                <w:szCs w:val="15"/>
              </w:rPr>
              <w:t xml:space="preserve"> with </w:t>
            </w:r>
            <w:r>
              <w:rPr>
                <w:rFonts w:ascii="Consolas" w:cs="Consolas" w:eastAsia="Consolas" w:hAnsi="Consolas"/>
                <w:color w:val="12293F"/>
                <w:sz w:val="14"/>
                <w:szCs w:val="14"/>
              </w:rPr>
              <w:t xml:space="preserve">receipt_id</w:t>
            </w:r>
            <w:r>
              <w:rPr>
                <w:rFonts w:ascii="Calibri" w:cs="Calibri" w:eastAsia="Calibri" w:hAnsi="Calibri"/>
                <w:color w:val="22303C"/>
                <w:sz w:val="15"/>
                <w:szCs w:val="15"/>
              </w:rPr>
              <w:t xml:space="preserve">, </w:t>
            </w:r>
            <w:r>
              <w:rPr>
                <w:rFonts w:ascii="Consolas" w:cs="Consolas" w:eastAsia="Consolas" w:hAnsi="Consolas"/>
                <w:color w:val="12293F"/>
                <w:sz w:val="14"/>
                <w:szCs w:val="14"/>
              </w:rPr>
              <w:t xml:space="preserve">broker_order_id</w:t>
            </w:r>
            <w:r>
              <w:rPr>
                <w:rFonts w:ascii="Calibri" w:cs="Calibri" w:eastAsia="Calibri" w:hAnsi="Calibri"/>
                <w:color w:val="22303C"/>
                <w:sz w:val="15"/>
                <w:szCs w:val="15"/>
              </w:rPr>
              <w:t xml:space="preserve">, </w:t>
            </w:r>
            <w:r>
              <w:rPr>
                <w:rFonts w:ascii="Consolas" w:cs="Consolas" w:eastAsia="Consolas" w:hAnsi="Consolas"/>
                <w:color w:val="12293F"/>
                <w:sz w:val="14"/>
                <w:szCs w:val="14"/>
              </w:rPr>
              <w:t xml:space="preserve">status</w:t>
            </w:r>
            <w:r>
              <w:rPr>
                <w:rFonts w:ascii="Calibri" w:cs="Calibri" w:eastAsia="Calibri" w:hAnsi="Calibri"/>
                <w:color w:val="22303C"/>
                <w:sz w:val="15"/>
                <w:szCs w:val="15"/>
              </w:rPr>
              <w:t xml:space="preserve">, </w:t>
            </w:r>
            <w:r>
              <w:rPr>
                <w:rFonts w:ascii="Consolas" w:cs="Consolas" w:eastAsia="Consolas" w:hAnsi="Consolas"/>
                <w:color w:val="12293F"/>
                <w:sz w:val="14"/>
                <w:szCs w:val="14"/>
              </w:rPr>
              <w:t xml:space="preserve">evidence_ref</w:t>
            </w:r>
            <w:r>
              <w:rPr>
                <w:rFonts w:ascii="Calibri" w:cs="Calibri" w:eastAsia="Calibri" w:hAnsi="Calibri"/>
                <w:color w:val="22303C"/>
                <w:sz w:val="15"/>
                <w:szCs w:val="15"/>
              </w:rPr>
              <w:t xml:space="preserve">.</w:t>
            </w:r>
          </w:p>
        </w:tc>
        <w:tc>
          <w:tcPr>
            <w:tcW w:type="dxa" w:w="3729"/>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The agent receives a business fact, not a database row or an internal identifier.</w:t>
            </w:r>
          </w:p>
        </w:tc>
      </w:tr>
      <w:tr>
        <w:tc>
          <w:tcPr>
            <w:tcW w:type="dxa" w:w="403"/>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22</w:t>
            </w:r>
          </w:p>
        </w:tc>
        <w:tc>
          <w:tcPr>
            <w:tcW w:type="dxa" w:w="1714"/>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Agent → Customer</w:t>
            </w:r>
          </w:p>
        </w:tc>
        <w:tc>
          <w:tcPr>
            <w:tcW w:type="dxa" w:w="4234"/>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Natural-language confirmation in the agent’s own interface.</w:t>
            </w:r>
          </w:p>
        </w:tc>
        <w:tc>
          <w:tcPr>
            <w:tcW w:type="dxa" w:w="3729"/>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Advisory only. The authoritative record is the receipt; the customer can verify it in the provider’s app.</w:t>
            </w:r>
          </w:p>
        </w:tc>
      </w:tr>
    </w:tbl>
    <w:p>
      <w:pPr>
        <w:keepNext w:val="false"/>
        <w:spacing w:after="130" w:before="0" w:line="268"/>
        <w:jc w:val="both"/>
      </w:pPr>
      <w:r>
        <w:rPr>
          <w:rFonts w:ascii="Calibri" w:cs="Calibri" w:eastAsia="Calibri" w:hAnsi="Calibri"/>
          <w:color w:val="22303C"/>
          <w:sz w:val="20"/>
          <w:szCs w:val="20"/>
        </w:rPr>
        <w:t xml:space="preserve">Total added latency on the happy path, excluding human approval time, is budgeted at under 1.5 seconds (NFR-3 plus NFR-4). Human approval dominates wall-clock time, which is the correct trade for an irreversible financial action — and is exactly why </w:t>
      </w:r>
      <w:r>
        <w:rPr>
          <w:rFonts w:ascii="Consolas" w:cs="Consolas" w:eastAsia="Consolas" w:hAnsi="Consolas"/>
          <w:color w:val="12293F"/>
          <w:sz w:val="17"/>
          <w:szCs w:val="17"/>
        </w:rPr>
        <w:t xml:space="preserve">auto_below</w:t>
      </w:r>
      <w:r>
        <w:rPr>
          <w:rFonts w:ascii="Calibri" w:cs="Calibri" w:eastAsia="Calibri" w:hAnsi="Calibri"/>
          <w:color w:val="22303C"/>
          <w:sz w:val="20"/>
          <w:szCs w:val="20"/>
        </w:rPr>
        <w:t xml:space="preserve"> exists as an explicit, customer-set, auditable exception rather than as an implicit default.</w:t>
      </w:r>
    </w:p>
    <w:p>
      <w:r>
        <w:br w:type="page"/>
      </w:r>
    </w:p>
    <w:p>
      <w:pPr>
        <w:pStyle w:val="Heading1"/>
      </w:pPr>
      <w:r>
        <w:rPr>
          <w:rFonts w:ascii="Calibri Light" w:cs="Calibri Light" w:eastAsia="Calibri Light" w:hAnsi="Calibri Light"/>
          <w:color w:val="1B3A5C"/>
          <w:sz w:val="28"/>
          <w:szCs w:val="28"/>
        </w:rPr>
        <w:t xml:space="preserve">7  Worked Example: Placing a Trade</w:t>
      </w:r>
    </w:p>
    <w:p>
      <w:pPr>
        <w:spacing w:after="200" w:before="40" w:line="276"/>
        <w:jc w:val="both"/>
      </w:pPr>
      <w:r>
        <w:rPr>
          <w:rFonts w:ascii="Calibri" w:cs="Calibri" w:eastAsia="Calibri" w:hAnsi="Calibri"/>
          <w:color w:val="42566B"/>
          <w:sz w:val="21"/>
          <w:szCs w:val="21"/>
        </w:rPr>
        <w:t xml:space="preserve">Everything below is one continuous transcript. The customer is a self-directed retail investor with a funded agentic account; the agent is a general-purpose assistant the customer already uses and which the provider has never seen.</w:t>
      </w:r>
    </w:p>
    <w:p>
      <w:pPr>
        <w:pStyle w:val="Heading2"/>
      </w:pPr>
      <w:r>
        <w:rPr>
          <w:rFonts w:ascii="Calibri Light" w:cs="Calibri Light" w:eastAsia="Calibri Light" w:hAnsi="Calibri Light"/>
          <w:color w:val="1B3A5C"/>
          <w:sz w:val="23"/>
          <w:szCs w:val="23"/>
        </w:rPr>
        <w:t xml:space="preserve">7.1  Preconditions</w:t>
      </w:r>
    </w:p>
    <w:tbl>
      <w:tblPr>
        <w:tblW w:type="dxa" w:w="10080"/>
        <w:tblBorders>
          <w:top w:val="single" w:color="1B3A5C" w:sz="4"/>
          <w:left w:val="none" w:color="FFFFFF" w:sz="0"/>
          <w:bottom w:val="single" w:color="1B3A5C" w:sz="4"/>
          <w:right w:val="none" w:color="FFFFFF" w:sz="0"/>
          <w:insideH w:val="single" w:color="C7D0DA" w:sz="2"/>
          <w:insideV w:val="single" w:color="C7D0DA" w:sz="2"/>
        </w:tblBorders>
      </w:tblPr>
      <w:tblGrid>
        <w:gridCol w:w="2218"/>
        <w:gridCol w:w="7862"/>
      </w:tblGrid>
      <w:tr>
        <w:trPr>
          <w:tblHeader/>
        </w:trPr>
        <w:tc>
          <w:tcPr>
            <w:tcW w:type="dxa" w:w="2218"/>
            <w:shd w:fill="1B3A5C"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FFFFFF"/>
                <w:sz w:val="17"/>
                <w:szCs w:val="17"/>
              </w:rPr>
              <w:t xml:space="preserve">Item</w:t>
            </w:r>
          </w:p>
        </w:tc>
        <w:tc>
          <w:tcPr>
            <w:tcW w:type="dxa" w:w="7862"/>
            <w:shd w:fill="1B3A5C"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FFFFFF"/>
                <w:sz w:val="17"/>
                <w:szCs w:val="17"/>
              </w:rPr>
              <w:t xml:space="preserve">Value</w:t>
            </w:r>
          </w:p>
        </w:tc>
      </w:tr>
      <w:tr>
        <w:tc>
          <w:tcPr>
            <w:tcW w:type="dxa" w:w="2218"/>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Customer</w:t>
            </w:r>
          </w:p>
        </w:tc>
        <w:tc>
          <w:tcPr>
            <w:tcW w:type="dxa" w:w="7862"/>
            <w:tcMar>
              <w:top w:type="dxa" w:w="60"/>
              <w:left w:type="dxa" w:w="100"/>
              <w:bottom w:type="dxa" w:w="60"/>
              <w:right w:type="dxa" w:w="100"/>
            </w:tcMar>
            <w:vAlign w:val="top"/>
          </w:tcPr>
          <w:p>
            <w:pPr>
              <w:spacing w:after="40" w:before="40" w:line="240"/>
              <w:jc w:val="left"/>
            </w:pPr>
            <w:r>
              <w:rPr>
                <w:rFonts w:ascii="Consolas" w:cs="Consolas" w:eastAsia="Consolas" w:hAnsi="Consolas"/>
                <w:color w:val="12293F"/>
                <w:sz w:val="14"/>
                <w:szCs w:val="14"/>
              </w:rPr>
              <w:t xml:space="preserve">usr_88213</w:t>
            </w:r>
            <w:r>
              <w:rPr>
                <w:rFonts w:ascii="Calibri" w:cs="Calibri" w:eastAsia="Calibri" w:hAnsi="Calibri"/>
                <w:color w:val="22303C"/>
                <w:sz w:val="17"/>
                <w:szCs w:val="17"/>
              </w:rPr>
              <w:t xml:space="preserve">, agentic account </w:t>
            </w:r>
            <w:r>
              <w:rPr>
                <w:rFonts w:ascii="Consolas" w:cs="Consolas" w:eastAsia="Consolas" w:hAnsi="Consolas"/>
                <w:color w:val="12293F"/>
                <w:sz w:val="14"/>
                <w:szCs w:val="14"/>
              </w:rPr>
              <w:t xml:space="preserve">acct_tok_7Q4F</w:t>
            </w:r>
            <w:r>
              <w:rPr>
                <w:rFonts w:ascii="Calibri" w:cs="Calibri" w:eastAsia="Calibri" w:hAnsi="Calibri"/>
                <w:color w:val="22303C"/>
                <w:sz w:val="17"/>
                <w:szCs w:val="17"/>
              </w:rPr>
              <w:t xml:space="preserve">, buying power $7,412.55</w:t>
            </w:r>
          </w:p>
        </w:tc>
      </w:tr>
      <w:tr>
        <w:tc>
          <w:tcPr>
            <w:tcW w:type="dxa" w:w="2218"/>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Existing positions</w:t>
            </w:r>
          </w:p>
        </w:tc>
        <w:tc>
          <w:tcPr>
            <w:tcW w:type="dxa" w:w="7862"/>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HMNI 41 sh ($3,117.44), ROAR 8 sh ($1,638.16)</w:t>
            </w:r>
          </w:p>
        </w:tc>
      </w:tr>
      <w:tr>
        <w:tc>
          <w:tcPr>
            <w:tcW w:type="dxa" w:w="2218"/>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Registered agent</w:t>
            </w:r>
          </w:p>
        </w:tc>
        <w:tc>
          <w:tcPr>
            <w:tcW w:type="dxa" w:w="7862"/>
            <w:tcMar>
              <w:top w:type="dxa" w:w="60"/>
              <w:left w:type="dxa" w:w="100"/>
              <w:bottom w:type="dxa" w:w="60"/>
              <w:right w:type="dxa" w:w="100"/>
            </w:tcMar>
            <w:vAlign w:val="top"/>
          </w:tcPr>
          <w:p>
            <w:pPr>
              <w:spacing w:after="40" w:before="40" w:line="240"/>
              <w:jc w:val="left"/>
            </w:pPr>
            <w:r>
              <w:rPr>
                <w:rFonts w:ascii="Consolas" w:cs="Consolas" w:eastAsia="Consolas" w:hAnsi="Consolas"/>
                <w:color w:val="12293F"/>
                <w:sz w:val="14"/>
                <w:szCs w:val="14"/>
              </w:rPr>
              <w:t xml:space="preserve">agt_2f19</w:t>
            </w:r>
            <w:r>
              <w:rPr>
                <w:rFonts w:ascii="Calibri" w:cs="Calibri" w:eastAsia="Calibri" w:hAnsi="Calibri"/>
                <w:color w:val="22303C"/>
                <w:sz w:val="17"/>
                <w:szCs w:val="17"/>
              </w:rPr>
              <w:t xml:space="preserve">, DPoP-bound, envelope per §5.5.3: US equities only, $5,000 per order, $10,000 per day, </w:t>
            </w:r>
            <w:r>
              <w:rPr>
                <w:rFonts w:ascii="Consolas" w:cs="Consolas" w:eastAsia="Consolas" w:hAnsi="Consolas"/>
                <w:color w:val="12293F"/>
                <w:sz w:val="14"/>
                <w:szCs w:val="14"/>
              </w:rPr>
              <w:t xml:space="preserve">auto_below</w:t>
            </w:r>
            <w:r>
              <w:rPr>
                <w:rFonts w:ascii="Calibri" w:cs="Calibri" w:eastAsia="Calibri" w:hAnsi="Calibri"/>
                <w:color w:val="22303C"/>
                <w:sz w:val="17"/>
                <w:szCs w:val="17"/>
              </w:rPr>
              <w:t xml:space="preserve"> $250, funds transfer excluded</w:t>
            </w:r>
          </w:p>
        </w:tc>
      </w:tr>
      <w:tr>
        <w:tc>
          <w:tcPr>
            <w:tcW w:type="dxa" w:w="2218"/>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Market state</w:t>
            </w:r>
          </w:p>
        </w:tc>
        <w:tc>
          <w:tcPr>
            <w:tcW w:type="dxa" w:w="7862"/>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Regular session; ROAR NBBO 204.71 / 204.88; not restricted or halted</w:t>
            </w:r>
          </w:p>
        </w:tc>
      </w:tr>
      <w:tr>
        <w:tc>
          <w:tcPr>
            <w:tcW w:type="dxa" w:w="2218"/>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Customer request</w:t>
            </w:r>
          </w:p>
        </w:tc>
        <w:tc>
          <w:tcPr>
            <w:tcW w:type="dxa" w:w="7862"/>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“Add about $2,500 of ROAR to my agentic account, but don’t pay more than $205 a share.”</w:t>
            </w:r>
          </w:p>
        </w:tc>
      </w:tr>
    </w:tbl>
    <w:p>
      <w:pPr>
        <w:pStyle w:val="Heading2"/>
      </w:pPr>
      <w:r>
        <w:rPr>
          <w:rFonts w:ascii="Calibri Light" w:cs="Calibri Light" w:eastAsia="Calibri Light" w:hAnsi="Calibri Light"/>
          <w:color w:val="1B3A5C"/>
          <w:sz w:val="23"/>
          <w:szCs w:val="23"/>
        </w:rPr>
        <w:t xml:space="preserve">7.2  Discovery</w:t>
      </w:r>
    </w:p>
    <w:p>
      <w:pPr>
        <w:keepNext w:val="false"/>
        <w:spacing w:after="130" w:before="0" w:line="268"/>
        <w:jc w:val="both"/>
      </w:pPr>
      <w:r>
        <w:rPr>
          <w:rFonts w:ascii="Calibri" w:cs="Calibri" w:eastAsia="Calibri" w:hAnsi="Calibri"/>
          <w:color w:val="22303C"/>
          <w:sz w:val="20"/>
          <w:szCs w:val="20"/>
        </w:rPr>
        <w:t xml:space="preserve">The agent has the manifest cached from a previous session, so this turn costs one search.</w:t>
      </w:r>
    </w:p>
    <w:p>
      <w:pPr>
        <w:keepLines/>
        <w:pBdr>
          <w:top w:val="single" w:color="C7D0DA" w:sz="2" w:space="2"/>
          <w:left w:val="single" w:color="1E7B96" w:sz="12" w:space="6"/>
        </w:pBdr>
        <w:shd w:fill="F3F5F8" w:color="auto" w:val="clear"/>
        <w:spacing w:after="0" w:before="90" w:line="208"/>
        <w:ind w:left="130" w:right="90"/>
        <w:jc w:val="left"/>
      </w:pPr>
      <w:r>
        <w:rPr>
          <w:rFonts w:ascii="Consolas" w:cs="Consolas" w:eastAsia="Consolas" w:hAnsi="Consolas"/>
          <w:color w:val="12293F"/>
          <w:sz w:val="15"/>
          <w:szCs w:val="15"/>
        </w:rPr>
        <w:t xml:space="preserve">POST /v1/catalog:search      Authorization: DPoP eyJ...</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 "q": "buy a specific dollar amount of a stock with a price limit", "top_k": 2 }</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 </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200 OK   X-ACE-Result-Tokens: 588</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 "results": [</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  { "kind": "intent_type", "id": "equity.order.v1", "score": 0.94,</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    "summary": "Submit an equity buy or sell order for validation and approval. Accepts either</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                 a share quantity or a notional amount; notional is resolved to whole or</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                 fractional shares at simulation time.",</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    "required": ["side","symbol","quantity|notional","order_type","time_in_force"],</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    "enums": { "side": ["BUY","SELL"], "order_type": ["MARKET","LIMIT","STOP","STOP_LIMIT"],</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               "time_in_force": ["DAY","GTC","IOC","FOK"] },</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    "controls": ["buying_power","sea_15c3_5","restricted_list","pdt","suitability_reg_bi"],</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    "approval": { "default_tier": "explicit_signature",</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                  "auto_below": { "currency": "USD", "amount": 250.00 } },</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    "notes": ["A LIMIT order requires limit_price.",</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              "Fractional shares are unavailable for symbols flagged whole_share_only."] },</w:t>
      </w:r>
    </w:p>
    <w:p>
      <w:pPr>
        <w:keepLines/>
        <w:pBdr>
          <w:bottom w:val="single" w:color="C7D0DA" w:sz="2" w:space="2"/>
          <w:left w:val="single" w:color="1E7B96" w:sz="12" w:space="6"/>
        </w:pBdr>
        <w:shd w:fill="F3F5F8" w:color="auto" w:val="clear"/>
        <w:spacing w:after="150" w:before="0" w:line="208"/>
        <w:ind w:left="130" w:right="90"/>
        <w:jc w:val="left"/>
      </w:pPr>
      <w:r>
        <w:rPr>
          <w:rFonts w:ascii="Consolas" w:cs="Consolas" w:eastAsia="Consolas" w:hAnsi="Consolas"/>
          <w:color w:val="12293F"/>
          <w:sz w:val="15"/>
          <w:szCs w:val="15"/>
        </w:rPr>
        <w:t xml:space="preserve">  { "kind": "data_product", "id": "portfolio.snapshot.v2", "score": 0.72, "...": "..." } ] }</w:t>
      </w:r>
    </w:p>
    <w:p>
      <w:pPr>
        <w:keepNext w:val="false"/>
        <w:spacing w:after="130" w:before="0" w:line="268"/>
        <w:jc w:val="both"/>
      </w:pPr>
      <w:r>
        <w:rPr>
          <w:rFonts w:ascii="Calibri" w:cs="Calibri" w:eastAsia="Calibri" w:hAnsi="Calibri"/>
          <w:color w:val="22303C"/>
          <w:sz w:val="20"/>
          <w:szCs w:val="20"/>
        </w:rPr>
        <w:t xml:space="preserve">The agent now knows the exact argument grammar, the enumerations, the controls that will run and the approval tier to expect — in under 600 tokens, with no knowledge of the provider’s internal order API.</w:t>
      </w:r>
    </w:p>
    <w:p>
      <w:pPr>
        <w:pStyle w:val="Heading2"/>
      </w:pPr>
      <w:r>
        <w:rPr>
          <w:rFonts w:ascii="Calibri Light" w:cs="Calibri Light" w:eastAsia="Calibri Light" w:hAnsi="Calibri Light"/>
          <w:color w:val="1B3A5C"/>
          <w:sz w:val="23"/>
          <w:szCs w:val="23"/>
        </w:rPr>
        <w:t xml:space="preserve">7.3  Reading the account</w:t>
      </w:r>
    </w:p>
    <w:p>
      <w:pPr>
        <w:keepLines/>
        <w:pBdr>
          <w:top w:val="single" w:color="C7D0DA" w:sz="2" w:space="2"/>
          <w:left w:val="single" w:color="1E7B96" w:sz="12" w:space="6"/>
        </w:pBdr>
        <w:shd w:fill="F3F5F8" w:color="auto" w:val="clear"/>
        <w:spacing w:after="0" w:before="90" w:line="208"/>
        <w:ind w:left="130" w:right="90"/>
        <w:jc w:val="left"/>
      </w:pPr>
      <w:r>
        <w:rPr>
          <w:rFonts w:ascii="Consolas" w:cs="Consolas" w:eastAsia="Consolas" w:hAnsi="Consolas"/>
          <w:color w:val="12293F"/>
          <w:sz w:val="15"/>
          <w:szCs w:val="15"/>
        </w:rPr>
        <w:t xml:space="preserve">POST /v1/data-products/portfolio.snapshot.v2:query</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 "account_ref": "acct_tok_7Q4F", "purpose": "trade_preparation",</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  "fields": ["symbol","quantity","market_value","buying_power","cash_available"] }</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 </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200 OK   X-ACE-Egress-Rows-Used: 20/50000   X-ACE-Policy-Decision: pdp_01J9WQ6B</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 "as_of": "2026-07-29T20:44:58.221Z",</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  "account": { "account_ref": "acct_tok_7Q4F", "class": "agentic",</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                "buying_power":   { "currency": "USD", "amount": 7412.55 },</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                "cash_available": { "currency": "USD", "amount": 7412.55 } },</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  "positions": [ { "symbol": "HMNI", "quantity": 41,</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                    "market_value": { "currency": "USD", "amount": 3117.44 } },</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                  { "symbol": "ROAR", "quantity": 8,</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                    "market_value": { "currency": "USD", "amount": 1638.16 } } ],</w:t>
      </w:r>
    </w:p>
    <w:p>
      <w:pPr>
        <w:keepLines/>
        <w:pBdr>
          <w:bottom w:val="single" w:color="C7D0DA" w:sz="2" w:space="2"/>
          <w:left w:val="single" w:color="1E7B96" w:sz="12" w:space="6"/>
        </w:pBdr>
        <w:shd w:fill="F3F5F8" w:color="auto" w:val="clear"/>
        <w:spacing w:after="150" w:before="0" w:line="208"/>
        <w:ind w:left="130" w:right="90"/>
        <w:jc w:val="left"/>
      </w:pPr>
      <w:r>
        <w:rPr>
          <w:rFonts w:ascii="Consolas" w:cs="Consolas" w:eastAsia="Consolas" w:hAnsi="Consolas"/>
          <w:color w:val="12293F"/>
          <w:sz w:val="15"/>
          <w:szCs w:val="15"/>
        </w:rPr>
        <w:t xml:space="preserve">  "row_count": 2, "truncated": false }</w:t>
      </w:r>
    </w:p>
    <w:p>
      <w:pPr>
        <w:pStyle w:val="Heading2"/>
      </w:pPr>
      <w:r>
        <w:rPr>
          <w:rFonts w:ascii="Calibri Light" w:cs="Calibri Light" w:eastAsia="Calibri Light" w:hAnsi="Calibri Light"/>
          <w:color w:val="1B3A5C"/>
          <w:sz w:val="23"/>
          <w:szCs w:val="23"/>
        </w:rPr>
        <w:t xml:space="preserve">7.4  Submitting the intent</w:t>
      </w:r>
    </w:p>
    <w:p>
      <w:pPr>
        <w:keepLines/>
        <w:pBdr>
          <w:top w:val="single" w:color="C7D0DA" w:sz="2" w:space="2"/>
          <w:left w:val="single" w:color="1E7B96" w:sz="12" w:space="6"/>
        </w:pBdr>
        <w:shd w:fill="F3F5F8" w:color="auto" w:val="clear"/>
        <w:spacing w:after="0" w:before="90" w:line="208"/>
        <w:ind w:left="130" w:right="90"/>
        <w:jc w:val="left"/>
      </w:pPr>
      <w:r>
        <w:rPr>
          <w:rFonts w:ascii="Consolas" w:cs="Consolas" w:eastAsia="Consolas" w:hAnsi="Consolas"/>
          <w:color w:val="12293F"/>
          <w:sz w:val="15"/>
          <w:szCs w:val="15"/>
        </w:rPr>
        <w:t xml:space="preserve">POST /v1/intents      Idempotency-Key: 9f2c1b6e-2f19-4a7d-91c0-7e5b2a8d4413</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 "intent_type": "equity.order.v1", "account_ref": "acct_tok_7Q4F",</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  "purpose": "user_directed_trade",</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  "actor": { "agent_id": "agt_2f19", "runtime": "claude-desktop/1.14",</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              "model": "claude-opus-5" },</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  "parameters": { "side": "BUY", "symbol": "ROAR",</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                   "notional": { "currency": "USD", "amount": 2500.00 },</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                   "order_type": "LIMIT",</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                   "limit_price": { "currency": "USD", "amount": 205.00 },</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                   "time_in_force": "DAY", "extended_hours": false },</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  "constraints": { "not_after": "2026-07-29T20:55:00Z" },</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  "provenance": { "user_utterance_digest": "sha256:1f3a9c...",</w:t>
      </w:r>
    </w:p>
    <w:p>
      <w:pPr>
        <w:keepLines/>
        <w:pBdr>
          <w:bottom w:val="single" w:color="C7D0DA" w:sz="2" w:space="2"/>
          <w:left w:val="single" w:color="1E7B96" w:sz="12" w:space="6"/>
        </w:pBdr>
        <w:shd w:fill="F3F5F8" w:color="auto" w:val="clear"/>
        <w:spacing w:after="150" w:before="0" w:line="208"/>
        <w:ind w:left="130" w:right="90"/>
        <w:jc w:val="left"/>
      </w:pPr>
      <w:r>
        <w:rPr>
          <w:rFonts w:ascii="Consolas" w:cs="Consolas" w:eastAsia="Consolas" w:hAnsi="Consolas"/>
          <w:color w:val="12293F"/>
          <w:sz w:val="15"/>
          <w:szCs w:val="15"/>
        </w:rPr>
        <w:t xml:space="preserve">                   "agent_rationale": "User asked for ~$2.5k of ROAR, capped at 205." } }</w:t>
      </w:r>
    </w:p>
    <w:p>
      <w:pPr>
        <w:pStyle w:val="Heading2"/>
      </w:pPr>
      <w:r>
        <w:rPr>
          <w:rFonts w:ascii="Calibri Light" w:cs="Calibri Light" w:eastAsia="Calibri Light" w:hAnsi="Calibri Light"/>
          <w:color w:val="1B3A5C"/>
          <w:sz w:val="23"/>
          <w:szCs w:val="23"/>
        </w:rPr>
        <w:t xml:space="preserve">7.5  Validation and simulation</w:t>
      </w:r>
    </w:p>
    <w:p>
      <w:pPr>
        <w:keepLines/>
        <w:pBdr>
          <w:top w:val="single" w:color="C7D0DA" w:sz="2" w:space="2"/>
          <w:left w:val="single" w:color="1E7B96" w:sz="12" w:space="6"/>
        </w:pBdr>
        <w:shd w:fill="F3F5F8" w:color="auto" w:val="clear"/>
        <w:spacing w:after="0" w:before="90" w:line="208"/>
        <w:ind w:left="130" w:right="90"/>
        <w:jc w:val="left"/>
      </w:pPr>
      <w:r>
        <w:rPr>
          <w:rFonts w:ascii="Consolas" w:cs="Consolas" w:eastAsia="Consolas" w:hAnsi="Consolas"/>
          <w:color w:val="12293F"/>
          <w:sz w:val="15"/>
          <w:szCs w:val="15"/>
        </w:rPr>
        <w:t xml:space="preserve">201 Created</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 "intent_id": "int_01J9WQ6Z8T", "intent_hash": "sha256:8ad2f0c1...",</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  "status": "awaiting_approval", "expires_at": "2026-07-29T20:52:12Z",</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  "validation": { "result": "pass", "rule_set_version": "pretrade-2026.07.02",</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    "checks": [</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      { "id": "buying_power",              "result": "pass",</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        "detail": "worst case 2,460.03 USD vs available 7,412.55 USD" },</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      { "id": "sea_15c3_5.order_size",     "result": "pass", "limit": "5,000.00 USD" },</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      { "id": "sea_15c3_5.credit_capital", "result": "pass" },</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      { "id": "erroneous_order",           "result": "pass",</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        "detail": "limit 205.00 is 0.06% above ask 204.88 (band +/- 5%)" },</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      { "id": "restricted_list",           "result": "pass" },</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      { "id": "pattern_day_trader",        "result": "pass", "day_trades_used": 1 },</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      { "id": "suitability_reg_bi",        "result": "pass",</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        "detail": "post-trade ROAR concentration 52.4% of agentic account",</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        "advisory": "concentration above 50% — disclosed on the approval screen" },</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      { "id": "envelope_check",            "result": "pass",</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        "detail": "day notional used 0.00 of 10,000.00 USD" } ] },</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  "simulation": { "resolved_quantity": 12, "fractional": false,</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    "nbbo_at_simulation": { "bid": 204.71, "ask": 204.88 },</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    "est_principal": { "currency": "USD", "amount": 2460.00 },</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    "est_fees":      { "currency": "USD", "amount": 0.03 },</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    "worst_case_cost": { "currency": "USD", "amount": 2460.03 },</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    "unfilled_risk": "limit may not fill if ROAR trades above 205.00 all session" },</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  "human_summary": "Buy 12 shares of ROAR at a limit of $205.00, good for the day.</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                     Worst case $2,460.03. After this trade ROAR would be 52.4% of this account.",</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  "approval": { "required": true, "tier": "explicit_signature", "method": "ciba",</w:t>
      </w:r>
    </w:p>
    <w:p>
      <w:pPr>
        <w:keepLines/>
        <w:pBdr>
          <w:bottom w:val="single" w:color="C7D0DA" w:sz="2" w:space="2"/>
          <w:left w:val="single" w:color="1E7B96" w:sz="12" w:space="6"/>
        </w:pBdr>
        <w:shd w:fill="F3F5F8" w:color="auto" w:val="clear"/>
        <w:spacing w:after="150" w:before="0" w:line="208"/>
        <w:ind w:left="130" w:right="90"/>
        <w:jc w:val="left"/>
      </w:pPr>
      <w:r>
        <w:rPr>
          <w:rFonts w:ascii="Consolas" w:cs="Consolas" w:eastAsia="Consolas" w:hAnsi="Consolas"/>
          <w:color w:val="12293F"/>
          <w:sz w:val="15"/>
          <w:szCs w:val="15"/>
        </w:rPr>
        <w:t xml:space="preserve">                "auth_req_id": "cib_8Kd2", "reference_code": "4417", "expires_in": 90 } }</w:t>
      </w:r>
    </w:p>
    <w:p>
      <w:pPr>
        <w:keepNext w:val="false"/>
        <w:spacing w:after="130" w:before="0" w:line="268"/>
        <w:jc w:val="both"/>
      </w:pPr>
      <w:r>
        <w:rPr>
          <w:rFonts w:ascii="Calibri" w:cs="Calibri" w:eastAsia="Calibri" w:hAnsi="Calibri"/>
          <w:color w:val="22303C"/>
          <w:sz w:val="20"/>
          <w:szCs w:val="20"/>
        </w:rPr>
        <w:t xml:space="preserve">The $2,500 notional resolved to 12 shares, not 12.2 — the provider decided that, using its own fractional rules. Concentration was flagged as an advisory and routed to the approval screen rather than silently swallowed. The customer will approve </w:t>
      </w:r>
      <w:r>
        <w:rPr>
          <w:rFonts w:ascii="Calibri" w:cs="Calibri" w:eastAsia="Calibri" w:hAnsi="Calibri"/>
          <w:b/>
          <w:bCs/>
          <w:color w:val="22303C"/>
          <w:sz w:val="20"/>
          <w:szCs w:val="20"/>
        </w:rPr>
        <w:t xml:space="preserve">12 shares at ≤ 205.00, worst case $2,460.03</w:t>
      </w:r>
      <w:r>
        <w:rPr>
          <w:rFonts w:ascii="Calibri" w:cs="Calibri" w:eastAsia="Calibri" w:hAnsi="Calibri"/>
          <w:color w:val="22303C"/>
          <w:sz w:val="20"/>
          <w:szCs w:val="20"/>
        </w:rPr>
        <w:t xml:space="preserve">, which is a number, not a description.</w:t>
      </w:r>
    </w:p>
    <w:p>
      <w:pPr>
        <w:pStyle w:val="Heading2"/>
      </w:pPr>
      <w:r>
        <w:rPr>
          <w:rFonts w:ascii="Calibri Light" w:cs="Calibri Light" w:eastAsia="Calibri Light" w:hAnsi="Calibri Light"/>
          <w:color w:val="1B3A5C"/>
          <w:sz w:val="23"/>
          <w:szCs w:val="23"/>
        </w:rPr>
        <w:t xml:space="preserve">7.6  Approval and mandate</w:t>
      </w:r>
    </w:p>
    <w:p>
      <w:pPr>
        <w:keepNext w:val="false"/>
        <w:spacing w:after="130" w:before="0" w:line="268"/>
        <w:jc w:val="both"/>
      </w:pPr>
      <w:r>
        <w:rPr>
          <w:rFonts w:ascii="Calibri" w:cs="Calibri" w:eastAsia="Calibri" w:hAnsi="Calibri"/>
          <w:color w:val="22303C"/>
          <w:sz w:val="20"/>
          <w:szCs w:val="20"/>
        </w:rPr>
        <w:t xml:space="preserve">The customer’s phone shows reference code 4417, the priced effect, the concentration disclosure and two buttons. A passkey signature returns a mandate with </w:t>
      </w:r>
      <w:r>
        <w:rPr>
          <w:rFonts w:ascii="Consolas" w:cs="Consolas" w:eastAsia="Consolas" w:hAnsi="Consolas"/>
          <w:color w:val="12293F"/>
          <w:sz w:val="17"/>
          <w:szCs w:val="17"/>
        </w:rPr>
        <w:t xml:space="preserve">intent_hash</w:t>
      </w:r>
      <w:r>
        <w:rPr>
          <w:rFonts w:ascii="Calibri" w:cs="Calibri" w:eastAsia="Calibri" w:hAnsi="Calibri"/>
          <w:color w:val="22303C"/>
          <w:sz w:val="20"/>
          <w:szCs w:val="20"/>
        </w:rPr>
        <w:t xml:space="preserve"> bound as in §5.8.4. The agent, meanwhile, polls status:</w:t>
      </w:r>
    </w:p>
    <w:p>
      <w:pPr>
        <w:keepLines/>
        <w:pBdr>
          <w:top w:val="single" w:color="C7D0DA" w:sz="2" w:space="2"/>
          <w:left w:val="single" w:color="1E7B96" w:sz="12" w:space="6"/>
        </w:pBdr>
        <w:shd w:fill="F3F5F8" w:color="auto" w:val="clear"/>
        <w:spacing w:after="0" w:before="90" w:line="208"/>
        <w:ind w:left="130" w:right="90"/>
        <w:jc w:val="left"/>
      </w:pPr>
      <w:r>
        <w:rPr>
          <w:rFonts w:ascii="Consolas" w:cs="Consolas" w:eastAsia="Consolas" w:hAnsi="Consolas"/>
          <w:color w:val="12293F"/>
          <w:sz w:val="15"/>
          <w:szCs w:val="15"/>
        </w:rPr>
        <w:t xml:space="preserve">GET /v1/intents/int_01J9WQ6Z8T</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-&gt; 200 { "status": "awaiting_approval", "approval": { "expires_in": 61 } }</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-&gt; 200 { "status": "approved", "mandate_jti": "mnd_01J9WQ7C4E",</w:t>
      </w:r>
    </w:p>
    <w:p>
      <w:pPr>
        <w:keepLines/>
        <w:pBdr>
          <w:bottom w:val="single" w:color="C7D0DA" w:sz="2" w:space="2"/>
          <w:left w:val="single" w:color="1E7B96" w:sz="12" w:space="6"/>
        </w:pBdr>
        <w:shd w:fill="F3F5F8" w:color="auto" w:val="clear"/>
        <w:spacing w:after="150" w:before="0" w:line="208"/>
        <w:ind w:left="130" w:right="90"/>
        <w:jc w:val="left"/>
      </w:pPr>
      <w:r>
        <w:rPr>
          <w:rFonts w:ascii="Consolas" w:cs="Consolas" w:eastAsia="Consolas" w:hAnsi="Consolas"/>
          <w:color w:val="12293F"/>
          <w:sz w:val="15"/>
          <w:szCs w:val="15"/>
        </w:rPr>
        <w:t xml:space="preserve">         "approved_at": "2026-07-29T20:47:12Z", "execute_before": "2026-07-29T20:52:12Z" }</w:t>
      </w:r>
    </w:p>
    <w:p>
      <w:pPr>
        <w:keepNext w:val="false"/>
        <w:spacing w:after="130" w:before="0" w:line="268"/>
        <w:jc w:val="both"/>
      </w:pPr>
      <w:r>
        <w:rPr>
          <w:rFonts w:ascii="Calibri" w:cs="Calibri" w:eastAsia="Calibri" w:hAnsi="Calibri"/>
          <w:color w:val="22303C"/>
          <w:sz w:val="20"/>
          <w:szCs w:val="20"/>
        </w:rPr>
        <w:t xml:space="preserve">Note that approval does not execute. The agent must present the mandate, which lets the customer change their mind in the gap and lets the exchange re-verify revocation state at the last possible moment.</w:t>
      </w:r>
    </w:p>
    <w:p>
      <w:pPr>
        <w:pStyle w:val="Heading2"/>
      </w:pPr>
      <w:r>
        <w:rPr>
          <w:rFonts w:ascii="Calibri Light" w:cs="Calibri Light" w:eastAsia="Calibri Light" w:hAnsi="Calibri Light"/>
          <w:color w:val="1B3A5C"/>
          <w:sz w:val="23"/>
          <w:szCs w:val="23"/>
        </w:rPr>
        <w:t xml:space="preserve">7.7  Execution and receipt</w:t>
      </w:r>
    </w:p>
    <w:p>
      <w:pPr>
        <w:keepLines/>
        <w:pBdr>
          <w:top w:val="single" w:color="C7D0DA" w:sz="2" w:space="2"/>
          <w:left w:val="single" w:color="1E7B96" w:sz="12" w:space="6"/>
        </w:pBdr>
        <w:shd w:fill="F3F5F8" w:color="auto" w:val="clear"/>
        <w:spacing w:after="0" w:before="90" w:line="208"/>
        <w:ind w:left="130" w:right="90"/>
        <w:jc w:val="left"/>
      </w:pPr>
      <w:r>
        <w:rPr>
          <w:rFonts w:ascii="Consolas" w:cs="Consolas" w:eastAsia="Consolas" w:hAnsi="Consolas"/>
          <w:color w:val="12293F"/>
          <w:sz w:val="15"/>
          <w:szCs w:val="15"/>
        </w:rPr>
        <w:t xml:space="preserve">POST /v1/intents/int_01J9WQ6Z8T:execute</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Idempotency-Key: 9f2c1b6e-2f19-4a7d-91c0-7e5b2a8d4413</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 "mandate": "eyJhbGciOiJFUzI1NiIsImtpZCI6Im1uZC0yMDI2LTA3In0..." }</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 </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200 OK</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 "receipt_id": "rcp_01J9WQ8H2M", "intent_id": "int_01J9WQ6Z8T",</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  "broker_order_id": "ORD-88213-4417", "status": "working",</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  "accepted_at": "2026-07-29T20:47:15.288Z",</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  "authorised_effect": { "side": "BUY", "symbol": "ROAR", "quantity": 12,</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                          "order_type": "LIMIT", "limit_price": 205.00,</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                          "time_in_force": "DAY", "max_principal": 2460.03 },</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  "evidence_ref": "wrm://ledger/2026/07/29/rcp_01J9WQ8H2M",</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  "receipt_signature": "&lt;detached JWS&gt;" }</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 </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 A retry of the same request with the same Idempotency-Key returns this exact</w:t>
      </w:r>
    </w:p>
    <w:p>
      <w:pPr>
        <w:keepLines/>
        <w:pBdr>
          <w:bottom w:val="single" w:color="C7D0DA" w:sz="2" w:space="2"/>
          <w:left w:val="single" w:color="1E7B96" w:sz="12" w:space="6"/>
        </w:pBdr>
        <w:shd w:fill="F3F5F8" w:color="auto" w:val="clear"/>
        <w:spacing w:after="150" w:before="0" w:line="208"/>
        <w:ind w:left="130" w:right="90"/>
        <w:jc w:val="left"/>
      </w:pPr>
      <w:r>
        <w:rPr>
          <w:rFonts w:ascii="Consolas" w:cs="Consolas" w:eastAsia="Consolas" w:hAnsi="Consolas"/>
          <w:color w:val="12293F"/>
          <w:sz w:val="15"/>
          <w:szCs w:val="15"/>
        </w:rPr>
        <w:t xml:space="preserve">// response with 200 and header X-ACE-Idempotent-Replay: true. No second order.</w:t>
      </w:r>
    </w:p>
    <w:p>
      <w:pPr>
        <w:keepNext w:val="false"/>
        <w:spacing w:after="130" w:before="0" w:line="268"/>
        <w:jc w:val="both"/>
      </w:pPr>
      <w:r>
        <w:rPr>
          <w:rFonts w:ascii="Calibri" w:cs="Calibri" w:eastAsia="Calibri" w:hAnsi="Calibri"/>
          <w:color w:val="22303C"/>
          <w:sz w:val="20"/>
          <w:szCs w:val="20"/>
        </w:rPr>
        <w:t xml:space="preserve">Fills arrive asynchronously. The agent may poll the order status data product or the customer may register a webhook; either way, fill events extend the same receipt chain rather than creating a new authority.</w:t>
      </w:r>
    </w:p>
    <w:p>
      <w:pPr>
        <w:pStyle w:val="Heading2"/>
      </w:pPr>
      <w:r>
        <w:rPr>
          <w:rFonts w:ascii="Calibri Light" w:cs="Calibri Light" w:eastAsia="Calibri Light" w:hAnsi="Calibri Light"/>
          <w:color w:val="1B3A5C"/>
          <w:sz w:val="23"/>
          <w:szCs w:val="23"/>
        </w:rPr>
        <w:t xml:space="preserve">7.8  Rejection variants</w:t>
      </w:r>
    </w:p>
    <w:p>
      <w:pPr>
        <w:keepNext w:val="false"/>
        <w:spacing w:after="130" w:before="0" w:line="268"/>
        <w:jc w:val="both"/>
      </w:pPr>
      <w:r>
        <w:rPr>
          <w:rFonts w:ascii="Calibri" w:cs="Calibri" w:eastAsia="Calibri" w:hAnsi="Calibri"/>
          <w:color w:val="22303C"/>
          <w:sz w:val="20"/>
          <w:szCs w:val="20"/>
        </w:rPr>
        <w:t xml:space="preserve">Rejections are where an architecture earns its keep. Every case below returns a machine-readable violation the agent can act on, and in none of them does anything reach the market.</w:t>
      </w:r>
    </w:p>
    <w:tbl>
      <w:tblPr>
        <w:tblW w:type="dxa" w:w="10080"/>
        <w:tblBorders>
          <w:top w:val="single" w:color="1B3A5C" w:sz="4"/>
          <w:left w:val="none" w:color="FFFFFF" w:sz="0"/>
          <w:bottom w:val="single" w:color="1B3A5C" w:sz="4"/>
          <w:right w:val="none" w:color="FFFFFF" w:sz="0"/>
          <w:insideH w:val="single" w:color="C7D0DA" w:sz="2"/>
          <w:insideV w:val="single" w:color="C7D0DA" w:sz="2"/>
        </w:tblBorders>
      </w:tblPr>
      <w:tblGrid>
        <w:gridCol w:w="3024"/>
        <w:gridCol w:w="1411"/>
        <w:gridCol w:w="5645"/>
      </w:tblGrid>
      <w:tr>
        <w:trPr>
          <w:tblHeader/>
        </w:trPr>
        <w:tc>
          <w:tcPr>
            <w:tcW w:type="dxa" w:w="3024"/>
            <w:shd w:fill="1B3A5C"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FFFFFF"/>
                <w:sz w:val="17"/>
                <w:szCs w:val="17"/>
              </w:rPr>
              <w:t xml:space="preserve">Scenario</w:t>
            </w:r>
          </w:p>
        </w:tc>
        <w:tc>
          <w:tcPr>
            <w:tcW w:type="dxa" w:w="1411"/>
            <w:shd w:fill="1B3A5C"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FFFFFF"/>
                <w:sz w:val="17"/>
                <w:szCs w:val="17"/>
              </w:rPr>
              <w:t xml:space="preserve">Response</w:t>
            </w:r>
          </w:p>
        </w:tc>
        <w:tc>
          <w:tcPr>
            <w:tcW w:type="dxa" w:w="5645"/>
            <w:shd w:fill="1B3A5C"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FFFFFF"/>
                <w:sz w:val="17"/>
                <w:szCs w:val="17"/>
              </w:rPr>
              <w:t xml:space="preserve">Violation code and behaviour</w:t>
            </w:r>
          </w:p>
        </w:tc>
      </w:tr>
      <w:tr>
        <w:tc>
          <w:tcPr>
            <w:tcW w:type="dxa" w:w="3024"/>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6"/>
                <w:szCs w:val="16"/>
              </w:rPr>
              <w:t xml:space="preserve">Customer asks for $25,000 of ROAR (envelope is $5,000 per order)</w:t>
            </w:r>
          </w:p>
        </w:tc>
        <w:tc>
          <w:tcPr>
            <w:tcW w:type="dxa" w:w="1411"/>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6"/>
                <w:szCs w:val="16"/>
              </w:rPr>
              <w:t xml:space="preserve">422</w:t>
            </w:r>
          </w:p>
        </w:tc>
        <w:tc>
          <w:tcPr>
            <w:tcW w:type="dxa" w:w="5645"/>
            <w:tcMar>
              <w:top w:type="dxa" w:w="60"/>
              <w:left w:type="dxa" w:w="100"/>
              <w:bottom w:type="dxa" w:w="60"/>
              <w:right w:type="dxa" w:w="100"/>
            </w:tcMar>
            <w:vAlign w:val="top"/>
          </w:tcPr>
          <w:p>
            <w:pPr>
              <w:spacing w:after="40" w:before="40" w:line="240"/>
              <w:jc w:val="left"/>
            </w:pPr>
            <w:r>
              <w:rPr>
                <w:rFonts w:ascii="Consolas" w:cs="Consolas" w:eastAsia="Consolas" w:hAnsi="Consolas"/>
                <w:color w:val="12293F"/>
                <w:sz w:val="14"/>
                <w:szCs w:val="14"/>
              </w:rPr>
              <w:t xml:space="preserve">OUTSIDE_GRANT</w:t>
            </w:r>
            <w:r>
              <w:rPr>
                <w:rFonts w:ascii="Calibri" w:cs="Calibri" w:eastAsia="Calibri" w:hAnsi="Calibri"/>
                <w:color w:val="22303C"/>
                <w:sz w:val="16"/>
                <w:szCs w:val="16"/>
              </w:rPr>
              <w:t xml:space="preserve"> plus </w:t>
            </w:r>
            <w:r>
              <w:rPr>
                <w:rFonts w:ascii="Consolas" w:cs="Consolas" w:eastAsia="Consolas" w:hAnsi="Consolas"/>
                <w:color w:val="12293F"/>
                <w:sz w:val="14"/>
                <w:szCs w:val="14"/>
              </w:rPr>
              <w:t xml:space="preserve">ORDER_SIZE_LIMIT</w:t>
            </w:r>
            <w:r>
              <w:rPr>
                <w:rFonts w:ascii="Calibri" w:cs="Calibri" w:eastAsia="Calibri" w:hAnsi="Calibri"/>
                <w:color w:val="22303C"/>
                <w:sz w:val="16"/>
                <w:szCs w:val="16"/>
              </w:rPr>
              <w:t xml:space="preserve">. Remediation text tells the agent the ceiling so it can propose a compliant alternative. Raising the ceiling requires the human, in the provider’s app.</w:t>
            </w:r>
          </w:p>
        </w:tc>
      </w:tr>
      <w:tr>
        <w:tc>
          <w:tcPr>
            <w:tcW w:type="dxa" w:w="3024"/>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6"/>
                <w:szCs w:val="16"/>
              </w:rPr>
              <w:t xml:space="preserve">Buying power is $7,412 and the intent needs $9,000</w:t>
            </w:r>
          </w:p>
        </w:tc>
        <w:tc>
          <w:tcPr>
            <w:tcW w:type="dxa" w:w="1411"/>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6"/>
                <w:szCs w:val="16"/>
              </w:rPr>
              <w:t xml:space="preserve">422</w:t>
            </w:r>
          </w:p>
        </w:tc>
        <w:tc>
          <w:tcPr>
            <w:tcW w:type="dxa" w:w="5645"/>
            <w:shd w:fill="F4F7FA" w:color="auto" w:val="clear"/>
            <w:tcMar>
              <w:top w:type="dxa" w:w="60"/>
              <w:left w:type="dxa" w:w="100"/>
              <w:bottom w:type="dxa" w:w="60"/>
              <w:right w:type="dxa" w:w="100"/>
            </w:tcMar>
            <w:vAlign w:val="top"/>
          </w:tcPr>
          <w:p>
            <w:pPr>
              <w:spacing w:after="40" w:before="40" w:line="240"/>
              <w:jc w:val="left"/>
            </w:pPr>
            <w:r>
              <w:rPr>
                <w:rFonts w:ascii="Consolas" w:cs="Consolas" w:eastAsia="Consolas" w:hAnsi="Consolas"/>
                <w:color w:val="12293F"/>
                <w:sz w:val="14"/>
                <w:szCs w:val="14"/>
              </w:rPr>
              <w:t xml:space="preserve">BUYING_POWER_EXCEEDED</w:t>
            </w:r>
            <w:r>
              <w:rPr>
                <w:rFonts w:ascii="Calibri" w:cs="Calibri" w:eastAsia="Calibri" w:hAnsi="Calibri"/>
                <w:color w:val="22303C"/>
                <w:sz w:val="16"/>
                <w:szCs w:val="16"/>
              </w:rPr>
              <w:t xml:space="preserve"> with available amount. The agent can propose a smaller notional; no partial order is created.</w:t>
            </w:r>
          </w:p>
        </w:tc>
      </w:tr>
      <w:tr>
        <w:tc>
          <w:tcPr>
            <w:tcW w:type="dxa" w:w="3024"/>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6"/>
                <w:szCs w:val="16"/>
              </w:rPr>
              <w:t xml:space="preserve">Symbol is on the restricted list</w:t>
            </w:r>
          </w:p>
        </w:tc>
        <w:tc>
          <w:tcPr>
            <w:tcW w:type="dxa" w:w="1411"/>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6"/>
                <w:szCs w:val="16"/>
              </w:rPr>
              <w:t xml:space="preserve">422</w:t>
            </w:r>
          </w:p>
        </w:tc>
        <w:tc>
          <w:tcPr>
            <w:tcW w:type="dxa" w:w="5645"/>
            <w:tcMar>
              <w:top w:type="dxa" w:w="60"/>
              <w:left w:type="dxa" w:w="100"/>
              <w:bottom w:type="dxa" w:w="60"/>
              <w:right w:type="dxa" w:w="100"/>
            </w:tcMar>
            <w:vAlign w:val="top"/>
          </w:tcPr>
          <w:p>
            <w:pPr>
              <w:spacing w:after="40" w:before="40" w:line="240"/>
              <w:jc w:val="left"/>
            </w:pPr>
            <w:r>
              <w:rPr>
                <w:rFonts w:ascii="Consolas" w:cs="Consolas" w:eastAsia="Consolas" w:hAnsi="Consolas"/>
                <w:color w:val="12293F"/>
                <w:sz w:val="14"/>
                <w:szCs w:val="14"/>
              </w:rPr>
              <w:t xml:space="preserve">RESTRICTED_SYMBOL</w:t>
            </w:r>
            <w:r>
              <w:rPr>
                <w:rFonts w:ascii="Calibri" w:cs="Calibri" w:eastAsia="Calibri" w:hAnsi="Calibri"/>
                <w:color w:val="22303C"/>
                <w:sz w:val="16"/>
                <w:szCs w:val="16"/>
              </w:rPr>
              <w:t xml:space="preserve"> with no reason disclosed — the reason itself may be material non-public information.</w:t>
            </w:r>
          </w:p>
        </w:tc>
      </w:tr>
      <w:tr>
        <w:tc>
          <w:tcPr>
            <w:tcW w:type="dxa" w:w="3024"/>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6"/>
                <w:szCs w:val="16"/>
              </w:rPr>
              <w:t xml:space="preserve">Limit price 260.00 against a 204.88 ask</w:t>
            </w:r>
          </w:p>
        </w:tc>
        <w:tc>
          <w:tcPr>
            <w:tcW w:type="dxa" w:w="1411"/>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6"/>
                <w:szCs w:val="16"/>
              </w:rPr>
              <w:t xml:space="preserve">422</w:t>
            </w:r>
          </w:p>
        </w:tc>
        <w:tc>
          <w:tcPr>
            <w:tcW w:type="dxa" w:w="5645"/>
            <w:shd w:fill="F4F7FA" w:color="auto" w:val="clear"/>
            <w:tcMar>
              <w:top w:type="dxa" w:w="60"/>
              <w:left w:type="dxa" w:w="100"/>
              <w:bottom w:type="dxa" w:w="60"/>
              <w:right w:type="dxa" w:w="100"/>
            </w:tcMar>
            <w:vAlign w:val="top"/>
          </w:tcPr>
          <w:p>
            <w:pPr>
              <w:spacing w:after="40" w:before="40" w:line="240"/>
              <w:jc w:val="left"/>
            </w:pPr>
            <w:r>
              <w:rPr>
                <w:rFonts w:ascii="Consolas" w:cs="Consolas" w:eastAsia="Consolas" w:hAnsi="Consolas"/>
                <w:color w:val="12293F"/>
                <w:sz w:val="14"/>
                <w:szCs w:val="14"/>
              </w:rPr>
              <w:t xml:space="preserve">PRICE_BAND</w:t>
            </w:r>
            <w:r>
              <w:rPr>
                <w:rFonts w:ascii="Calibri" w:cs="Calibri" w:eastAsia="Calibri" w:hAnsi="Calibri"/>
                <w:color w:val="22303C"/>
                <w:sz w:val="16"/>
                <w:szCs w:val="16"/>
              </w:rPr>
              <w:t xml:space="preserve"> from the erroneous-order control. Protects the customer from a fat-fingered or hallucinated price.</w:t>
            </w:r>
          </w:p>
        </w:tc>
      </w:tr>
      <w:tr>
        <w:tc>
          <w:tcPr>
            <w:tcW w:type="dxa" w:w="3024"/>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6"/>
                <w:szCs w:val="16"/>
              </w:rPr>
              <w:t xml:space="preserve">Agent submits an options order; envelope is equities only</w:t>
            </w:r>
          </w:p>
        </w:tc>
        <w:tc>
          <w:tcPr>
            <w:tcW w:type="dxa" w:w="1411"/>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6"/>
                <w:szCs w:val="16"/>
              </w:rPr>
              <w:t xml:space="preserve">422</w:t>
            </w:r>
          </w:p>
        </w:tc>
        <w:tc>
          <w:tcPr>
            <w:tcW w:type="dxa" w:w="5645"/>
            <w:tcMar>
              <w:top w:type="dxa" w:w="60"/>
              <w:left w:type="dxa" w:w="100"/>
              <w:bottom w:type="dxa" w:w="60"/>
              <w:right w:type="dxa" w:w="100"/>
            </w:tcMar>
            <w:vAlign w:val="top"/>
          </w:tcPr>
          <w:p>
            <w:pPr>
              <w:spacing w:after="40" w:before="40" w:line="240"/>
              <w:jc w:val="left"/>
            </w:pPr>
            <w:r>
              <w:rPr>
                <w:rFonts w:ascii="Consolas" w:cs="Consolas" w:eastAsia="Consolas" w:hAnsi="Consolas"/>
                <w:color w:val="12293F"/>
                <w:sz w:val="14"/>
                <w:szCs w:val="14"/>
              </w:rPr>
              <w:t xml:space="preserve">NOT_PERMITTED_INSTRUMENT</w:t>
            </w:r>
            <w:r>
              <w:rPr>
                <w:rFonts w:ascii="Calibri" w:cs="Calibri" w:eastAsia="Calibri" w:hAnsi="Calibri"/>
                <w:color w:val="22303C"/>
                <w:sz w:val="16"/>
                <w:szCs w:val="16"/>
              </w:rPr>
              <w:t xml:space="preserve">. Options require a separate grant, a separate approved level and its own disclosures.</w:t>
            </w:r>
          </w:p>
        </w:tc>
      </w:tr>
      <w:tr>
        <w:tc>
          <w:tcPr>
            <w:tcW w:type="dxa" w:w="3024"/>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6"/>
                <w:szCs w:val="16"/>
              </w:rPr>
              <w:t xml:space="preserve">Agent submits a funds withdrawal intent</w:t>
            </w:r>
          </w:p>
        </w:tc>
        <w:tc>
          <w:tcPr>
            <w:tcW w:type="dxa" w:w="1411"/>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6"/>
                <w:szCs w:val="16"/>
              </w:rPr>
              <w:t xml:space="preserve">403</w:t>
            </w:r>
          </w:p>
        </w:tc>
        <w:tc>
          <w:tcPr>
            <w:tcW w:type="dxa" w:w="5645"/>
            <w:shd w:fill="F4F7FA" w:color="auto" w:val="clear"/>
            <w:tcMar>
              <w:top w:type="dxa" w:w="60"/>
              <w:left w:type="dxa" w:w="100"/>
              <w:bottom w:type="dxa" w:w="60"/>
              <w:right w:type="dxa" w:w="100"/>
            </w:tcMar>
            <w:vAlign w:val="top"/>
          </w:tcPr>
          <w:p>
            <w:pPr>
              <w:spacing w:after="40" w:before="40" w:line="240"/>
              <w:jc w:val="left"/>
            </w:pPr>
            <w:r>
              <w:rPr>
                <w:rFonts w:ascii="Consolas" w:cs="Consolas" w:eastAsia="Consolas" w:hAnsi="Consolas"/>
                <w:color w:val="12293F"/>
                <w:sz w:val="14"/>
                <w:szCs w:val="14"/>
              </w:rPr>
              <w:t xml:space="preserve">ACTION_EXCLUDED</w:t>
            </w:r>
            <w:r>
              <w:rPr>
                <w:rFonts w:ascii="Calibri" w:cs="Calibri" w:eastAsia="Calibri" w:hAnsi="Calibri"/>
                <w:color w:val="22303C"/>
                <w:sz w:val="16"/>
                <w:szCs w:val="16"/>
              </w:rPr>
              <w:t xml:space="preserve">. Denied at the authorisation server from </w:t>
            </w:r>
            <w:r>
              <w:rPr>
                <w:rFonts w:ascii="Consolas" w:cs="Consolas" w:eastAsia="Consolas" w:hAnsi="Consolas"/>
                <w:color w:val="12293F"/>
                <w:sz w:val="14"/>
                <w:szCs w:val="14"/>
              </w:rPr>
              <w:t xml:space="preserve">excluded_actions</w:t>
            </w:r>
            <w:r>
              <w:rPr>
                <w:rFonts w:ascii="Calibri" w:cs="Calibri" w:eastAsia="Calibri" w:hAnsi="Calibri"/>
                <w:color w:val="22303C"/>
                <w:sz w:val="16"/>
                <w:szCs w:val="16"/>
              </w:rPr>
              <w:t xml:space="preserve">; never reaches validation. Raises a surveillance event.</w:t>
            </w:r>
          </w:p>
        </w:tc>
      </w:tr>
      <w:tr>
        <w:tc>
          <w:tcPr>
            <w:tcW w:type="dxa" w:w="3024"/>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6"/>
                <w:szCs w:val="16"/>
              </w:rPr>
              <w:t xml:space="preserve">Customer declines on the phone</w:t>
            </w:r>
          </w:p>
        </w:tc>
        <w:tc>
          <w:tcPr>
            <w:tcW w:type="dxa" w:w="1411"/>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6"/>
                <w:szCs w:val="16"/>
              </w:rPr>
              <w:t xml:space="preserve">200 on poll, status </w:t>
            </w:r>
            <w:r>
              <w:rPr>
                <w:rFonts w:ascii="Consolas" w:cs="Consolas" w:eastAsia="Consolas" w:hAnsi="Consolas"/>
                <w:color w:val="12293F"/>
                <w:sz w:val="14"/>
                <w:szCs w:val="14"/>
              </w:rPr>
              <w:t xml:space="preserve">declined</w:t>
            </w:r>
          </w:p>
        </w:tc>
        <w:tc>
          <w:tcPr>
            <w:tcW w:type="dxa" w:w="5645"/>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6"/>
                <w:szCs w:val="16"/>
              </w:rPr>
              <w:t xml:space="preserve">Intent is terminal. The agent must construct a new intent; there is no retry-into-approval path.</w:t>
            </w:r>
          </w:p>
        </w:tc>
      </w:tr>
      <w:tr>
        <w:tc>
          <w:tcPr>
            <w:tcW w:type="dxa" w:w="3024"/>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6"/>
                <w:szCs w:val="16"/>
              </w:rPr>
              <w:t xml:space="preserve">Approval times out after 90 s</w:t>
            </w:r>
          </w:p>
        </w:tc>
        <w:tc>
          <w:tcPr>
            <w:tcW w:type="dxa" w:w="1411"/>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6"/>
                <w:szCs w:val="16"/>
              </w:rPr>
              <w:t xml:space="preserve">200 on poll, status </w:t>
            </w:r>
            <w:r>
              <w:rPr>
                <w:rFonts w:ascii="Consolas" w:cs="Consolas" w:eastAsia="Consolas" w:hAnsi="Consolas"/>
                <w:color w:val="12293F"/>
                <w:sz w:val="14"/>
                <w:szCs w:val="14"/>
              </w:rPr>
              <w:t xml:space="preserve">approval_timeout</w:t>
            </w:r>
          </w:p>
        </w:tc>
        <w:tc>
          <w:tcPr>
            <w:tcW w:type="dxa" w:w="5645"/>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6"/>
                <w:szCs w:val="16"/>
              </w:rPr>
              <w:t xml:space="preserve">Terminal. Prevents an approval prompt lingering where a customer might accept it out of context hours later.</w:t>
            </w:r>
          </w:p>
        </w:tc>
      </w:tr>
      <w:tr>
        <w:tc>
          <w:tcPr>
            <w:tcW w:type="dxa" w:w="3024"/>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6"/>
                <w:szCs w:val="16"/>
              </w:rPr>
              <w:t xml:space="preserve">Agent replays a mandate for a different intent</w:t>
            </w:r>
          </w:p>
        </w:tc>
        <w:tc>
          <w:tcPr>
            <w:tcW w:type="dxa" w:w="1411"/>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6"/>
                <w:szCs w:val="16"/>
              </w:rPr>
              <w:t xml:space="preserve">409</w:t>
            </w:r>
          </w:p>
        </w:tc>
        <w:tc>
          <w:tcPr>
            <w:tcW w:type="dxa" w:w="5645"/>
            <w:tcMar>
              <w:top w:type="dxa" w:w="60"/>
              <w:left w:type="dxa" w:w="100"/>
              <w:bottom w:type="dxa" w:w="60"/>
              <w:right w:type="dxa" w:w="100"/>
            </w:tcMar>
            <w:vAlign w:val="top"/>
          </w:tcPr>
          <w:p>
            <w:pPr>
              <w:spacing w:after="40" w:before="40" w:line="240"/>
              <w:jc w:val="left"/>
            </w:pPr>
            <w:r>
              <w:rPr>
                <w:rFonts w:ascii="Consolas" w:cs="Consolas" w:eastAsia="Consolas" w:hAnsi="Consolas"/>
                <w:color w:val="12293F"/>
                <w:sz w:val="14"/>
                <w:szCs w:val="14"/>
              </w:rPr>
              <w:t xml:space="preserve">MANDATE_INTENT_MISMATCH</w:t>
            </w:r>
            <w:r>
              <w:rPr>
                <w:rFonts w:ascii="Calibri" w:cs="Calibri" w:eastAsia="Calibri" w:hAnsi="Calibri"/>
                <w:color w:val="22303C"/>
                <w:sz w:val="16"/>
                <w:szCs w:val="16"/>
              </w:rPr>
              <w:t xml:space="preserve">. The hash does not match. Logged as a security event and counted against the agent’s baseline.</w:t>
            </w:r>
          </w:p>
        </w:tc>
      </w:tr>
      <w:tr>
        <w:tc>
          <w:tcPr>
            <w:tcW w:type="dxa" w:w="3024"/>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6"/>
                <w:szCs w:val="16"/>
              </w:rPr>
              <w:t xml:space="preserve">Agent presents a mandate 6 minutes after issuance</w:t>
            </w:r>
          </w:p>
        </w:tc>
        <w:tc>
          <w:tcPr>
            <w:tcW w:type="dxa" w:w="1411"/>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6"/>
                <w:szCs w:val="16"/>
              </w:rPr>
              <w:t xml:space="preserve">409</w:t>
            </w:r>
          </w:p>
        </w:tc>
        <w:tc>
          <w:tcPr>
            <w:tcW w:type="dxa" w:w="5645"/>
            <w:shd w:fill="F4F7FA" w:color="auto" w:val="clear"/>
            <w:tcMar>
              <w:top w:type="dxa" w:w="60"/>
              <w:left w:type="dxa" w:w="100"/>
              <w:bottom w:type="dxa" w:w="60"/>
              <w:right w:type="dxa" w:w="100"/>
            </w:tcMar>
            <w:vAlign w:val="top"/>
          </w:tcPr>
          <w:p>
            <w:pPr>
              <w:spacing w:after="40" w:before="40" w:line="240"/>
              <w:jc w:val="left"/>
            </w:pPr>
            <w:r>
              <w:rPr>
                <w:rFonts w:ascii="Consolas" w:cs="Consolas" w:eastAsia="Consolas" w:hAnsi="Consolas"/>
                <w:color w:val="12293F"/>
                <w:sz w:val="14"/>
                <w:szCs w:val="14"/>
              </w:rPr>
              <w:t xml:space="preserve">MANDATE_EXPIRED</w:t>
            </w:r>
            <w:r>
              <w:rPr>
                <w:rFonts w:ascii="Calibri" w:cs="Calibri" w:eastAsia="Calibri" w:hAnsi="Calibri"/>
                <w:color w:val="22303C"/>
                <w:sz w:val="16"/>
                <w:szCs w:val="16"/>
              </w:rPr>
              <w:t xml:space="preserve">. Re-approval required.</w:t>
            </w:r>
          </w:p>
        </w:tc>
      </w:tr>
      <w:tr>
        <w:tc>
          <w:tcPr>
            <w:tcW w:type="dxa" w:w="3024"/>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6"/>
                <w:szCs w:val="16"/>
              </w:rPr>
              <w:t xml:space="preserve">Customer hits the kill switch mid-flow</w:t>
            </w:r>
          </w:p>
        </w:tc>
        <w:tc>
          <w:tcPr>
            <w:tcW w:type="dxa" w:w="1411"/>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6"/>
                <w:szCs w:val="16"/>
              </w:rPr>
              <w:t xml:space="preserve">409</w:t>
            </w:r>
          </w:p>
        </w:tc>
        <w:tc>
          <w:tcPr>
            <w:tcW w:type="dxa" w:w="5645"/>
            <w:tcMar>
              <w:top w:type="dxa" w:w="60"/>
              <w:left w:type="dxa" w:w="100"/>
              <w:bottom w:type="dxa" w:w="60"/>
              <w:right w:type="dxa" w:w="100"/>
            </w:tcMar>
            <w:vAlign w:val="top"/>
          </w:tcPr>
          <w:p>
            <w:pPr>
              <w:spacing w:after="40" w:before="40" w:line="240"/>
              <w:jc w:val="left"/>
            </w:pPr>
            <w:r>
              <w:rPr>
                <w:rFonts w:ascii="Consolas" w:cs="Consolas" w:eastAsia="Consolas" w:hAnsi="Consolas"/>
                <w:color w:val="12293F"/>
                <w:sz w:val="14"/>
                <w:szCs w:val="14"/>
              </w:rPr>
              <w:t xml:space="preserve">AGENTIC_AUTHORITY_SUSPENDED</w:t>
            </w:r>
            <w:r>
              <w:rPr>
                <w:rFonts w:ascii="Calibri" w:cs="Calibri" w:eastAsia="Calibri" w:hAnsi="Calibri"/>
                <w:color w:val="22303C"/>
                <w:sz w:val="16"/>
                <w:szCs w:val="16"/>
              </w:rPr>
              <w:t xml:space="preserve">. Open agent-originated orders cancelled where cancellable; standing mandates voided.</w:t>
            </w:r>
          </w:p>
        </w:tc>
      </w:tr>
      <w:tr>
        <w:tc>
          <w:tcPr>
            <w:tcW w:type="dxa" w:w="3024"/>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6"/>
                <w:szCs w:val="16"/>
              </w:rPr>
              <w:t xml:space="preserve">31 intents in one day against a 20-intent envelope</w:t>
            </w:r>
          </w:p>
        </w:tc>
        <w:tc>
          <w:tcPr>
            <w:tcW w:type="dxa" w:w="1411"/>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6"/>
                <w:szCs w:val="16"/>
              </w:rPr>
              <w:t xml:space="preserve">429</w:t>
            </w:r>
          </w:p>
        </w:tc>
        <w:tc>
          <w:tcPr>
            <w:tcW w:type="dxa" w:w="5645"/>
            <w:shd w:fill="F4F7FA" w:color="auto" w:val="clear"/>
            <w:tcMar>
              <w:top w:type="dxa" w:w="60"/>
              <w:left w:type="dxa" w:w="100"/>
              <w:bottom w:type="dxa" w:w="60"/>
              <w:right w:type="dxa" w:w="100"/>
            </w:tcMar>
            <w:vAlign w:val="top"/>
          </w:tcPr>
          <w:p>
            <w:pPr>
              <w:spacing w:after="40" w:before="40" w:line="240"/>
              <w:jc w:val="left"/>
            </w:pPr>
            <w:r>
              <w:rPr>
                <w:rFonts w:ascii="Consolas" w:cs="Consolas" w:eastAsia="Consolas" w:hAnsi="Consolas"/>
                <w:color w:val="12293F"/>
                <w:sz w:val="14"/>
                <w:szCs w:val="14"/>
              </w:rPr>
              <w:t xml:space="preserve">INTENT_RATE_EXCEEDED</w:t>
            </w:r>
            <w:r>
              <w:rPr>
                <w:rFonts w:ascii="Calibri" w:cs="Calibri" w:eastAsia="Calibri" w:hAnsi="Calibri"/>
                <w:color w:val="22303C"/>
                <w:sz w:val="16"/>
                <w:szCs w:val="16"/>
              </w:rPr>
              <w:t xml:space="preserve"> with reset time. Circuit breaker trips at repeated breaches and pages an operator.</w:t>
            </w:r>
          </w:p>
        </w:tc>
      </w:tr>
    </w:tbl>
    <w:p>
      <w:pPr>
        <w:pStyle w:val="Heading2"/>
      </w:pPr>
      <w:r>
        <w:rPr>
          <w:rFonts w:ascii="Calibri Light" w:cs="Calibri Light" w:eastAsia="Calibri Light" w:hAnsi="Calibri Light"/>
          <w:color w:val="1B3A5C"/>
          <w:sz w:val="23"/>
          <w:szCs w:val="23"/>
        </w:rPr>
        <w:t xml:space="preserve">7.9  Standing mandate: conditional accumulation</w:t>
      </w:r>
    </w:p>
    <w:p>
      <w:pPr>
        <w:keepNext w:val="false"/>
        <w:spacing w:after="130" w:before="0" w:line="268"/>
        <w:jc w:val="both"/>
      </w:pPr>
      <w:r>
        <w:rPr>
          <w:rFonts w:ascii="Calibri" w:cs="Calibri" w:eastAsia="Calibri" w:hAnsi="Calibri"/>
          <w:color w:val="22303C"/>
          <w:sz w:val="20"/>
          <w:szCs w:val="20"/>
        </w:rPr>
        <w:t xml:space="preserve">The customer says: “buy $100 of ROAR whenever it drops 2% or more in a day, at most once a day, until the end of October, capped at $2,000 total.” The agent helps compose it; the provider evaluates and executes it.</w:t>
      </w:r>
    </w:p>
    <w:p>
      <w:pPr>
        <w:keepLines/>
        <w:pBdr>
          <w:top w:val="single" w:color="C7D0DA" w:sz="2" w:space="2"/>
          <w:left w:val="single" w:color="1E7B96" w:sz="12" w:space="6"/>
        </w:pBdr>
        <w:shd w:fill="F3F5F8" w:color="auto" w:val="clear"/>
        <w:spacing w:after="0" w:before="90" w:line="208"/>
        <w:ind w:left="130" w:right="90"/>
        <w:jc w:val="left"/>
      </w:pPr>
      <w:r>
        <w:rPr>
          <w:rFonts w:ascii="Consolas" w:cs="Consolas" w:eastAsia="Consolas" w:hAnsi="Consolas"/>
          <w:color w:val="12293F"/>
          <w:sz w:val="15"/>
          <w:szCs w:val="15"/>
        </w:rPr>
        <w:t xml:space="preserve">POST /v1/intents</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 "intent_type": "equity.order.conditional.v1", "account_ref": "acct_tok_7Q4F",</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  "purpose": "user_directed_automation",</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  "parameters": {</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    "trigger": { "kind": "intraday_price_change", "symbol": "ROAR", "window": "1d",</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                  "operator": "&lt;=", "value_pct": -2.0, "reference": "prior_close",</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                  "evaluator": "broker_side", "max_fires_per_day": 1 },</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    "action_template": { "side": "BUY", "symbol": "ROAR",</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                          "notional": { "currency": "USD", "amount": 100.00 },</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                          "order_type": "MARKET", "time_in_force": "DAY" },</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    "limits": { "max_notional_per_day": 100.00, "max_notional_total": 2000.00,</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                "max_open_orders": 1, "halt_on_consecutive_rejections": 2 },</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    "valid_from": "2026-08-01", "valid_until": "2026-10-31" } }</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 </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201 Created  -&gt; status awaiting_approval, tier step_up_signature</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   human_summary: "Buy $100 of ROAR whenever it falls 2% or more in a day, at most once</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                   a day, from 1 Aug to 31 Oct 2026, up to $2,000 in total. You can</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                   cancel this at any time. Market orders have no price protection."</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 </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 After signature: standing mandate mnd_01J9X2. Thereafter, on each trigger the</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 provider mints a child intent, runs the FULL control set again, executes, and</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 notifies the customer. Each firing produces its own receipt, chained to the</w:t>
      </w:r>
    </w:p>
    <w:p>
      <w:pPr>
        <w:keepLines/>
        <w:pBdr>
          <w:bottom w:val="single" w:color="C7D0DA" w:sz="2" w:space="2"/>
          <w:left w:val="single" w:color="1E7B96" w:sz="12" w:space="6"/>
        </w:pBdr>
        <w:shd w:fill="F3F5F8" w:color="auto" w:val="clear"/>
        <w:spacing w:after="150" w:before="0" w:line="208"/>
        <w:ind w:left="130" w:right="90"/>
        <w:jc w:val="left"/>
      </w:pPr>
      <w:r>
        <w:rPr>
          <w:rFonts w:ascii="Consolas" w:cs="Consolas" w:eastAsia="Consolas" w:hAnsi="Consolas"/>
          <w:color w:val="12293F"/>
          <w:sz w:val="15"/>
          <w:szCs w:val="15"/>
        </w:rPr>
        <w:t xml:space="preserve">// standing mandate. The agent need not be running, connected, or trusted.</w:t>
      </w:r>
    </w:p>
    <w:tbl>
      <w:tblPr>
        <w:tblW w:type="dxa" w:w="10080"/>
        <w:tblBorders>
          <w:top w:val="single" w:color="1B3A5C" w:sz="4"/>
          <w:left w:val="none" w:color="FFFFFF" w:sz="0"/>
          <w:bottom w:val="single" w:color="1B3A5C" w:sz="4"/>
          <w:right w:val="none" w:color="FFFFFF" w:sz="0"/>
          <w:insideH w:val="single" w:color="C7D0DA" w:sz="2"/>
          <w:insideV w:val="single" w:color="C7D0DA" w:sz="2"/>
        </w:tblBorders>
      </w:tblPr>
      <w:tblGrid>
        <w:gridCol w:w="3427"/>
        <w:gridCol w:w="3326"/>
        <w:gridCol w:w="3327"/>
      </w:tblGrid>
      <w:tr>
        <w:trPr>
          <w:tblHeader/>
        </w:trPr>
        <w:tc>
          <w:tcPr>
            <w:tcW w:type="dxa" w:w="3427"/>
            <w:shd w:fill="1B3A5C"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FFFFFF"/>
                <w:sz w:val="17"/>
                <w:szCs w:val="17"/>
              </w:rPr>
              <w:t xml:space="preserve">Property</w:t>
            </w:r>
          </w:p>
        </w:tc>
        <w:tc>
          <w:tcPr>
            <w:tcW w:type="dxa" w:w="3326"/>
            <w:shd w:fill="1B3A5C"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FFFFFF"/>
                <w:sz w:val="17"/>
                <w:szCs w:val="17"/>
              </w:rPr>
              <w:t xml:space="preserve">Agent-evaluated trigger (MCP-style)</w:t>
            </w:r>
          </w:p>
        </w:tc>
        <w:tc>
          <w:tcPr>
            <w:tcW w:type="dxa" w:w="3327"/>
            <w:shd w:fill="1B3A5C"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FFFFFF"/>
                <w:sz w:val="17"/>
                <w:szCs w:val="17"/>
              </w:rPr>
              <w:t xml:space="preserve">Broker-evaluated trigger (ACE)</w:t>
            </w:r>
          </w:p>
        </w:tc>
      </w:tr>
      <w:tr>
        <w:tc>
          <w:tcPr>
            <w:tcW w:type="dxa" w:w="3427"/>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Runs when the agent is offline</w:t>
            </w:r>
          </w:p>
        </w:tc>
        <w:tc>
          <w:tcPr>
            <w:tcW w:type="dxa" w:w="3326"/>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No</w:t>
            </w:r>
          </w:p>
        </w:tc>
        <w:tc>
          <w:tcPr>
            <w:tcW w:type="dxa" w:w="3327"/>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Yes</w:t>
            </w:r>
          </w:p>
        </w:tc>
      </w:tr>
      <w:tr>
        <w:tc>
          <w:tcPr>
            <w:tcW w:type="dxa" w:w="3427"/>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Provider can prove what fired the order</w:t>
            </w:r>
          </w:p>
        </w:tc>
        <w:tc>
          <w:tcPr>
            <w:tcW w:type="dxa" w:w="3326"/>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No — only that a tool was called</w:t>
            </w:r>
          </w:p>
        </w:tc>
        <w:tc>
          <w:tcPr>
            <w:tcW w:type="dxa" w:w="3327"/>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Yes — the trigger evaluation is a recorded, replayable decision</w:t>
            </w:r>
          </w:p>
        </w:tc>
      </w:tr>
      <w:tr>
        <w:tc>
          <w:tcPr>
            <w:tcW w:type="dxa" w:w="3427"/>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Hijacked agent can claim a trigger fired</w:t>
            </w:r>
          </w:p>
        </w:tc>
        <w:tc>
          <w:tcPr>
            <w:tcW w:type="dxa" w:w="3326"/>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Yes</w:t>
            </w:r>
          </w:p>
        </w:tc>
        <w:tc>
          <w:tcPr>
            <w:tcW w:type="dxa" w:w="3327"/>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No — the agent is not an input to firing</w:t>
            </w:r>
          </w:p>
        </w:tc>
      </w:tr>
      <w:tr>
        <w:tc>
          <w:tcPr>
            <w:tcW w:type="dxa" w:w="3427"/>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Volatility halts and caps honoured</w:t>
            </w:r>
          </w:p>
        </w:tc>
        <w:tc>
          <w:tcPr>
            <w:tcW w:type="dxa" w:w="3326"/>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Only if the agent chooses to</w:t>
            </w:r>
          </w:p>
        </w:tc>
        <w:tc>
          <w:tcPr>
            <w:tcW w:type="dxa" w:w="3327"/>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Always, server-side</w:t>
            </w:r>
          </w:p>
        </w:tc>
      </w:tr>
      <w:tr>
        <w:tc>
          <w:tcPr>
            <w:tcW w:type="dxa" w:w="3427"/>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Customer can revoke from their phone</w:t>
            </w:r>
          </w:p>
        </w:tc>
        <w:tc>
          <w:tcPr>
            <w:tcW w:type="dxa" w:w="3326"/>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Partially — revoking access does not stop a local agent loop</w:t>
            </w:r>
          </w:p>
        </w:tc>
        <w:tc>
          <w:tcPr>
            <w:tcW w:type="dxa" w:w="3327"/>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Yes — the mandate is the mechanism</w:t>
            </w:r>
          </w:p>
        </w:tc>
      </w:tr>
      <w:tr>
        <w:tc>
          <w:tcPr>
            <w:tcW w:type="dxa" w:w="3427"/>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Supervisable as a strategy under FINRA 3110</w:t>
            </w:r>
          </w:p>
        </w:tc>
        <w:tc>
          <w:tcPr>
            <w:tcW w:type="dxa" w:w="3326"/>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Very difficult</w:t>
            </w:r>
          </w:p>
        </w:tc>
        <w:tc>
          <w:tcPr>
            <w:tcW w:type="dxa" w:w="3327"/>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Yes — strategy parameters are stored, versioned and reportable</w:t>
            </w:r>
          </w:p>
        </w:tc>
      </w:tr>
    </w:tbl>
    <w:p>
      <w:pPr>
        <w:pStyle w:val="Heading2"/>
      </w:pPr>
      <w:r>
        <w:rPr>
          <w:rFonts w:ascii="Calibri Light" w:cs="Calibri Light" w:eastAsia="Calibri Light" w:hAnsi="Calibri Light"/>
          <w:color w:val="1B3A5C"/>
          <w:sz w:val="23"/>
          <w:szCs w:val="23"/>
        </w:rPr>
        <w:t xml:space="preserve">7.10  Multi-leg outcome: rebalance as one authorised unit</w:t>
      </w:r>
    </w:p>
    <w:p>
      <w:pPr>
        <w:keepNext w:val="false"/>
        <w:spacing w:after="130" w:before="0" w:line="268"/>
        <w:jc w:val="both"/>
      </w:pPr>
      <w:r>
        <w:rPr>
          <w:rFonts w:ascii="Calibri" w:cs="Calibri" w:eastAsia="Calibri" w:hAnsi="Calibri"/>
          <w:color w:val="22303C"/>
          <w:sz w:val="20"/>
          <w:szCs w:val="20"/>
        </w:rPr>
        <w:t xml:space="preserve">“Rebalance the agentic account to 20% ROAR and 80% HMNI.” Under a tool-call model this is a sequence of orders the agent invents, each individually authorised, with no transactional identity — and a partial failure leaves the customer in an unintended allocation with no record of what was supposed to happen. Under ACE it is one intent, one simulation, one signature, one saga.</w:t>
      </w:r>
    </w:p>
    <w:p>
      <w:pPr>
        <w:keepLines/>
        <w:pBdr>
          <w:top w:val="single" w:color="C7D0DA" w:sz="2" w:space="2"/>
          <w:left w:val="single" w:color="1E7B96" w:sz="12" w:space="6"/>
        </w:pBdr>
        <w:shd w:fill="F3F5F8" w:color="auto" w:val="clear"/>
        <w:spacing w:after="0" w:before="90" w:line="208"/>
        <w:ind w:left="130" w:right="90"/>
        <w:jc w:val="left"/>
      </w:pPr>
      <w:r>
        <w:rPr>
          <w:rFonts w:ascii="Consolas" w:cs="Consolas" w:eastAsia="Consolas" w:hAnsi="Consolas"/>
          <w:color w:val="12293F"/>
          <w:sz w:val="15"/>
          <w:szCs w:val="15"/>
        </w:rPr>
        <w:t xml:space="preserve">POST /v1/intents</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 "intent_type": "portfolio.rebalance.v1", "account_ref": "acct_tok_7Q4F",</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  "parameters": { "targets": [ { "symbol": "ROAR", "weight_pct": 20.0 },</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                                 { "symbol": "HMNI", "weight_pct": 80.0 } ],</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                   "tolerance_pct": 1.0, "cash_buffer_pct": 0.5,</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                   "execution_style": "sequential_sell_then_buy" } }</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 </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201 Created -&gt; simulation returns the EXPANDED PLAN the customer signs:</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 "plan": [</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    { "seq": 1, "side": "SELL", "symbol": "ROAR", "quantity": 3,  "est": 613.05 },</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    { "seq": 2, "side": "BUY",  "symbol": "HMNI", "quantity": 8,  "est": 608.24 } ],</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  "aggregate": { "max_principal": 1225.00, "est_fees": 0.05,</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                  "post_trade_weights": { "ROAR": 20.3, "HMNI": 79.2, "cash": 0.5 } },</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  "compensation_policy": "if leg 2 fails, leg 1 is reported and cash retained; no</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                           automatic re-purchase without a new intent",</w:t>
      </w:r>
    </w:p>
    <w:p>
      <w:pPr>
        <w:keepLines/>
        <w:pBdr>
          <w:bottom w:val="single" w:color="C7D0DA" w:sz="2" w:space="2"/>
          <w:left w:val="single" w:color="1E7B96" w:sz="12" w:space="6"/>
        </w:pBdr>
        <w:shd w:fill="F3F5F8" w:color="auto" w:val="clear"/>
        <w:spacing w:after="150" w:before="0" w:line="208"/>
        <w:ind w:left="130" w:right="90"/>
        <w:jc w:val="left"/>
      </w:pPr>
      <w:r>
        <w:rPr>
          <w:rFonts w:ascii="Consolas" w:cs="Consolas" w:eastAsia="Consolas" w:hAnsi="Consolas"/>
          <w:color w:val="12293F"/>
          <w:sz w:val="15"/>
          <w:szCs w:val="15"/>
        </w:rPr>
        <w:t xml:space="preserve">  "human_summary": "Sell 3 ROAR, buy 8 HMNI. Result: 20.3% ROAR / 79.2% HMNI." }</w:t>
      </w:r>
    </w:p>
    <w:p>
      <w:pPr>
        <w:keepNext w:val="false"/>
        <w:spacing w:after="130" w:before="0" w:line="268"/>
        <w:jc w:val="both"/>
      </w:pPr>
      <w:r>
        <w:rPr>
          <w:rFonts w:ascii="Calibri" w:cs="Calibri" w:eastAsia="Calibri" w:hAnsi="Calibri"/>
          <w:color w:val="22303C"/>
          <w:sz w:val="20"/>
          <w:szCs w:val="20"/>
        </w:rPr>
        <w:t xml:space="preserve">One mandate covers the aggregate with a single principal cap. The saga enforces ordering and settlement constraints. The compensation policy is stated </w:t>
      </w:r>
      <w:r>
        <w:rPr>
          <w:rFonts w:ascii="Calibri" w:cs="Calibri" w:eastAsia="Calibri" w:hAnsi="Calibri"/>
          <w:b/>
          <w:bCs/>
          <w:color w:val="22303C"/>
          <w:sz w:val="20"/>
          <w:szCs w:val="20"/>
        </w:rPr>
        <w:t xml:space="preserve">before</w:t>
      </w:r>
      <w:r>
        <w:rPr>
          <w:rFonts w:ascii="Calibri" w:cs="Calibri" w:eastAsia="Calibri" w:hAnsi="Calibri"/>
          <w:color w:val="22303C"/>
          <w:sz w:val="20"/>
          <w:szCs w:val="20"/>
        </w:rPr>
        <w:t xml:space="preserve"> the customer signs, which is a materially better consumer outcome than discovering it after a half-completed rebalance.</w:t>
      </w:r>
    </w:p>
    <w:p>
      <w:pPr>
        <w:pStyle w:val="Heading2"/>
      </w:pPr>
      <w:r>
        <w:rPr>
          <w:rFonts w:ascii="Calibri Light" w:cs="Calibri Light" w:eastAsia="Calibri Light" w:hAnsi="Calibri Light"/>
          <w:color w:val="1B3A5C"/>
          <w:sz w:val="23"/>
          <w:szCs w:val="23"/>
        </w:rPr>
        <w:t xml:space="preserve">7.11  What the agent never sees</w:t>
      </w:r>
    </w:p>
    <w:tbl>
      <w:tblPr>
        <w:tblW w:type="dxa" w:w="10080"/>
        <w:tblBorders>
          <w:top w:val="single" w:color="1B3A5C" w:sz="4"/>
          <w:left w:val="none" w:color="FFFFFF" w:sz="0"/>
          <w:bottom w:val="single" w:color="1B3A5C" w:sz="4"/>
          <w:right w:val="none" w:color="FFFFFF" w:sz="0"/>
          <w:insideH w:val="single" w:color="C7D0DA" w:sz="2"/>
          <w:insideV w:val="single" w:color="C7D0DA" w:sz="2"/>
        </w:tblBorders>
      </w:tblPr>
      <w:tblGrid>
        <w:gridCol w:w="3427"/>
        <w:gridCol w:w="6653"/>
      </w:tblGrid>
      <w:tr>
        <w:trPr>
          <w:tblHeader/>
        </w:trPr>
        <w:tc>
          <w:tcPr>
            <w:tcW w:type="dxa" w:w="3427"/>
            <w:shd w:fill="1B3A5C"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FFFFFF"/>
                <w:sz w:val="17"/>
                <w:szCs w:val="17"/>
              </w:rPr>
              <w:t xml:space="preserve">Withheld</w:t>
            </w:r>
          </w:p>
        </w:tc>
        <w:tc>
          <w:tcPr>
            <w:tcW w:type="dxa" w:w="6653"/>
            <w:shd w:fill="1B3A5C"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FFFFFF"/>
                <w:sz w:val="17"/>
                <w:szCs w:val="17"/>
              </w:rPr>
              <w:t xml:space="preserve">Why</w:t>
            </w:r>
          </w:p>
        </w:tc>
      </w:tr>
      <w:tr>
        <w:tc>
          <w:tcPr>
            <w:tcW w:type="dxa" w:w="3427"/>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Full account numbers</w:t>
            </w:r>
          </w:p>
        </w:tc>
        <w:tc>
          <w:tcPr>
            <w:tcW w:type="dxa" w:w="6653"/>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Only opaque, per-grant, non-portable tokens are issued. A leaked reference is useless elsewhere.</w:t>
            </w:r>
          </w:p>
        </w:tc>
      </w:tr>
      <w:tr>
        <w:tc>
          <w:tcPr>
            <w:tcW w:type="dxa" w:w="3427"/>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KYC data, SSN, date of birth, address, beneficiaries</w:t>
            </w:r>
          </w:p>
        </w:tc>
        <w:tc>
          <w:tcPr>
            <w:tcW w:type="dxa" w:w="6653"/>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No purpose in the read contract justifies them; they are not in any field catalogue.</w:t>
            </w:r>
          </w:p>
        </w:tc>
      </w:tr>
      <w:tr>
        <w:tc>
          <w:tcPr>
            <w:tcW w:type="dxa" w:w="3427"/>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Other accounts by default</w:t>
            </w:r>
          </w:p>
        </w:tc>
        <w:tc>
          <w:tcPr>
            <w:tcW w:type="dxa" w:w="6653"/>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Cross-account visibility requires a separate consent artefact and </w:t>
            </w:r>
            <w:r>
              <w:rPr>
                <w:rFonts w:ascii="Consolas" w:cs="Consolas" w:eastAsia="Consolas" w:hAnsi="Consolas"/>
                <w:color w:val="12293F"/>
                <w:sz w:val="14"/>
                <w:szCs w:val="14"/>
              </w:rPr>
              <w:t xml:space="preserve">fields_profile=minimal</w:t>
            </w:r>
            <w:r>
              <w:rPr>
                <w:rFonts w:ascii="Calibri" w:cs="Calibri" w:eastAsia="Calibri" w:hAnsi="Calibri"/>
                <w:color w:val="22303C"/>
                <w:sz w:val="17"/>
                <w:szCs w:val="17"/>
              </w:rPr>
              <w:t xml:space="preserve">.</w:t>
            </w:r>
          </w:p>
        </w:tc>
      </w:tr>
      <w:tr>
        <w:tc>
          <w:tcPr>
            <w:tcW w:type="dxa" w:w="3427"/>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Tax-lot detail</w:t>
            </w:r>
          </w:p>
        </w:tc>
        <w:tc>
          <w:tcPr>
            <w:tcW w:type="dxa" w:w="6653"/>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Aggregated. Lot-level data enables inference well beyond the stated purpose.</w:t>
            </w:r>
          </w:p>
        </w:tc>
      </w:tr>
      <w:tr>
        <w:tc>
          <w:tcPr>
            <w:tcW w:type="dxa" w:w="3427"/>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Internal instrument, venue and routing identifiers</w:t>
            </w:r>
          </w:p>
        </w:tc>
        <w:tc>
          <w:tcPr>
            <w:tcW w:type="dxa" w:w="6653"/>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Internal implementation detail; disclosing it would ossify the internal model and leak order-routing logic.</w:t>
            </w:r>
          </w:p>
        </w:tc>
      </w:tr>
      <w:tr>
        <w:tc>
          <w:tcPr>
            <w:tcW w:type="dxa" w:w="3427"/>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Order-routing and best-execution logic</w:t>
            </w:r>
          </w:p>
        </w:tc>
        <w:tc>
          <w:tcPr>
            <w:tcW w:type="dxa" w:w="6653"/>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Competitively sensitive and regulatorily material; the agent asks for an outcome, not a route.</w:t>
            </w:r>
          </w:p>
        </w:tc>
      </w:tr>
      <w:tr>
        <w:tc>
          <w:tcPr>
            <w:tcW w:type="dxa" w:w="3427"/>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Internal risk parameters and thresholds</w:t>
            </w:r>
          </w:p>
        </w:tc>
        <w:tc>
          <w:tcPr>
            <w:tcW w:type="dxa" w:w="6653"/>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Publishing a control’s exact threshold teaches an adversary how to sit just inside it.</w:t>
            </w:r>
          </w:p>
        </w:tc>
      </w:tr>
      <w:tr>
        <w:tc>
          <w:tcPr>
            <w:tcW w:type="dxa" w:w="3427"/>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Any capability outside the grant</w:t>
            </w:r>
          </w:p>
        </w:tc>
        <w:tc>
          <w:tcPr>
            <w:tcW w:type="dxa" w:w="6653"/>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Catalogue results are filtered by envelope before ranking, so unauthorised capability is not discoverable.</w:t>
            </w:r>
          </w:p>
        </w:tc>
      </w:tr>
      <w:tr>
        <w:tc>
          <w:tcPr>
            <w:tcW w:type="dxa" w:w="3427"/>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Any credential</w:t>
            </w:r>
          </w:p>
        </w:tc>
        <w:tc>
          <w:tcPr>
            <w:tcW w:type="dxa" w:w="6653"/>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7"/>
                <w:szCs w:val="17"/>
              </w:rPr>
              <w:t xml:space="preserve">There is nothing to steal from the agent’s configuration except a key-bound, short-lived, audience-restricted token that is useless without the private key. This is the structural answer to S-6.</w:t>
            </w:r>
          </w:p>
        </w:tc>
      </w:tr>
    </w:tbl>
    <w:p>
      <w:r>
        <w:br w:type="page"/>
      </w:r>
    </w:p>
    <w:p>
      <w:pPr>
        <w:pStyle w:val="Heading1"/>
      </w:pPr>
      <w:r>
        <w:rPr>
          <w:rFonts w:ascii="Calibri Light" w:cs="Calibri Light" w:eastAsia="Calibri Light" w:hAnsi="Calibri Light"/>
          <w:color w:val="1B3A5C"/>
          <w:sz w:val="28"/>
          <w:szCs w:val="28"/>
        </w:rPr>
        <w:t xml:space="preserve">8  Best Practices</w:t>
      </w:r>
    </w:p>
    <w:p>
      <w:pPr>
        <w:spacing w:after="200" w:before="40" w:line="276"/>
        <w:jc w:val="both"/>
      </w:pPr>
      <w:r>
        <w:rPr>
          <w:rFonts w:ascii="Calibri" w:cs="Calibri" w:eastAsia="Calibri" w:hAnsi="Calibri"/>
          <w:color w:val="42566B"/>
          <w:sz w:val="21"/>
          <w:szCs w:val="21"/>
        </w:rPr>
        <w:t xml:space="preserve">Thirty-six practices, grouped by concern. They are written so that each one can be turned into a review checklist item or an automated test, because a principle nobody can fail is a principle nobody follows.</w:t>
      </w:r>
    </w:p>
    <w:p>
      <w:pPr>
        <w:pStyle w:val="Heading2"/>
      </w:pPr>
      <w:r>
        <w:rPr>
          <w:rFonts w:ascii="Calibri Light" w:cs="Calibri Light" w:eastAsia="Calibri Light" w:hAnsi="Calibri Light"/>
          <w:color w:val="1B3A5C"/>
          <w:sz w:val="23"/>
          <w:szCs w:val="23"/>
        </w:rPr>
        <w:t xml:space="preserve">8.1  Interface design</w:t>
      </w:r>
    </w:p>
    <w:p>
      <w:pPr>
        <w:pStyle w:val="ListParagraph"/>
        <w:numPr>
          <w:ilvl w:val="0"/>
          <w:numId w:val="33"/>
        </w:numPr>
        <w:spacing w:after="66" w:before="24" w:line="262"/>
        <w:jc w:val="both"/>
      </w:pPr>
      <w:r>
        <w:rPr>
          <w:rFonts w:ascii="Calibri" w:cs="Calibri" w:eastAsia="Calibri" w:hAnsi="Calibri"/>
          <w:b/>
          <w:bCs/>
          <w:color w:val="22303C"/>
          <w:sz w:val="20"/>
          <w:szCs w:val="20"/>
        </w:rPr>
        <w:t xml:space="preserve">BP-1 — Expose outcomes, not operations.</w:t>
      </w:r>
      <w:r>
        <w:rPr>
          <w:rFonts w:ascii="Calibri" w:cs="Calibri" w:eastAsia="Calibri" w:hAnsi="Calibri"/>
          <w:color w:val="22303C"/>
          <w:sz w:val="20"/>
          <w:szCs w:val="20"/>
        </w:rPr>
        <w:t xml:space="preserve"> If an external path maps one-to-one onto an internal handler, the abstraction has failed. Audit the routing table for this specifically; it regresses quietly.</w:t>
      </w:r>
    </w:p>
    <w:p>
      <w:pPr>
        <w:pStyle w:val="ListParagraph"/>
        <w:numPr>
          <w:ilvl w:val="0"/>
          <w:numId w:val="33"/>
        </w:numPr>
        <w:spacing w:after="66" w:before="24" w:line="262"/>
        <w:jc w:val="both"/>
      </w:pPr>
      <w:r>
        <w:rPr>
          <w:rFonts w:ascii="Calibri" w:cs="Calibri" w:eastAsia="Calibri" w:hAnsi="Calibri"/>
          <w:b/>
          <w:bCs/>
          <w:color w:val="22303C"/>
          <w:sz w:val="20"/>
          <w:szCs w:val="20"/>
        </w:rPr>
        <w:t xml:space="preserve">BP-2 — Keep the verb count in single digits.</w:t>
      </w:r>
      <w:r>
        <w:rPr>
          <w:rFonts w:ascii="Calibri" w:cs="Calibri" w:eastAsia="Calibri" w:hAnsi="Calibri"/>
          <w:color w:val="22303C"/>
          <w:sz w:val="20"/>
          <w:szCs w:val="20"/>
        </w:rPr>
        <w:t xml:space="preserve"> Three is achievable for most domains. Every new verb is a permanent public contract and a new place for authority to leak.</w:t>
      </w:r>
    </w:p>
    <w:p>
      <w:pPr>
        <w:pStyle w:val="ListParagraph"/>
        <w:numPr>
          <w:ilvl w:val="0"/>
          <w:numId w:val="33"/>
        </w:numPr>
        <w:spacing w:after="66" w:before="24" w:line="262"/>
        <w:jc w:val="both"/>
      </w:pPr>
      <w:r>
        <w:rPr>
          <w:rFonts w:ascii="Calibri" w:cs="Calibri" w:eastAsia="Calibri" w:hAnsi="Calibri"/>
          <w:b/>
          <w:bCs/>
          <w:color w:val="22303C"/>
          <w:sz w:val="20"/>
          <w:szCs w:val="20"/>
        </w:rPr>
        <w:t xml:space="preserve">BP-3 — Make discovery search-first and byte-capped.</w:t>
      </w:r>
      <w:r>
        <w:rPr>
          <w:rFonts w:ascii="Calibri" w:cs="Calibri" w:eastAsia="Calibri" w:hAnsi="Calibri"/>
          <w:color w:val="22303C"/>
          <w:sz w:val="20"/>
          <w:szCs w:val="20"/>
        </w:rPr>
        <w:t xml:space="preserve"> Publish a manifest with a hard size ceiling and enforce it in CI. Adding internal capability must not change what any agent loads.</w:t>
      </w:r>
    </w:p>
    <w:p>
      <w:pPr>
        <w:pStyle w:val="ListParagraph"/>
        <w:numPr>
          <w:ilvl w:val="0"/>
          <w:numId w:val="33"/>
        </w:numPr>
        <w:spacing w:after="66" w:before="24" w:line="262"/>
        <w:jc w:val="both"/>
      </w:pPr>
      <w:r>
        <w:rPr>
          <w:rFonts w:ascii="Calibri" w:cs="Calibri" w:eastAsia="Calibri" w:hAnsi="Calibri"/>
          <w:b/>
          <w:bCs/>
          <w:color w:val="22303C"/>
          <w:sz w:val="20"/>
          <w:szCs w:val="20"/>
        </w:rPr>
        <w:t xml:space="preserve">BP-4 — Version everything externally visible, and never mutate in place.</w:t>
      </w:r>
      <w:r>
        <w:rPr>
          <w:rFonts w:ascii="Calibri" w:cs="Calibri" w:eastAsia="Calibri" w:hAnsi="Calibri"/>
          <w:color w:val="22303C"/>
          <w:sz w:val="20"/>
          <w:szCs w:val="20"/>
        </w:rPr>
        <w:t xml:space="preserve"> Intent types, data products, rule sets and manifests all carry versions, and a receipt names the versions that applied to it.</w:t>
      </w:r>
    </w:p>
    <w:p>
      <w:pPr>
        <w:pStyle w:val="Heading2"/>
      </w:pPr>
      <w:r>
        <w:rPr>
          <w:rFonts w:ascii="Calibri Light" w:cs="Calibri Light" w:eastAsia="Calibri Light" w:hAnsi="Calibri Light"/>
          <w:color w:val="1B3A5C"/>
          <w:sz w:val="23"/>
          <w:szCs w:val="23"/>
        </w:rPr>
        <w:t xml:space="preserve">8.2  Identity and delegation</w:t>
      </w:r>
    </w:p>
    <w:p>
      <w:pPr>
        <w:pStyle w:val="ListParagraph"/>
        <w:numPr>
          <w:ilvl w:val="0"/>
          <w:numId w:val="34"/>
        </w:numPr>
        <w:spacing w:after="66" w:before="24" w:line="262"/>
        <w:jc w:val="both"/>
      </w:pPr>
      <w:r>
        <w:rPr>
          <w:rFonts w:ascii="Calibri" w:cs="Calibri" w:eastAsia="Calibri" w:hAnsi="Calibri"/>
          <w:b/>
          <w:bCs/>
          <w:color w:val="22303C"/>
          <w:sz w:val="20"/>
          <w:szCs w:val="20"/>
        </w:rPr>
        <w:t xml:space="preserve">BP-5 — Register each agent as a distinct principal.</w:t>
      </w:r>
      <w:r>
        <w:rPr>
          <w:rFonts w:ascii="Calibri" w:cs="Calibri" w:eastAsia="Calibri" w:hAnsi="Calibri"/>
          <w:color w:val="22303C"/>
          <w:sz w:val="20"/>
          <w:szCs w:val="20"/>
        </w:rPr>
        <w:t xml:space="preserve"> One customer, many agents, independently revocable. Never let an agent be a synonym for its user.</w:t>
      </w:r>
    </w:p>
    <w:p>
      <w:pPr>
        <w:pStyle w:val="ListParagraph"/>
        <w:numPr>
          <w:ilvl w:val="0"/>
          <w:numId w:val="34"/>
        </w:numPr>
        <w:spacing w:after="66" w:before="24" w:line="262"/>
        <w:jc w:val="both"/>
      </w:pPr>
      <w:r>
        <w:rPr>
          <w:rFonts w:ascii="Calibri" w:cs="Calibri" w:eastAsia="Calibri" w:hAnsi="Calibri"/>
          <w:b/>
          <w:bCs/>
          <w:color w:val="22303C"/>
          <w:sz w:val="20"/>
          <w:szCs w:val="20"/>
        </w:rPr>
        <w:t xml:space="preserve">BP-6 — Bind tokens to keys.</w:t>
      </w:r>
      <w:r>
        <w:rPr>
          <w:rFonts w:ascii="Calibri" w:cs="Calibri" w:eastAsia="Calibri" w:hAnsi="Calibri"/>
          <w:color w:val="22303C"/>
          <w:sz w:val="20"/>
          <w:szCs w:val="20"/>
        </w:rPr>
        <w:t xml:space="preserve"> DPoP or mTLS on every token. A bearer token that works from anywhere is a credential waiting to be copied out of a configuration file.</w:t>
      </w:r>
    </w:p>
    <w:p>
      <w:pPr>
        <w:pStyle w:val="ListParagraph"/>
        <w:numPr>
          <w:ilvl w:val="0"/>
          <w:numId w:val="34"/>
        </w:numPr>
        <w:spacing w:after="66" w:before="24" w:line="262"/>
        <w:jc w:val="both"/>
      </w:pPr>
      <w:r>
        <w:rPr>
          <w:rFonts w:ascii="Calibri" w:cs="Calibri" w:eastAsia="Calibri" w:hAnsi="Calibri"/>
          <w:b/>
          <w:bCs/>
          <w:color w:val="22303C"/>
          <w:sz w:val="20"/>
          <w:szCs w:val="20"/>
        </w:rPr>
        <w:t xml:space="preserve">BP-7 — Never forward an external token inward.</w:t>
      </w:r>
      <w:r>
        <w:rPr>
          <w:rFonts w:ascii="Calibri" w:cs="Calibri" w:eastAsia="Calibri" w:hAnsi="Calibri"/>
          <w:color w:val="22303C"/>
          <w:sz w:val="20"/>
          <w:szCs w:val="20"/>
        </w:rPr>
        <w:t xml:space="preserve"> Exchange it (RFC 8693) for a short-lived, audience-restricted transaction token carrying </w:t>
      </w:r>
      <w:r>
        <w:rPr>
          <w:rFonts w:ascii="Consolas" w:cs="Consolas" w:eastAsia="Consolas" w:hAnsi="Consolas"/>
          <w:color w:val="12293F"/>
          <w:sz w:val="17"/>
          <w:szCs w:val="17"/>
        </w:rPr>
        <w:t xml:space="preserve">sub</w:t>
      </w:r>
      <w:r>
        <w:rPr>
          <w:rFonts w:ascii="Calibri" w:cs="Calibri" w:eastAsia="Calibri" w:hAnsi="Calibri"/>
          <w:color w:val="22303C"/>
          <w:sz w:val="20"/>
          <w:szCs w:val="20"/>
        </w:rPr>
        <w:t xml:space="preserve"> and </w:t>
      </w:r>
      <w:r>
        <w:rPr>
          <w:rFonts w:ascii="Consolas" w:cs="Consolas" w:eastAsia="Consolas" w:hAnsi="Consolas"/>
          <w:color w:val="12293F"/>
          <w:sz w:val="17"/>
          <w:szCs w:val="17"/>
        </w:rPr>
        <w:t xml:space="preserve">act</w:t>
      </w:r>
      <w:r>
        <w:rPr>
          <w:rFonts w:ascii="Calibri" w:cs="Calibri" w:eastAsia="Calibri" w:hAnsi="Calibri"/>
          <w:color w:val="22303C"/>
          <w:sz w:val="20"/>
          <w:szCs w:val="20"/>
        </w:rPr>
        <w:t xml:space="preserve">. Assert this with a test that fails the build if an inbound token appears in an outbound call.</w:t>
      </w:r>
    </w:p>
    <w:p>
      <w:pPr>
        <w:pStyle w:val="ListParagraph"/>
        <w:numPr>
          <w:ilvl w:val="0"/>
          <w:numId w:val="34"/>
        </w:numPr>
        <w:spacing w:after="66" w:before="24" w:line="262"/>
        <w:jc w:val="both"/>
      </w:pPr>
      <w:r>
        <w:rPr>
          <w:rFonts w:ascii="Calibri" w:cs="Calibri" w:eastAsia="Calibri" w:hAnsi="Calibri"/>
          <w:b/>
          <w:bCs/>
          <w:color w:val="22303C"/>
          <w:sz w:val="20"/>
          <w:szCs w:val="20"/>
        </w:rPr>
        <w:t xml:space="preserve">BP-8 — Treat runtime and model identifiers as telemetry, never as security claims.</w:t>
      </w:r>
      <w:r>
        <w:rPr>
          <w:rFonts w:ascii="Calibri" w:cs="Calibri" w:eastAsia="Calibri" w:hAnsi="Calibri"/>
          <w:color w:val="22303C"/>
          <w:sz w:val="20"/>
          <w:szCs w:val="20"/>
        </w:rPr>
        <w:t xml:space="preserve"> Remote agent attestation is not achievable today; designing as though it is creates a false boundary.</w:t>
      </w:r>
    </w:p>
    <w:p>
      <w:pPr>
        <w:pStyle w:val="Heading2"/>
      </w:pPr>
      <w:r>
        <w:rPr>
          <w:rFonts w:ascii="Calibri Light" w:cs="Calibri Light" w:eastAsia="Calibri Light" w:hAnsi="Calibri Light"/>
          <w:color w:val="1B3A5C"/>
          <w:sz w:val="23"/>
          <w:szCs w:val="23"/>
        </w:rPr>
        <w:t xml:space="preserve">8.3  Authorisation</w:t>
      </w:r>
    </w:p>
    <w:p>
      <w:pPr>
        <w:pStyle w:val="ListParagraph"/>
        <w:numPr>
          <w:ilvl w:val="0"/>
          <w:numId w:val="35"/>
        </w:numPr>
        <w:spacing w:after="66" w:before="24" w:line="262"/>
        <w:jc w:val="both"/>
      </w:pPr>
      <w:r>
        <w:rPr>
          <w:rFonts w:ascii="Calibri" w:cs="Calibri" w:eastAsia="Calibri" w:hAnsi="Calibri"/>
          <w:b/>
          <w:bCs/>
          <w:color w:val="22303C"/>
          <w:sz w:val="20"/>
          <w:szCs w:val="20"/>
        </w:rPr>
        <w:t xml:space="preserve">BP-9 — Use structured authorisation details, not scopes, for anything with a limit.</w:t>
      </w:r>
      <w:r>
        <w:rPr>
          <w:rFonts w:ascii="Calibri" w:cs="Calibri" w:eastAsia="Calibri" w:hAnsi="Calibri"/>
          <w:color w:val="22303C"/>
          <w:sz w:val="20"/>
          <w:szCs w:val="20"/>
        </w:rPr>
        <w:t xml:space="preserve"> Amounts, instrument classes, account sets and counts belong in RFC 9396 objects the customer approved.</w:t>
      </w:r>
    </w:p>
    <w:p>
      <w:pPr>
        <w:pStyle w:val="ListParagraph"/>
        <w:numPr>
          <w:ilvl w:val="0"/>
          <w:numId w:val="35"/>
        </w:numPr>
        <w:spacing w:after="66" w:before="24" w:line="262"/>
        <w:jc w:val="both"/>
      </w:pPr>
      <w:r>
        <w:rPr>
          <w:rFonts w:ascii="Calibri" w:cs="Calibri" w:eastAsia="Calibri" w:hAnsi="Calibri"/>
          <w:b/>
          <w:bCs/>
          <w:color w:val="22303C"/>
          <w:sz w:val="20"/>
          <w:szCs w:val="20"/>
        </w:rPr>
        <w:t xml:space="preserve">BP-10 — Carry an explicit deny list in the grant.</w:t>
      </w:r>
      <w:r>
        <w:rPr>
          <w:rFonts w:ascii="Calibri" w:cs="Calibri" w:eastAsia="Calibri" w:hAnsi="Calibri"/>
          <w:color w:val="22303C"/>
          <w:sz w:val="20"/>
          <w:szCs w:val="20"/>
        </w:rPr>
        <w:t xml:space="preserve"> New intent types must not inherit authority from old grants; </w:t>
      </w:r>
      <w:r>
        <w:rPr>
          <w:rFonts w:ascii="Consolas" w:cs="Consolas" w:eastAsia="Consolas" w:hAnsi="Consolas"/>
          <w:color w:val="12293F"/>
          <w:sz w:val="17"/>
          <w:szCs w:val="17"/>
        </w:rPr>
        <w:t xml:space="preserve">excluded_actions</w:t>
      </w:r>
      <w:r>
        <w:rPr>
          <w:rFonts w:ascii="Calibri" w:cs="Calibri" w:eastAsia="Calibri" w:hAnsi="Calibri"/>
          <w:color w:val="22303C"/>
          <w:sz w:val="20"/>
          <w:szCs w:val="20"/>
        </w:rPr>
        <w:t xml:space="preserve"> makes that failure impossible rather than unlikely.</w:t>
      </w:r>
    </w:p>
    <w:p>
      <w:pPr>
        <w:pStyle w:val="ListParagraph"/>
        <w:numPr>
          <w:ilvl w:val="0"/>
          <w:numId w:val="35"/>
        </w:numPr>
        <w:spacing w:after="66" w:before="24" w:line="262"/>
        <w:jc w:val="both"/>
      </w:pPr>
      <w:r>
        <w:rPr>
          <w:rFonts w:ascii="Calibri" w:cs="Calibri" w:eastAsia="Calibri" w:hAnsi="Calibri"/>
          <w:b/>
          <w:bCs/>
          <w:color w:val="22303C"/>
          <w:sz w:val="20"/>
          <w:szCs w:val="20"/>
        </w:rPr>
        <w:t xml:space="preserve">BP-11 — Evaluate the triple, always.</w:t>
      </w:r>
      <w:r>
        <w:rPr>
          <w:rFonts w:ascii="Calibri" w:cs="Calibri" w:eastAsia="Calibri" w:hAnsi="Calibri"/>
          <w:color w:val="22303C"/>
          <w:sz w:val="20"/>
          <w:szCs w:val="20"/>
        </w:rPr>
        <w:t xml:space="preserve"> </w:t>
      </w:r>
      <w:r>
        <w:rPr>
          <w:rFonts w:ascii="Consolas" w:cs="Consolas" w:eastAsia="Consolas" w:hAnsi="Consolas"/>
          <w:color w:val="12293F"/>
          <w:sz w:val="17"/>
          <w:szCs w:val="17"/>
        </w:rPr>
        <w:t xml:space="preserve">(human, agent, context)</w:t>
      </w:r>
      <w:r>
        <w:rPr>
          <w:rFonts w:ascii="Calibri" w:cs="Calibri" w:eastAsia="Calibri" w:hAnsi="Calibri"/>
          <w:color w:val="22303C"/>
          <w:sz w:val="20"/>
          <w:szCs w:val="20"/>
        </w:rPr>
        <w:t xml:space="preserve">. A decision that omits the human is a confused deputy; one that omits the agent cannot be revoked at agent granularity.</w:t>
      </w:r>
    </w:p>
    <w:p>
      <w:pPr>
        <w:pStyle w:val="ListParagraph"/>
        <w:numPr>
          <w:ilvl w:val="0"/>
          <w:numId w:val="35"/>
        </w:numPr>
        <w:spacing w:after="66" w:before="24" w:line="262"/>
        <w:jc w:val="both"/>
      </w:pPr>
      <w:r>
        <w:rPr>
          <w:rFonts w:ascii="Calibri" w:cs="Calibri" w:eastAsia="Calibri" w:hAnsi="Calibri"/>
          <w:b/>
          <w:bCs/>
          <w:color w:val="22303C"/>
          <w:sz w:val="20"/>
          <w:szCs w:val="20"/>
        </w:rPr>
        <w:t xml:space="preserve">BP-12 — Keep token lifetimes short enough that revocation does not depend on client cooperation.</w:t>
      </w:r>
      <w:r>
        <w:rPr>
          <w:rFonts w:ascii="Calibri" w:cs="Calibri" w:eastAsia="Calibri" w:hAnsi="Calibri"/>
          <w:color w:val="22303C"/>
          <w:sz w:val="20"/>
          <w:szCs w:val="20"/>
        </w:rPr>
        <w:t xml:space="preserve"> Five minutes for access tokens; sixty seconds for internal transaction tokens.</w:t>
      </w:r>
    </w:p>
    <w:p>
      <w:pPr>
        <w:pStyle w:val="Heading2"/>
      </w:pPr>
      <w:r>
        <w:rPr>
          <w:rFonts w:ascii="Calibri Light" w:cs="Calibri Light" w:eastAsia="Calibri Light" w:hAnsi="Calibri Light"/>
          <w:color w:val="1B3A5C"/>
          <w:sz w:val="23"/>
          <w:szCs w:val="23"/>
        </w:rPr>
        <w:t xml:space="preserve">8.4  Data exposure</w:t>
      </w:r>
    </w:p>
    <w:p>
      <w:pPr>
        <w:pStyle w:val="ListParagraph"/>
        <w:numPr>
          <w:ilvl w:val="0"/>
          <w:numId w:val="36"/>
        </w:numPr>
        <w:spacing w:after="66" w:before="24" w:line="262"/>
        <w:jc w:val="both"/>
      </w:pPr>
      <w:r>
        <w:rPr>
          <w:rFonts w:ascii="Calibri" w:cs="Calibri" w:eastAsia="Calibri" w:hAnsi="Calibri"/>
          <w:b/>
          <w:bCs/>
          <w:color w:val="22303C"/>
          <w:sz w:val="20"/>
          <w:szCs w:val="20"/>
        </w:rPr>
        <w:t xml:space="preserve">BP-13 — Publish projections, never entities.</w:t>
      </w:r>
      <w:r>
        <w:rPr>
          <w:rFonts w:ascii="Calibri" w:cs="Calibri" w:eastAsia="Calibri" w:hAnsi="Calibri"/>
          <w:color w:val="22303C"/>
          <w:sz w:val="20"/>
          <w:szCs w:val="20"/>
        </w:rPr>
        <w:t xml:space="preserve"> Closed field enumerations with a named owner, a grain and an explicit exclusion list.</w:t>
      </w:r>
    </w:p>
    <w:p>
      <w:pPr>
        <w:pStyle w:val="ListParagraph"/>
        <w:numPr>
          <w:ilvl w:val="0"/>
          <w:numId w:val="36"/>
        </w:numPr>
        <w:spacing w:after="66" w:before="24" w:line="262"/>
        <w:jc w:val="both"/>
      </w:pPr>
      <w:r>
        <w:rPr>
          <w:rFonts w:ascii="Calibri" w:cs="Calibri" w:eastAsia="Calibri" w:hAnsi="Calibri"/>
          <w:b/>
          <w:bCs/>
          <w:color w:val="22303C"/>
          <w:sz w:val="20"/>
          <w:szCs w:val="20"/>
        </w:rPr>
        <w:t xml:space="preserve">BP-14 — Accept arguments, not expressions.</w:t>
      </w:r>
      <w:r>
        <w:rPr>
          <w:rFonts w:ascii="Calibri" w:cs="Calibri" w:eastAsia="Calibri" w:hAnsi="Calibri"/>
          <w:color w:val="22303C"/>
          <w:sz w:val="20"/>
          <w:szCs w:val="20"/>
        </w:rPr>
        <w:t xml:space="preserve"> No query language, no filter grammar, no joins. Every expressive query facility is also a cost, enumeration and exfiltration oracle.</w:t>
      </w:r>
    </w:p>
    <w:p>
      <w:pPr>
        <w:pStyle w:val="ListParagraph"/>
        <w:numPr>
          <w:ilvl w:val="0"/>
          <w:numId w:val="36"/>
        </w:numPr>
        <w:spacing w:after="66" w:before="24" w:line="262"/>
        <w:jc w:val="both"/>
      </w:pPr>
      <w:r>
        <w:rPr>
          <w:rFonts w:ascii="Calibri" w:cs="Calibri" w:eastAsia="Calibri" w:hAnsi="Calibri"/>
          <w:b/>
          <w:bCs/>
          <w:color w:val="22303C"/>
          <w:sz w:val="20"/>
          <w:szCs w:val="20"/>
        </w:rPr>
        <w:t xml:space="preserve">BP-15 — Require a declared purpose and enforce it.</w:t>
      </w:r>
      <w:r>
        <w:rPr>
          <w:rFonts w:ascii="Calibri" w:cs="Calibri" w:eastAsia="Calibri" w:hAnsi="Calibri"/>
          <w:color w:val="22303C"/>
          <w:sz w:val="20"/>
          <w:szCs w:val="20"/>
        </w:rPr>
        <w:t xml:space="preserve"> Purpose gates the field set, is recorded in the decision log, and scopes the egress budget so that re-reading under a new justification does not reset it.</w:t>
      </w:r>
    </w:p>
    <w:p>
      <w:pPr>
        <w:pStyle w:val="ListParagraph"/>
        <w:numPr>
          <w:ilvl w:val="0"/>
          <w:numId w:val="36"/>
        </w:numPr>
        <w:spacing w:after="66" w:before="24" w:line="262"/>
        <w:jc w:val="both"/>
      </w:pPr>
      <w:r>
        <w:rPr>
          <w:rFonts w:ascii="Calibri" w:cs="Calibri" w:eastAsia="Calibri" w:hAnsi="Calibri"/>
          <w:b/>
          <w:bCs/>
          <w:color w:val="22303C"/>
          <w:sz w:val="20"/>
          <w:szCs w:val="20"/>
        </w:rPr>
        <w:t xml:space="preserve">BP-16 — Budget egress, not just rate.</w:t>
      </w:r>
      <w:r>
        <w:rPr>
          <w:rFonts w:ascii="Calibri" w:cs="Calibri" w:eastAsia="Calibri" w:hAnsi="Calibri"/>
          <w:color w:val="22303C"/>
          <w:sz w:val="20"/>
          <w:szCs w:val="20"/>
        </w:rPr>
        <w:t xml:space="preserve"> Rows and bytes per agent, per purpose, per day. Rate limits stop bursts; budgets stop patient harvesting.</w:t>
      </w:r>
    </w:p>
    <w:p>
      <w:pPr>
        <w:pStyle w:val="Heading2"/>
      </w:pPr>
      <w:r>
        <w:rPr>
          <w:rFonts w:ascii="Calibri Light" w:cs="Calibri Light" w:eastAsia="Calibri Light" w:hAnsi="Calibri Light"/>
          <w:color w:val="1B3A5C"/>
          <w:sz w:val="23"/>
          <w:szCs w:val="23"/>
        </w:rPr>
        <w:t xml:space="preserve">8.5  Human oversight</w:t>
      </w:r>
    </w:p>
    <w:p>
      <w:pPr>
        <w:pStyle w:val="ListParagraph"/>
        <w:numPr>
          <w:ilvl w:val="0"/>
          <w:numId w:val="37"/>
        </w:numPr>
        <w:spacing w:after="66" w:before="24" w:line="262"/>
        <w:jc w:val="both"/>
      </w:pPr>
      <w:r>
        <w:rPr>
          <w:rFonts w:ascii="Calibri" w:cs="Calibri" w:eastAsia="Calibri" w:hAnsi="Calibri"/>
          <w:b/>
          <w:bCs/>
          <w:color w:val="22303C"/>
          <w:sz w:val="20"/>
          <w:szCs w:val="20"/>
        </w:rPr>
        <w:t xml:space="preserve">BP-17 — Sign a hash, not a rendering.</w:t>
      </w:r>
      <w:r>
        <w:rPr>
          <w:rFonts w:ascii="Calibri" w:cs="Calibri" w:eastAsia="Calibri" w:hAnsi="Calibri"/>
          <w:color w:val="22303C"/>
          <w:sz w:val="20"/>
          <w:szCs w:val="20"/>
        </w:rPr>
        <w:t xml:space="preserve"> The approval artefact must be cryptographically bound to the canonical, server-computed effect. This is the only durable fix for the approval-fidelity gap.</w:t>
      </w:r>
    </w:p>
    <w:p>
      <w:pPr>
        <w:pStyle w:val="ListParagraph"/>
        <w:numPr>
          <w:ilvl w:val="0"/>
          <w:numId w:val="37"/>
        </w:numPr>
        <w:spacing w:after="66" w:before="24" w:line="262"/>
        <w:jc w:val="both"/>
      </w:pPr>
      <w:r>
        <w:rPr>
          <w:rFonts w:ascii="Calibri" w:cs="Calibri" w:eastAsia="Calibri" w:hAnsi="Calibri"/>
          <w:b/>
          <w:bCs/>
          <w:color w:val="22303C"/>
          <w:sz w:val="20"/>
          <w:szCs w:val="20"/>
        </w:rPr>
        <w:t xml:space="preserve">BP-18 — Approve on a channel the agent cannot reach.</w:t>
      </w:r>
      <w:r>
        <w:rPr>
          <w:rFonts w:ascii="Calibri" w:cs="Calibri" w:eastAsia="Calibri" w:hAnsi="Calibri"/>
          <w:color w:val="22303C"/>
          <w:sz w:val="20"/>
          <w:szCs w:val="20"/>
        </w:rPr>
        <w:t xml:space="preserve"> Backchannel authentication to the customer’s own device; the agent never handles the challenge or the factor.</w:t>
      </w:r>
    </w:p>
    <w:p>
      <w:pPr>
        <w:pStyle w:val="ListParagraph"/>
        <w:numPr>
          <w:ilvl w:val="0"/>
          <w:numId w:val="37"/>
        </w:numPr>
        <w:spacing w:after="66" w:before="24" w:line="262"/>
        <w:jc w:val="both"/>
      </w:pPr>
      <w:r>
        <w:rPr>
          <w:rFonts w:ascii="Calibri" w:cs="Calibri" w:eastAsia="Calibri" w:hAnsi="Calibri"/>
          <w:b/>
          <w:bCs/>
          <w:color w:val="22303C"/>
          <w:sz w:val="20"/>
          <w:szCs w:val="20"/>
        </w:rPr>
        <w:t xml:space="preserve">BP-19 — Show numbers, not descriptions.</w:t>
      </w:r>
      <w:r>
        <w:rPr>
          <w:rFonts w:ascii="Calibri" w:cs="Calibri" w:eastAsia="Calibri" w:hAnsi="Calibri"/>
          <w:color w:val="22303C"/>
          <w:sz w:val="20"/>
          <w:szCs w:val="20"/>
        </w:rPr>
        <w:t xml:space="preserve"> “12 shares, limit $205.00, worst case $2,460.03” beats “buy about $2,500 of ROAR” in every dispute that will ever be filed.</w:t>
      </w:r>
    </w:p>
    <w:p>
      <w:pPr>
        <w:pStyle w:val="ListParagraph"/>
        <w:numPr>
          <w:ilvl w:val="0"/>
          <w:numId w:val="37"/>
        </w:numPr>
        <w:spacing w:after="66" w:before="24" w:line="262"/>
        <w:jc w:val="both"/>
      </w:pPr>
      <w:r>
        <w:rPr>
          <w:rFonts w:ascii="Calibri" w:cs="Calibri" w:eastAsia="Calibri" w:hAnsi="Calibri"/>
          <w:b/>
          <w:bCs/>
          <w:color w:val="22303C"/>
          <w:sz w:val="20"/>
          <w:szCs w:val="20"/>
        </w:rPr>
        <w:t xml:space="preserve">BP-20 — Make unattended execution one explicit, customer-set, audited number.</w:t>
      </w:r>
      <w:r>
        <w:rPr>
          <w:rFonts w:ascii="Calibri" w:cs="Calibri" w:eastAsia="Calibri" w:hAnsi="Calibri"/>
          <w:color w:val="22303C"/>
          <w:sz w:val="20"/>
          <w:szCs w:val="20"/>
        </w:rPr>
        <w:t xml:space="preserve"> A single </w:t>
      </w:r>
      <w:r>
        <w:rPr>
          <w:rFonts w:ascii="Consolas" w:cs="Consolas" w:eastAsia="Consolas" w:hAnsi="Consolas"/>
          <w:color w:val="12293F"/>
          <w:sz w:val="17"/>
          <w:szCs w:val="17"/>
        </w:rPr>
        <w:t xml:space="preserve">auto_below</w:t>
      </w:r>
      <w:r>
        <w:rPr>
          <w:rFonts w:ascii="Calibri" w:cs="Calibri" w:eastAsia="Calibri" w:hAnsi="Calibri"/>
          <w:color w:val="22303C"/>
          <w:sz w:val="20"/>
          <w:szCs w:val="20"/>
        </w:rPr>
        <w:t xml:space="preserve"> threshold that risk can report on beats a behavioural mode buried in an agent’s configuration.</w:t>
      </w:r>
    </w:p>
    <w:p>
      <w:pPr>
        <w:pStyle w:val="Heading2"/>
      </w:pPr>
      <w:r>
        <w:rPr>
          <w:rFonts w:ascii="Calibri Light" w:cs="Calibri Light" w:eastAsia="Calibri Light" w:hAnsi="Calibri Light"/>
          <w:color w:val="1B3A5C"/>
          <w:sz w:val="23"/>
          <w:szCs w:val="23"/>
        </w:rPr>
        <w:t xml:space="preserve">8.6  Execution safety</w:t>
      </w:r>
    </w:p>
    <w:p>
      <w:pPr>
        <w:pStyle w:val="ListParagraph"/>
        <w:numPr>
          <w:ilvl w:val="0"/>
          <w:numId w:val="38"/>
        </w:numPr>
        <w:spacing w:after="66" w:before="24" w:line="262"/>
        <w:jc w:val="both"/>
      </w:pPr>
      <w:r>
        <w:rPr>
          <w:rFonts w:ascii="Calibri" w:cs="Calibri" w:eastAsia="Calibri" w:hAnsi="Calibri"/>
          <w:b/>
          <w:bCs/>
          <w:color w:val="22303C"/>
          <w:sz w:val="20"/>
          <w:szCs w:val="20"/>
        </w:rPr>
        <w:t xml:space="preserve">BP-21 — Make the intent hash the idempotency key.</w:t>
      </w:r>
      <w:r>
        <w:rPr>
          <w:rFonts w:ascii="Calibri" w:cs="Calibri" w:eastAsia="Calibri" w:hAnsi="Calibri"/>
          <w:color w:val="22303C"/>
          <w:sz w:val="20"/>
          <w:szCs w:val="20"/>
        </w:rPr>
        <w:t xml:space="preserve"> One approved intent can produce exactly one effect, regardless of retries, timeouts or duplicate delivery.</w:t>
      </w:r>
    </w:p>
    <w:p>
      <w:pPr>
        <w:pStyle w:val="ListParagraph"/>
        <w:numPr>
          <w:ilvl w:val="0"/>
          <w:numId w:val="38"/>
        </w:numPr>
        <w:spacing w:after="66" w:before="24" w:line="262"/>
        <w:jc w:val="both"/>
      </w:pPr>
      <w:r>
        <w:rPr>
          <w:rFonts w:ascii="Calibri" w:cs="Calibri" w:eastAsia="Calibri" w:hAnsi="Calibri"/>
          <w:b/>
          <w:bCs/>
          <w:color w:val="22303C"/>
          <w:sz w:val="20"/>
          <w:szCs w:val="20"/>
        </w:rPr>
        <w:t xml:space="preserve">BP-22 — Verify authority twice.</w:t>
      </w:r>
      <w:r>
        <w:rPr>
          <w:rFonts w:ascii="Calibri" w:cs="Calibri" w:eastAsia="Calibri" w:hAnsi="Calibri"/>
          <w:color w:val="22303C"/>
          <w:sz w:val="20"/>
          <w:szCs w:val="20"/>
        </w:rPr>
        <w:t xml:space="preserve"> At issuance and again at the execution boundary, including the revocation list. Cryptographic mandates alone cannot express “the customer changed their mind.”</w:t>
      </w:r>
    </w:p>
    <w:p>
      <w:pPr>
        <w:pStyle w:val="ListParagraph"/>
        <w:numPr>
          <w:ilvl w:val="0"/>
          <w:numId w:val="38"/>
        </w:numPr>
        <w:spacing w:after="66" w:before="24" w:line="262"/>
        <w:jc w:val="both"/>
      </w:pPr>
      <w:r>
        <w:rPr>
          <w:rFonts w:ascii="Calibri" w:cs="Calibri" w:eastAsia="Calibri" w:hAnsi="Calibri"/>
          <w:b/>
          <w:bCs/>
          <w:color w:val="22303C"/>
          <w:sz w:val="20"/>
          <w:szCs w:val="20"/>
        </w:rPr>
        <w:t xml:space="preserve">BP-23 — Keep an independent internal gate.</w:t>
      </w:r>
      <w:r>
        <w:rPr>
          <w:rFonts w:ascii="Calibri" w:cs="Calibri" w:eastAsia="Calibri" w:hAnsi="Calibri"/>
          <w:color w:val="22303C"/>
          <w:sz w:val="20"/>
          <w:szCs w:val="20"/>
        </w:rPr>
        <w:t xml:space="preserve"> Zone 3 re-applies its own pre-trade controls. Defence in depth means the internal system does not trust the exchange’s decision.</w:t>
      </w:r>
    </w:p>
    <w:p>
      <w:pPr>
        <w:pStyle w:val="ListParagraph"/>
        <w:numPr>
          <w:ilvl w:val="0"/>
          <w:numId w:val="38"/>
        </w:numPr>
        <w:spacing w:after="66" w:before="24" w:line="262"/>
        <w:jc w:val="both"/>
      </w:pPr>
      <w:r>
        <w:rPr>
          <w:rFonts w:ascii="Calibri" w:cs="Calibri" w:eastAsia="Calibri" w:hAnsi="Calibri"/>
          <w:b/>
          <w:bCs/>
          <w:color w:val="22303C"/>
          <w:sz w:val="20"/>
          <w:szCs w:val="20"/>
        </w:rPr>
        <w:t xml:space="preserve">BP-24 — Design the kill switch before launch, and rehearse it.</w:t>
      </w:r>
      <w:r>
        <w:rPr>
          <w:rFonts w:ascii="Calibri" w:cs="Calibri" w:eastAsia="Calibri" w:hAnsi="Calibri"/>
          <w:color w:val="22303C"/>
          <w:sz w:val="20"/>
          <w:szCs w:val="20"/>
        </w:rPr>
        <w:t xml:space="preserve"> Define precisely what happens to in-flight intents, open orders and standing mandates, then run the drill quarterly.</w:t>
      </w:r>
    </w:p>
    <w:p>
      <w:pPr>
        <w:pStyle w:val="Heading2"/>
      </w:pPr>
      <w:r>
        <w:rPr>
          <w:rFonts w:ascii="Calibri Light" w:cs="Calibri Light" w:eastAsia="Calibri Light" w:hAnsi="Calibri Light"/>
          <w:color w:val="1B3A5C"/>
          <w:sz w:val="23"/>
          <w:szCs w:val="23"/>
        </w:rPr>
        <w:t xml:space="preserve">8.7  Evidence and supervision</w:t>
      </w:r>
    </w:p>
    <w:p>
      <w:pPr>
        <w:pStyle w:val="ListParagraph"/>
        <w:numPr>
          <w:ilvl w:val="0"/>
          <w:numId w:val="39"/>
        </w:numPr>
        <w:spacing w:after="66" w:before="24" w:line="262"/>
        <w:jc w:val="both"/>
      </w:pPr>
      <w:r>
        <w:rPr>
          <w:rFonts w:ascii="Calibri" w:cs="Calibri" w:eastAsia="Calibri" w:hAnsi="Calibri"/>
          <w:b/>
          <w:bCs/>
          <w:color w:val="22303C"/>
          <w:sz w:val="20"/>
          <w:szCs w:val="20"/>
        </w:rPr>
        <w:t xml:space="preserve">BP-25 — Emit a signed receipt for every action, including rejections.</w:t>
      </w:r>
      <w:r>
        <w:rPr>
          <w:rFonts w:ascii="Calibri" w:cs="Calibri" w:eastAsia="Calibri" w:hAnsi="Calibri"/>
          <w:color w:val="22303C"/>
          <w:sz w:val="20"/>
          <w:szCs w:val="20"/>
        </w:rPr>
        <w:t xml:space="preserve"> Rejections are evidence of a working control and are the first thing an examiner will sample.</w:t>
      </w:r>
    </w:p>
    <w:p>
      <w:pPr>
        <w:pStyle w:val="ListParagraph"/>
        <w:numPr>
          <w:ilvl w:val="0"/>
          <w:numId w:val="39"/>
        </w:numPr>
        <w:spacing w:after="66" w:before="24" w:line="262"/>
        <w:jc w:val="both"/>
      </w:pPr>
      <w:r>
        <w:rPr>
          <w:rFonts w:ascii="Calibri" w:cs="Calibri" w:eastAsia="Calibri" w:hAnsi="Calibri"/>
          <w:b/>
          <w:bCs/>
          <w:color w:val="22303C"/>
          <w:sz w:val="20"/>
          <w:szCs w:val="20"/>
        </w:rPr>
        <w:t xml:space="preserve">BP-26 — Chain receipts and store them WORM.</w:t>
      </w:r>
      <w:r>
        <w:rPr>
          <w:rFonts w:ascii="Calibri" w:cs="Calibri" w:eastAsia="Calibri" w:hAnsi="Calibri"/>
          <w:color w:val="22303C"/>
          <w:sz w:val="20"/>
          <w:szCs w:val="20"/>
        </w:rPr>
        <w:t xml:space="preserve"> Hash chaining plus immutable retention makes silent alteration detectable rather than merely prohibited.</w:t>
      </w:r>
    </w:p>
    <w:p>
      <w:pPr>
        <w:pStyle w:val="ListParagraph"/>
        <w:numPr>
          <w:ilvl w:val="0"/>
          <w:numId w:val="39"/>
        </w:numPr>
        <w:spacing w:after="66" w:before="24" w:line="262"/>
        <w:jc w:val="both"/>
      </w:pPr>
      <w:r>
        <w:rPr>
          <w:rFonts w:ascii="Calibri" w:cs="Calibri" w:eastAsia="Calibri" w:hAnsi="Calibri"/>
          <w:b/>
          <w:bCs/>
          <w:color w:val="22303C"/>
          <w:sz w:val="20"/>
          <w:szCs w:val="20"/>
        </w:rPr>
        <w:t xml:space="preserve">BP-27 — Record the rule-set version with the decision.</w:t>
      </w:r>
      <w:r>
        <w:rPr>
          <w:rFonts w:ascii="Calibri" w:cs="Calibri" w:eastAsia="Calibri" w:hAnsi="Calibri"/>
          <w:color w:val="22303C"/>
          <w:sz w:val="20"/>
          <w:szCs w:val="20"/>
        </w:rPr>
        <w:t xml:space="preserve"> Without it, a decision cannot be replayed, and a supervisory review becomes an argument about what the code used to do.</w:t>
      </w:r>
    </w:p>
    <w:p>
      <w:pPr>
        <w:pStyle w:val="ListParagraph"/>
        <w:numPr>
          <w:ilvl w:val="0"/>
          <w:numId w:val="39"/>
        </w:numPr>
        <w:spacing w:after="66" w:before="24" w:line="262"/>
        <w:jc w:val="both"/>
      </w:pPr>
      <w:r>
        <w:rPr>
          <w:rFonts w:ascii="Calibri" w:cs="Calibri" w:eastAsia="Calibri" w:hAnsi="Calibri"/>
          <w:b/>
          <w:bCs/>
          <w:color w:val="22303C"/>
          <w:sz w:val="20"/>
          <w:szCs w:val="20"/>
        </w:rPr>
        <w:t xml:space="preserve">BP-28 — Monitor agents as identities.</w:t>
      </w:r>
      <w:r>
        <w:rPr>
          <w:rFonts w:ascii="Calibri" w:cs="Calibri" w:eastAsia="Calibri" w:hAnsi="Calibri"/>
          <w:color w:val="22303C"/>
          <w:sz w:val="20"/>
          <w:szCs w:val="20"/>
        </w:rPr>
        <w:t xml:space="preserve"> Baseline submission rate, rejection rate, decline rate, read-to-write ratio and symbol concentration; alert on deviation, including correlated deviation across many customers running the same popular agent.</w:t>
      </w:r>
    </w:p>
    <w:p>
      <w:pPr>
        <w:pStyle w:val="Heading2"/>
      </w:pPr>
      <w:r>
        <w:rPr>
          <w:rFonts w:ascii="Calibri Light" w:cs="Calibri Light" w:eastAsia="Calibri Light" w:hAnsi="Calibri Light"/>
          <w:color w:val="1B3A5C"/>
          <w:sz w:val="23"/>
          <w:szCs w:val="23"/>
        </w:rPr>
        <w:t xml:space="preserve">8.8  Cost and capacity</w:t>
      </w:r>
    </w:p>
    <w:p>
      <w:pPr>
        <w:pStyle w:val="ListParagraph"/>
        <w:numPr>
          <w:ilvl w:val="0"/>
          <w:numId w:val="40"/>
        </w:numPr>
        <w:spacing w:after="66" w:before="24" w:line="262"/>
        <w:jc w:val="both"/>
      </w:pPr>
      <w:r>
        <w:rPr>
          <w:rFonts w:ascii="Calibri" w:cs="Calibri" w:eastAsia="Calibri" w:hAnsi="Calibri"/>
          <w:b/>
          <w:bCs/>
          <w:color w:val="22303C"/>
          <w:sz w:val="20"/>
          <w:szCs w:val="20"/>
        </w:rPr>
        <w:t xml:space="preserve">BP-29 — Attribute every request or reject it.</w:t>
      </w:r>
      <w:r>
        <w:rPr>
          <w:rFonts w:ascii="Calibri" w:cs="Calibri" w:eastAsia="Calibri" w:hAnsi="Calibri"/>
          <w:color w:val="22303C"/>
          <w:sz w:val="20"/>
          <w:szCs w:val="20"/>
        </w:rPr>
        <w:t xml:space="preserve"> Unattributable traffic cannot be priced, throttled or investigated.</w:t>
      </w:r>
    </w:p>
    <w:p>
      <w:pPr>
        <w:pStyle w:val="ListParagraph"/>
        <w:numPr>
          <w:ilvl w:val="0"/>
          <w:numId w:val="40"/>
        </w:numPr>
        <w:spacing w:after="66" w:before="24" w:line="262"/>
        <w:jc w:val="both"/>
      </w:pPr>
      <w:r>
        <w:rPr>
          <w:rFonts w:ascii="Calibri" w:cs="Calibri" w:eastAsia="Calibri" w:hAnsi="Calibri"/>
          <w:b/>
          <w:bCs/>
          <w:color w:val="22303C"/>
          <w:sz w:val="20"/>
          <w:szCs w:val="20"/>
        </w:rPr>
        <w:t xml:space="preserve">BP-30 — Do the composition server-side.</w:t>
      </w:r>
      <w:r>
        <w:rPr>
          <w:rFonts w:ascii="Calibri" w:cs="Calibri" w:eastAsia="Calibri" w:hAnsi="Calibri"/>
          <w:color w:val="22303C"/>
          <w:sz w:val="20"/>
          <w:szCs w:val="20"/>
        </w:rPr>
        <w:t xml:space="preserve"> Every fan-out the provider designs is a fan-out the model does not improvise; this is the largest single compute saving available.</w:t>
      </w:r>
    </w:p>
    <w:p>
      <w:pPr>
        <w:pStyle w:val="ListParagraph"/>
        <w:numPr>
          <w:ilvl w:val="0"/>
          <w:numId w:val="40"/>
        </w:numPr>
        <w:spacing w:after="66" w:before="24" w:line="262"/>
        <w:jc w:val="both"/>
      </w:pPr>
      <w:r>
        <w:rPr>
          <w:rFonts w:ascii="Calibri" w:cs="Calibri" w:eastAsia="Calibri" w:hAnsi="Calibri"/>
          <w:b/>
          <w:bCs/>
          <w:color w:val="22303C"/>
          <w:sz w:val="20"/>
          <w:szCs w:val="20"/>
        </w:rPr>
        <w:t xml:space="preserve">BP-31 — Price and quota by outcome.</w:t>
      </w:r>
      <w:r>
        <w:rPr>
          <w:rFonts w:ascii="Calibri" w:cs="Calibri" w:eastAsia="Calibri" w:hAnsi="Calibri"/>
          <w:color w:val="22303C"/>
          <w:sz w:val="20"/>
          <w:szCs w:val="20"/>
        </w:rPr>
        <w:t xml:space="preserve"> Cost per approved intent is a number the business, the risk committee and the customer can all reason about.</w:t>
      </w:r>
    </w:p>
    <w:p>
      <w:pPr>
        <w:pStyle w:val="ListParagraph"/>
        <w:numPr>
          <w:ilvl w:val="0"/>
          <w:numId w:val="40"/>
        </w:numPr>
        <w:spacing w:after="66" w:before="24" w:line="262"/>
        <w:jc w:val="both"/>
      </w:pPr>
      <w:r>
        <w:rPr>
          <w:rFonts w:ascii="Calibri" w:cs="Calibri" w:eastAsia="Calibri" w:hAnsi="Calibri"/>
          <w:b/>
          <w:bCs/>
          <w:color w:val="22303C"/>
          <w:sz w:val="20"/>
          <w:szCs w:val="20"/>
        </w:rPr>
        <w:t xml:space="preserve">BP-32 — Stay stateless at the edge.</w:t>
      </w:r>
      <w:r>
        <w:rPr>
          <w:rFonts w:ascii="Calibri" w:cs="Calibri" w:eastAsia="Calibri" w:hAnsi="Calibri"/>
          <w:color w:val="22303C"/>
          <w:sz w:val="20"/>
          <w:szCs w:val="20"/>
        </w:rPr>
        <w:t xml:space="preserve"> Capacity should track requests in flight, not connected agents idling through a working day.</w:t>
      </w:r>
    </w:p>
    <w:p>
      <w:pPr>
        <w:pStyle w:val="Heading2"/>
      </w:pPr>
      <w:r>
        <w:rPr>
          <w:rFonts w:ascii="Calibri Light" w:cs="Calibri Light" w:eastAsia="Calibri Light" w:hAnsi="Calibri Light"/>
          <w:color w:val="1B3A5C"/>
          <w:sz w:val="23"/>
          <w:szCs w:val="23"/>
        </w:rPr>
        <w:t xml:space="preserve">8.9  Operations and governance</w:t>
      </w:r>
    </w:p>
    <w:p>
      <w:pPr>
        <w:pStyle w:val="ListParagraph"/>
        <w:numPr>
          <w:ilvl w:val="0"/>
          <w:numId w:val="41"/>
        </w:numPr>
        <w:spacing w:after="66" w:before="24" w:line="262"/>
        <w:jc w:val="both"/>
      </w:pPr>
      <w:r>
        <w:rPr>
          <w:rFonts w:ascii="Calibri" w:cs="Calibri" w:eastAsia="Calibri" w:hAnsi="Calibri"/>
          <w:b/>
          <w:bCs/>
          <w:color w:val="22303C"/>
          <w:sz w:val="20"/>
          <w:szCs w:val="20"/>
        </w:rPr>
        <w:t xml:space="preserve">BP-33 — Run a public sandbox with synthetic accounts, and require developers to pass it.</w:t>
      </w:r>
      <w:r>
        <w:rPr>
          <w:rFonts w:ascii="Calibri" w:cs="Calibri" w:eastAsia="Calibri" w:hAnsi="Calibri"/>
          <w:color w:val="22303C"/>
          <w:sz w:val="20"/>
          <w:szCs w:val="20"/>
        </w:rPr>
        <w:t xml:space="preserve"> Most integration failures are grammar failures; a sandbox converts support tickets into self-service.</w:t>
      </w:r>
    </w:p>
    <w:p>
      <w:pPr>
        <w:pStyle w:val="ListParagraph"/>
        <w:numPr>
          <w:ilvl w:val="0"/>
          <w:numId w:val="41"/>
        </w:numPr>
        <w:spacing w:after="66" w:before="24" w:line="262"/>
        <w:jc w:val="both"/>
      </w:pPr>
      <w:r>
        <w:rPr>
          <w:rFonts w:ascii="Calibri" w:cs="Calibri" w:eastAsia="Calibri" w:hAnsi="Calibri"/>
          <w:b/>
          <w:bCs/>
          <w:color w:val="22303C"/>
          <w:sz w:val="20"/>
          <w:szCs w:val="20"/>
        </w:rPr>
        <w:t xml:space="preserve">BP-34 — Publish machine-readable documentation an agent can consume at runtime.</w:t>
      </w:r>
      <w:r>
        <w:rPr>
          <w:rFonts w:ascii="Calibri" w:cs="Calibri" w:eastAsia="Calibri" w:hAnsi="Calibri"/>
          <w:color w:val="22303C"/>
          <w:sz w:val="20"/>
          <w:szCs w:val="20"/>
        </w:rPr>
        <w:t xml:space="preserve"> OpenAPI 3.1, JSON Schema, worked examples and violation-code semantics. Agents read documentation; write it for them as well as for humans.</w:t>
      </w:r>
    </w:p>
    <w:p>
      <w:pPr>
        <w:pStyle w:val="ListParagraph"/>
        <w:numPr>
          <w:ilvl w:val="0"/>
          <w:numId w:val="41"/>
        </w:numPr>
        <w:spacing w:after="66" w:before="24" w:line="262"/>
        <w:jc w:val="both"/>
      </w:pPr>
      <w:r>
        <w:rPr>
          <w:rFonts w:ascii="Calibri" w:cs="Calibri" w:eastAsia="Calibri" w:hAnsi="Calibri"/>
          <w:b/>
          <w:bCs/>
          <w:color w:val="22303C"/>
          <w:sz w:val="20"/>
          <w:szCs w:val="20"/>
        </w:rPr>
        <w:t xml:space="preserve">BP-35 — Govern intent types like products.</w:t>
      </w:r>
      <w:r>
        <w:rPr>
          <w:rFonts w:ascii="Calibri" w:cs="Calibri" w:eastAsia="Calibri" w:hAnsi="Calibri"/>
          <w:color w:val="22303C"/>
          <w:sz w:val="20"/>
          <w:szCs w:val="20"/>
        </w:rPr>
        <w:t xml:space="preserve"> A named owner, a review board, a deprecation policy and a usage floor below which a type is retired. Intent sprawl is the same failure as tool sprawl, one level up.</w:t>
      </w:r>
    </w:p>
    <w:p>
      <w:pPr>
        <w:pStyle w:val="ListParagraph"/>
        <w:numPr>
          <w:ilvl w:val="0"/>
          <w:numId w:val="41"/>
        </w:numPr>
        <w:spacing w:after="66" w:before="24" w:line="262"/>
        <w:jc w:val="both"/>
      </w:pPr>
      <w:r>
        <w:rPr>
          <w:rFonts w:ascii="Calibri" w:cs="Calibri" w:eastAsia="Calibri" w:hAnsi="Calibri"/>
          <w:b/>
          <w:bCs/>
          <w:color w:val="22303C"/>
          <w:sz w:val="20"/>
          <w:szCs w:val="20"/>
        </w:rPr>
        <w:t xml:space="preserve">BP-36 — Red-team the write path with an injected agent, on a schedule.</w:t>
      </w:r>
      <w:r>
        <w:rPr>
          <w:rFonts w:ascii="Calibri" w:cs="Calibri" w:eastAsia="Calibri" w:hAnsi="Calibri"/>
          <w:color w:val="22303C"/>
          <w:sz w:val="20"/>
          <w:szCs w:val="20"/>
        </w:rPr>
        <w:t xml:space="preserve"> Give a pentest team an agent under adversarial control and a real sandbox account. The measure of success is that every hostile intent is rejected, capped or unapproved — and that the attempts are all visible in the ledger.</w:t>
      </w:r>
    </w:p>
    <w:p>
      <w:r>
        <w:br w:type="page"/>
      </w:r>
    </w:p>
    <w:p>
      <w:pPr>
        <w:pStyle w:val="Heading1"/>
      </w:pPr>
      <w:r>
        <w:rPr>
          <w:rFonts w:ascii="Calibri Light" w:cs="Calibri Light" w:eastAsia="Calibri Light" w:hAnsi="Calibri Light"/>
          <w:color w:val="1B3A5C"/>
          <w:sz w:val="28"/>
          <w:szCs w:val="28"/>
        </w:rPr>
        <w:t xml:space="preserve">9  Adoption Roadmap</w:t>
      </w:r>
    </w:p>
    <w:p>
      <w:pPr>
        <w:keepNext w:val="false"/>
        <w:spacing w:after="130" w:before="0" w:line="268"/>
        <w:jc w:val="both"/>
      </w:pPr>
      <w:r>
        <w:rPr>
          <w:rFonts w:ascii="Calibri" w:cs="Calibri" w:eastAsia="Calibri" w:hAnsi="Calibri"/>
          <w:color w:val="22303C"/>
          <w:sz w:val="20"/>
          <w:szCs w:val="20"/>
        </w:rPr>
        <w:t xml:space="preserve">Sequenced so that the riskiest capability arrives last and every phase is independently valuable. Nothing here requires a big-bang cutover, because there is no existing agentic surface to migrate off.</w:t>
      </w:r>
    </w:p>
    <w:tbl>
      <w:tblPr>
        <w:tblW w:type="dxa" w:w="10080"/>
        <w:tblBorders>
          <w:top w:val="single" w:color="1B3A5C" w:sz="4"/>
          <w:left w:val="none" w:color="FFFFFF" w:sz="0"/>
          <w:bottom w:val="single" w:color="1B3A5C" w:sz="4"/>
          <w:right w:val="none" w:color="FFFFFF" w:sz="0"/>
          <w:insideH w:val="single" w:color="C7D0DA" w:sz="2"/>
          <w:insideV w:val="single" w:color="C7D0DA" w:sz="2"/>
        </w:tblBorders>
      </w:tblPr>
      <w:tblGrid>
        <w:gridCol w:w="1613"/>
        <w:gridCol w:w="2016"/>
        <w:gridCol w:w="3427"/>
        <w:gridCol w:w="3024"/>
      </w:tblGrid>
      <w:tr>
        <w:trPr>
          <w:tblHeader/>
        </w:trPr>
        <w:tc>
          <w:tcPr>
            <w:tcW w:type="dxa" w:w="1613"/>
            <w:shd w:fill="1B3A5C"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FFFFFF"/>
                <w:sz w:val="17"/>
                <w:szCs w:val="17"/>
              </w:rPr>
              <w:t xml:space="preserve">Phase</w:t>
            </w:r>
          </w:p>
        </w:tc>
        <w:tc>
          <w:tcPr>
            <w:tcW w:type="dxa" w:w="2016"/>
            <w:shd w:fill="1B3A5C"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FFFFFF"/>
                <w:sz w:val="17"/>
                <w:szCs w:val="17"/>
              </w:rPr>
              <w:t xml:space="preserve">Scope</w:t>
            </w:r>
          </w:p>
        </w:tc>
        <w:tc>
          <w:tcPr>
            <w:tcW w:type="dxa" w:w="3427"/>
            <w:shd w:fill="1B3A5C"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FFFFFF"/>
                <w:sz w:val="17"/>
                <w:szCs w:val="17"/>
              </w:rPr>
              <w:t xml:space="preserve">Key deliverables</w:t>
            </w:r>
          </w:p>
        </w:tc>
        <w:tc>
          <w:tcPr>
            <w:tcW w:type="dxa" w:w="3024"/>
            <w:shd w:fill="1B3A5C"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FFFFFF"/>
                <w:sz w:val="17"/>
                <w:szCs w:val="17"/>
              </w:rPr>
              <w:t xml:space="preserve">Exit criteria</w:t>
            </w:r>
          </w:p>
        </w:tc>
      </w:tr>
      <w:tr>
        <w:tc>
          <w:tcPr>
            <w:tcW w:type="dxa" w:w="1613"/>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6"/>
                <w:szCs w:val="16"/>
              </w:rPr>
              <w:t xml:space="preserve">0 — Foundations
(6–8 weeks)</w:t>
            </w:r>
          </w:p>
        </w:tc>
        <w:tc>
          <w:tcPr>
            <w:tcW w:type="dxa" w:w="2016"/>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6"/>
                <w:szCs w:val="16"/>
              </w:rPr>
              <w:t xml:space="preserve">Identity, policy and evidence primitives.</w:t>
            </w:r>
          </w:p>
        </w:tc>
        <w:tc>
          <w:tcPr>
            <w:tcW w:type="dxa" w:w="3427"/>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6"/>
                <w:szCs w:val="16"/>
              </w:rPr>
              <w:t xml:space="preserve">Agent Identity Registry; RFC 9396 grant envelope; DPoP verification at the edge; policy decision point; WORM evidence ledger; agentic account product definition and disclosures.</w:t>
            </w:r>
          </w:p>
        </w:tc>
        <w:tc>
          <w:tcPr>
            <w:tcW w:type="dxa" w:w="3024"/>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6"/>
                <w:szCs w:val="16"/>
              </w:rPr>
              <w:t xml:space="preserve">An agent can register, obtain a key-bound token, and have every request attributed and logged — with no capability yet exposed.</w:t>
            </w:r>
          </w:p>
        </w:tc>
      </w:tr>
      <w:tr>
        <w:tc>
          <w:tcPr>
            <w:tcW w:type="dxa" w:w="1613"/>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6"/>
                <w:szCs w:val="16"/>
              </w:rPr>
              <w:t xml:space="preserve">1 — Read-only pilot
(8–10 weeks)</w:t>
            </w:r>
          </w:p>
        </w:tc>
        <w:tc>
          <w:tcPr>
            <w:tcW w:type="dxa" w:w="2016"/>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6"/>
                <w:szCs w:val="16"/>
              </w:rPr>
              <w:t xml:space="preserve">Discovery plane plus two or three data products; no write path.</w:t>
            </w:r>
          </w:p>
        </w:tc>
        <w:tc>
          <w:tcPr>
            <w:tcW w:type="dxa" w:w="3427"/>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6"/>
                <w:szCs w:val="16"/>
              </w:rPr>
              <w:t xml:space="preserve">Manifest and semantic catalogue; </w:t>
            </w:r>
            <w:r>
              <w:rPr>
                <w:rFonts w:ascii="Consolas" w:cs="Consolas" w:eastAsia="Consolas" w:hAnsi="Consolas"/>
                <w:color w:val="12293F"/>
                <w:sz w:val="14"/>
                <w:szCs w:val="14"/>
              </w:rPr>
              <w:t xml:space="preserve">portfolio.snapshot</w:t>
            </w:r>
            <w:r>
              <w:rPr>
                <w:rFonts w:ascii="Calibri" w:cs="Calibri" w:eastAsia="Calibri" w:hAnsi="Calibri"/>
                <w:color w:val="22303C"/>
                <w:sz w:val="16"/>
                <w:szCs w:val="16"/>
              </w:rPr>
              <w:t xml:space="preserve">, </w:t>
            </w:r>
            <w:r>
              <w:rPr>
                <w:rFonts w:ascii="Consolas" w:cs="Consolas" w:eastAsia="Consolas" w:hAnsi="Consolas"/>
                <w:color w:val="12293F"/>
                <w:sz w:val="14"/>
                <w:szCs w:val="14"/>
              </w:rPr>
              <w:t xml:space="preserve">market.quote</w:t>
            </w:r>
            <w:r>
              <w:rPr>
                <w:rFonts w:ascii="Calibri" w:cs="Calibri" w:eastAsia="Calibri" w:hAnsi="Calibri"/>
                <w:color w:val="22303C"/>
                <w:sz w:val="16"/>
                <w:szCs w:val="16"/>
              </w:rPr>
              <w:t xml:space="preserve">, </w:t>
            </w:r>
            <w:r>
              <w:rPr>
                <w:rFonts w:ascii="Consolas" w:cs="Consolas" w:eastAsia="Consolas" w:hAnsi="Consolas"/>
                <w:color w:val="12293F"/>
                <w:sz w:val="14"/>
                <w:szCs w:val="14"/>
              </w:rPr>
              <w:t xml:space="preserve">orders.history</w:t>
            </w:r>
            <w:r>
              <w:rPr>
                <w:rFonts w:ascii="Calibri" w:cs="Calibri" w:eastAsia="Calibri" w:hAnsi="Calibri"/>
                <w:color w:val="22303C"/>
                <w:sz w:val="16"/>
                <w:szCs w:val="16"/>
              </w:rPr>
              <w:t xml:space="preserve">; egress budgets; public sandbox; OpenAPI and developer documentation.</w:t>
            </w:r>
          </w:p>
        </w:tc>
        <w:tc>
          <w:tcPr>
            <w:tcW w:type="dxa" w:w="3024"/>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6"/>
                <w:szCs w:val="16"/>
              </w:rPr>
              <w:t xml:space="preserve">Invited customers use their own agents for analysis. Measure discovery hit rate, egress patterns, latency against NFR-2, and support contact volume.</w:t>
            </w:r>
          </w:p>
        </w:tc>
      </w:tr>
      <w:tr>
        <w:tc>
          <w:tcPr>
            <w:tcW w:type="dxa" w:w="1613"/>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6"/>
                <w:szCs w:val="16"/>
              </w:rPr>
              <w:t xml:space="preserve">2 — Intent plane, explicit approval only
(10–14 weeks)</w:t>
            </w:r>
          </w:p>
        </w:tc>
        <w:tc>
          <w:tcPr>
            <w:tcW w:type="dxa" w:w="2016"/>
            <w:tcMar>
              <w:top w:type="dxa" w:w="60"/>
              <w:left w:type="dxa" w:w="100"/>
              <w:bottom w:type="dxa" w:w="60"/>
              <w:right w:type="dxa" w:w="100"/>
            </w:tcMar>
            <w:vAlign w:val="top"/>
          </w:tcPr>
          <w:p>
            <w:pPr>
              <w:spacing w:after="40" w:before="40" w:line="240"/>
              <w:jc w:val="left"/>
            </w:pPr>
            <w:r>
              <w:rPr>
                <w:rFonts w:ascii="Consolas" w:cs="Consolas" w:eastAsia="Consolas" w:hAnsi="Consolas"/>
                <w:color w:val="12293F"/>
                <w:sz w:val="14"/>
                <w:szCs w:val="14"/>
              </w:rPr>
              <w:t xml:space="preserve">equity.order.v1</w:t>
            </w:r>
            <w:r>
              <w:rPr>
                <w:rFonts w:ascii="Calibri" w:cs="Calibri" w:eastAsia="Calibri" w:hAnsi="Calibri"/>
                <w:color w:val="22303C"/>
                <w:sz w:val="16"/>
                <w:szCs w:val="16"/>
              </w:rPr>
              <w:t xml:space="preserve"> and </w:t>
            </w:r>
            <w:r>
              <w:rPr>
                <w:rFonts w:ascii="Consolas" w:cs="Consolas" w:eastAsia="Consolas" w:hAnsi="Consolas"/>
                <w:color w:val="12293F"/>
                <w:sz w:val="14"/>
                <w:szCs w:val="14"/>
              </w:rPr>
              <w:t xml:space="preserve">equity.order.cancel.v1</w:t>
            </w:r>
            <w:r>
              <w:rPr>
                <w:rFonts w:ascii="Calibri" w:cs="Calibri" w:eastAsia="Calibri" w:hAnsi="Calibri"/>
                <w:color w:val="22303C"/>
                <w:sz w:val="16"/>
                <w:szCs w:val="16"/>
              </w:rPr>
              <w:t xml:space="preserve">; every action requires an explicit signature; no unattended execution.</w:t>
            </w:r>
          </w:p>
        </w:tc>
        <w:tc>
          <w:tcPr>
            <w:tcW w:type="dxa" w:w="3427"/>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6"/>
                <w:szCs w:val="16"/>
              </w:rPr>
              <w:t xml:space="preserve">Intent service and state machine; deterministic control pipeline; simulation; mandate service on HSM keys; CIBA approval; receipts; kill switch; surveillance feed.</w:t>
            </w:r>
          </w:p>
        </w:tc>
        <w:tc>
          <w:tcPr>
            <w:tcW w:type="dxa" w:w="3024"/>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6"/>
                <w:szCs w:val="16"/>
              </w:rPr>
              <w:t xml:space="preserve">Regulatory sign-off on REG-1 to REG-4. Kill-switch drill passed. Red-team exercise (BP-36) passed with zero unauthorised effects.</w:t>
            </w:r>
          </w:p>
        </w:tc>
      </w:tr>
      <w:tr>
        <w:tc>
          <w:tcPr>
            <w:tcW w:type="dxa" w:w="1613"/>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6"/>
                <w:szCs w:val="16"/>
              </w:rPr>
              <w:t xml:space="preserve">3 — Tiered approval and standing mandates
(8–12 weeks)</w:t>
            </w:r>
          </w:p>
        </w:tc>
        <w:tc>
          <w:tcPr>
            <w:tcW w:type="dxa" w:w="2016"/>
            <w:shd w:fill="F4F7FA" w:color="auto" w:val="clear"/>
            <w:tcMar>
              <w:top w:type="dxa" w:w="60"/>
              <w:left w:type="dxa" w:w="100"/>
              <w:bottom w:type="dxa" w:w="60"/>
              <w:right w:type="dxa" w:w="100"/>
            </w:tcMar>
            <w:vAlign w:val="top"/>
          </w:tcPr>
          <w:p>
            <w:pPr>
              <w:spacing w:after="40" w:before="40" w:line="240"/>
              <w:jc w:val="left"/>
            </w:pPr>
            <w:r>
              <w:rPr>
                <w:rFonts w:ascii="Consolas" w:cs="Consolas" w:eastAsia="Consolas" w:hAnsi="Consolas"/>
                <w:color w:val="12293F"/>
                <w:sz w:val="14"/>
                <w:szCs w:val="14"/>
              </w:rPr>
              <w:t xml:space="preserve">auto_below</w:t>
            </w:r>
            <w:r>
              <w:rPr>
                <w:rFonts w:ascii="Calibri" w:cs="Calibri" w:eastAsia="Calibri" w:hAnsi="Calibri"/>
                <w:color w:val="22303C"/>
                <w:sz w:val="16"/>
                <w:szCs w:val="16"/>
              </w:rPr>
              <w:t xml:space="preserve"> thresholds; notify-and-hold tier; broker-side conditional triggers.</w:t>
            </w:r>
          </w:p>
        </w:tc>
        <w:tc>
          <w:tcPr>
            <w:tcW w:type="dxa" w:w="3427"/>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6"/>
                <w:szCs w:val="16"/>
              </w:rPr>
              <w:t xml:space="preserve">Standing mandate issuance and revocation; trigger evaluation service; per-strategy caps and volatility halts; customer-facing mandate management screens.</w:t>
            </w:r>
          </w:p>
        </w:tc>
        <w:tc>
          <w:tcPr>
            <w:tcW w:type="dxa" w:w="3024"/>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6"/>
                <w:szCs w:val="16"/>
              </w:rPr>
              <w:t xml:space="preserve">Automation runs with the agent disconnected. Every firing is replayable from stored trigger evaluations. Risk committee accepts the </w:t>
            </w:r>
            <w:r>
              <w:rPr>
                <w:rFonts w:ascii="Consolas" w:cs="Consolas" w:eastAsia="Consolas" w:hAnsi="Consolas"/>
                <w:color w:val="12293F"/>
                <w:sz w:val="14"/>
                <w:szCs w:val="14"/>
              </w:rPr>
              <w:t xml:space="preserve">auto_below</w:t>
            </w:r>
            <w:r>
              <w:rPr>
                <w:rFonts w:ascii="Calibri" w:cs="Calibri" w:eastAsia="Calibri" w:hAnsi="Calibri"/>
                <w:color w:val="22303C"/>
                <w:sz w:val="16"/>
                <w:szCs w:val="16"/>
              </w:rPr>
              <w:t xml:space="preserve"> distribution.</w:t>
            </w:r>
          </w:p>
        </w:tc>
      </w:tr>
      <w:tr>
        <w:tc>
          <w:tcPr>
            <w:tcW w:type="dxa" w:w="1613"/>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6"/>
                <w:szCs w:val="16"/>
              </w:rPr>
              <w:t xml:space="preserve">4 — Breadth
(continuous)</w:t>
            </w:r>
          </w:p>
        </w:tc>
        <w:tc>
          <w:tcPr>
            <w:tcW w:type="dxa" w:w="2016"/>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6"/>
                <w:szCs w:val="16"/>
              </w:rPr>
              <w:t xml:space="preserve">Additional intent types and data products by demand.</w:t>
            </w:r>
          </w:p>
        </w:tc>
        <w:tc>
          <w:tcPr>
            <w:tcW w:type="dxa" w:w="3427"/>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6"/>
                <w:szCs w:val="16"/>
              </w:rPr>
              <w:t xml:space="preserve">Options intents with their own grants and levels; rebalance sagas; tax-aware products; webhooks for fills; agent developer certification.</w:t>
            </w:r>
          </w:p>
        </w:tc>
        <w:tc>
          <w:tcPr>
            <w:tcW w:type="dxa" w:w="3024"/>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6"/>
                <w:szCs w:val="16"/>
              </w:rPr>
              <w:t xml:space="preserve">Intent-type governance operating (BP-35); cost per approved intent trending down; support contacts per thousand sessions inside target.</w:t>
            </w:r>
          </w:p>
        </w:tc>
      </w:tr>
    </w:tbl>
    <w:tbl>
      <w:tblPr>
        <w:tblW w:type="dxa" w:w="10080"/>
        <w:tblBorders>
          <w:top w:val="single" w:color="1E7B96" w:sz="2"/>
          <w:left w:val="single" w:color="1E7B96" w:sz="14"/>
          <w:bottom w:val="single" w:color="1E7B96" w:sz="2"/>
          <w:right w:val="single" w:color="1E7B96" w:sz="2"/>
          <w:insideH w:val="none" w:color="EEF3F8" w:sz="0"/>
          <w:insideV w:val="none" w:color="EEF3F8" w:sz="0"/>
        </w:tblBorders>
      </w:tblPr>
      <w:tblGrid>
        <w:gridCol w:w="10080"/>
      </w:tblGrid>
      <w:tr>
        <w:tc>
          <w:tcPr>
            <w:tcW w:type="dxa" w:w="10080"/>
            <w:shd w:fill="EEF3F8" w:color="auto" w:val="clear"/>
            <w:tcMar>
              <w:top w:type="dxa" w:w="120"/>
              <w:left w:type="dxa" w:w="160"/>
              <w:bottom w:type="dxa" w:w="120"/>
              <w:right w:type="dxa" w:w="160"/>
            </w:tcMar>
          </w:tcPr>
          <w:p>
            <w:pPr>
              <w:keepNext/>
              <w:spacing w:after="60" w:before="20"/>
            </w:pPr>
            <w:r>
              <w:rPr>
                <w:rFonts w:ascii="Calibri" w:cs="Calibri" w:eastAsia="Calibri" w:hAnsi="Calibri"/>
                <w:color w:val="1E7B96"/>
                <w:sz w:val="18"/>
                <w:szCs w:val="18"/>
              </w:rPr>
              <w:t xml:space="preserve">Sequencing advice that is easy to get wrong</w:t>
            </w:r>
          </w:p>
          <w:p>
            <w:pPr>
              <w:spacing w:after="30" w:before="0" w:line="254"/>
              <w:jc w:val="both"/>
            </w:pPr>
            <w:r>
              <w:rPr>
                <w:rFonts w:ascii="Calibri" w:cs="Calibri" w:eastAsia="Calibri" w:hAnsi="Calibri"/>
                <w:color w:val="22303C"/>
                <w:sz w:val="18"/>
                <w:szCs w:val="18"/>
              </w:rPr>
              <w:t xml:space="preserve">Do not build the intent plane first because it is the interesting part. Phase 1 delivers most of the customer value — agents that can genuinely analyse a portfolio are useful on day one — while exercising the identity, policy, metering and evidence machinery under real traffic and at zero financial risk. Every defect found in Phase 1 is a defect that would otherwise have been found in production on a write path.</w:t>
            </w:r>
          </w:p>
        </w:tc>
      </w:tr>
    </w:tbl>
    <w:p>
      <w:r>
        <w:br w:type="page"/>
      </w:r>
    </w:p>
    <w:p>
      <w:pPr>
        <w:pStyle w:val="Heading1"/>
      </w:pPr>
      <w:r>
        <w:rPr>
          <w:rFonts w:ascii="Calibri Light" w:cs="Calibri Light" w:eastAsia="Calibri Light" w:hAnsi="Calibri Light"/>
          <w:color w:val="1B3A5C"/>
          <w:sz w:val="28"/>
          <w:szCs w:val="28"/>
        </w:rPr>
        <w:t xml:space="preserve">10  Risks, Trade-offs and Open Questions</w:t>
      </w:r>
    </w:p>
    <w:tbl>
      <w:tblPr>
        <w:tblW w:type="dxa" w:w="10080"/>
        <w:tblBorders>
          <w:top w:val="single" w:color="1B3A5C" w:sz="4"/>
          <w:left w:val="none" w:color="FFFFFF" w:sz="0"/>
          <w:bottom w:val="single" w:color="1B3A5C" w:sz="4"/>
          <w:right w:val="none" w:color="FFFFFF" w:sz="0"/>
          <w:insideH w:val="single" w:color="C7D0DA" w:sz="2"/>
          <w:insideV w:val="single" w:color="C7D0DA" w:sz="2"/>
        </w:tblBorders>
      </w:tblPr>
      <w:tblGrid>
        <w:gridCol w:w="605"/>
        <w:gridCol w:w="3226"/>
        <w:gridCol w:w="6249"/>
      </w:tblGrid>
      <w:tr>
        <w:trPr>
          <w:tblHeader/>
        </w:trPr>
        <w:tc>
          <w:tcPr>
            <w:tcW w:type="dxa" w:w="605"/>
            <w:shd w:fill="1B3A5C"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FFFFFF"/>
                <w:sz w:val="17"/>
                <w:szCs w:val="17"/>
              </w:rPr>
              <w:t xml:space="preserve">ID</w:t>
            </w:r>
          </w:p>
        </w:tc>
        <w:tc>
          <w:tcPr>
            <w:tcW w:type="dxa" w:w="3226"/>
            <w:shd w:fill="1B3A5C"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FFFFFF"/>
                <w:sz w:val="17"/>
                <w:szCs w:val="17"/>
              </w:rPr>
              <w:t xml:space="preserve">Risk or trade-off</w:t>
            </w:r>
          </w:p>
        </w:tc>
        <w:tc>
          <w:tcPr>
            <w:tcW w:type="dxa" w:w="6249"/>
            <w:shd w:fill="1B3A5C"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FFFFFF"/>
                <w:sz w:val="17"/>
                <w:szCs w:val="17"/>
              </w:rPr>
              <w:t xml:space="preserve">Assessment and mitigation</w:t>
            </w:r>
          </w:p>
        </w:tc>
      </w:tr>
      <w:tr>
        <w:tc>
          <w:tcPr>
            <w:tcW w:type="dxa" w:w="605"/>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6"/>
                <w:szCs w:val="16"/>
              </w:rPr>
              <w:t xml:space="preserve">R-1</w:t>
            </w:r>
          </w:p>
        </w:tc>
        <w:tc>
          <w:tcPr>
            <w:tcW w:type="dxa" w:w="3226"/>
            <w:tcMar>
              <w:top w:type="dxa" w:w="60"/>
              <w:left w:type="dxa" w:w="100"/>
              <w:bottom w:type="dxa" w:w="60"/>
              <w:right w:type="dxa" w:w="100"/>
            </w:tcMar>
            <w:vAlign w:val="top"/>
          </w:tcPr>
          <w:p>
            <w:pPr>
              <w:spacing w:after="40" w:before="40" w:line="240"/>
              <w:jc w:val="left"/>
            </w:pPr>
            <w:r>
              <w:rPr>
                <w:rFonts w:ascii="Calibri" w:cs="Calibri" w:eastAsia="Calibri" w:hAnsi="Calibri"/>
                <w:b/>
                <w:bCs/>
                <w:color w:val="22303C"/>
                <w:sz w:val="16"/>
                <w:szCs w:val="16"/>
              </w:rPr>
              <w:t xml:space="preserve">Adoption friction.</w:t>
            </w:r>
            <w:r>
              <w:rPr>
                <w:rFonts w:ascii="Calibri" w:cs="Calibri" w:eastAsia="Calibri" w:hAnsi="Calibri"/>
                <w:color w:val="22303C"/>
                <w:sz w:val="16"/>
                <w:szCs w:val="16"/>
              </w:rPr>
              <w:t xml:space="preserve"> Agent developers must read documentation rather than auto-discover a tool list.</w:t>
            </w:r>
          </w:p>
        </w:tc>
        <w:tc>
          <w:tcPr>
            <w:tcW w:type="dxa" w:w="6249"/>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6"/>
                <w:szCs w:val="16"/>
              </w:rPr>
              <w:t xml:space="preserve">Real and the principal cost of this choice. Mitigate with a public sandbox, OpenAPI 3.1, thin SDKs in three languages, copy-paste examples and machine-readable docs (BP-33, BP-34). Note the offset: three stable verbs are easier to integrate against, and far easier to keep working, than a 44-tool catalogue that changes with the internal estate.</w:t>
            </w:r>
          </w:p>
        </w:tc>
      </w:tr>
      <w:tr>
        <w:tc>
          <w:tcPr>
            <w:tcW w:type="dxa" w:w="605"/>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6"/>
                <w:szCs w:val="16"/>
              </w:rPr>
              <w:t xml:space="preserve">R-2</w:t>
            </w:r>
          </w:p>
        </w:tc>
        <w:tc>
          <w:tcPr>
            <w:tcW w:type="dxa" w:w="3226"/>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b/>
                <w:bCs/>
                <w:color w:val="22303C"/>
                <w:sz w:val="16"/>
                <w:szCs w:val="16"/>
              </w:rPr>
              <w:t xml:space="preserve">Prompt injection is contained, not eliminated.</w:t>
            </w:r>
          </w:p>
        </w:tc>
        <w:tc>
          <w:tcPr>
            <w:tcW w:type="dxa" w:w="6249"/>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6"/>
                <w:szCs w:val="16"/>
              </w:rPr>
              <w:t xml:space="preserve">Stated plainly in §3.4. Residual exposure is bounded by mandate scope, caps, account segregation and human approval. Ongoing: adversarial testing (BP-36) and behavioural monitoring (BP-28). Do not let anyone represent this architecture as injection-proof.</w:t>
            </w:r>
          </w:p>
        </w:tc>
      </w:tr>
      <w:tr>
        <w:tc>
          <w:tcPr>
            <w:tcW w:type="dxa" w:w="605"/>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6"/>
                <w:szCs w:val="16"/>
              </w:rPr>
              <w:t xml:space="preserve">R-3</w:t>
            </w:r>
          </w:p>
        </w:tc>
        <w:tc>
          <w:tcPr>
            <w:tcW w:type="dxa" w:w="3226"/>
            <w:tcMar>
              <w:top w:type="dxa" w:w="60"/>
              <w:left w:type="dxa" w:w="100"/>
              <w:bottom w:type="dxa" w:w="60"/>
              <w:right w:type="dxa" w:w="100"/>
            </w:tcMar>
            <w:vAlign w:val="top"/>
          </w:tcPr>
          <w:p>
            <w:pPr>
              <w:spacing w:after="40" w:before="40" w:line="240"/>
              <w:jc w:val="left"/>
            </w:pPr>
            <w:r>
              <w:rPr>
                <w:rFonts w:ascii="Calibri" w:cs="Calibri" w:eastAsia="Calibri" w:hAnsi="Calibri"/>
                <w:b/>
                <w:bCs/>
                <w:color w:val="22303C"/>
                <w:sz w:val="16"/>
                <w:szCs w:val="16"/>
              </w:rPr>
              <w:t xml:space="preserve">Mandate revocation before expiry.</w:t>
            </w:r>
            <w:r>
              <w:rPr>
                <w:rFonts w:ascii="Calibri" w:cs="Calibri" w:eastAsia="Calibri" w:hAnsi="Calibri"/>
                <w:color w:val="22303C"/>
                <w:sz w:val="16"/>
                <w:szCs w:val="16"/>
              </w:rPr>
              <w:t xml:space="preserve"> Cryptographically signed mandates are non-repudiable by design and have no in-protocol revocation.</w:t>
            </w:r>
          </w:p>
        </w:tc>
        <w:tc>
          <w:tcPr>
            <w:tcW w:type="dxa" w:w="6249"/>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6"/>
                <w:szCs w:val="16"/>
              </w:rPr>
              <w:t xml:space="preserve">Addressed by keeping TTLs short (five minutes), consulting a server-side revocation list at the execution boundary (BP-22), and requiring a separate execute call so a window exists in which to change one’s mind.</w:t>
            </w:r>
          </w:p>
        </w:tc>
      </w:tr>
      <w:tr>
        <w:tc>
          <w:tcPr>
            <w:tcW w:type="dxa" w:w="605"/>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6"/>
                <w:szCs w:val="16"/>
              </w:rPr>
              <w:t xml:space="preserve">R-4</w:t>
            </w:r>
          </w:p>
        </w:tc>
        <w:tc>
          <w:tcPr>
            <w:tcW w:type="dxa" w:w="3226"/>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b/>
                <w:bCs/>
                <w:color w:val="22303C"/>
                <w:sz w:val="16"/>
                <w:szCs w:val="16"/>
              </w:rPr>
              <w:t xml:space="preserve">Approval latency.</w:t>
            </w:r>
            <w:r>
              <w:rPr>
                <w:rFonts w:ascii="Calibri" w:cs="Calibri" w:eastAsia="Calibri" w:hAnsi="Calibri"/>
                <w:color w:val="22303C"/>
                <w:sz w:val="16"/>
                <w:szCs w:val="16"/>
              </w:rPr>
              <w:t xml:space="preserve"> An explicit signature adds human wall-clock time to every order.</w:t>
            </w:r>
          </w:p>
        </w:tc>
        <w:tc>
          <w:tcPr>
            <w:tcW w:type="dxa" w:w="6249"/>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6"/>
                <w:szCs w:val="16"/>
              </w:rPr>
              <w:t xml:space="preserve">Mitigated by tiering and </w:t>
            </w:r>
            <w:r>
              <w:rPr>
                <w:rFonts w:ascii="Consolas" w:cs="Consolas" w:eastAsia="Consolas" w:hAnsi="Consolas"/>
                <w:color w:val="12293F"/>
                <w:sz w:val="14"/>
                <w:szCs w:val="14"/>
              </w:rPr>
              <w:t xml:space="preserve">auto_below</w:t>
            </w:r>
            <w:r>
              <w:rPr>
                <w:rFonts w:ascii="Calibri" w:cs="Calibri" w:eastAsia="Calibri" w:hAnsi="Calibri"/>
                <w:color w:val="22303C"/>
                <w:sz w:val="16"/>
                <w:szCs w:val="16"/>
              </w:rPr>
              <w:t xml:space="preserve">. Watch the metric: if customers routinely raise </w:t>
            </w:r>
            <w:r>
              <w:rPr>
                <w:rFonts w:ascii="Consolas" w:cs="Consolas" w:eastAsia="Consolas" w:hAnsi="Consolas"/>
                <w:color w:val="12293F"/>
                <w:sz w:val="14"/>
                <w:szCs w:val="14"/>
              </w:rPr>
              <w:t xml:space="preserve">auto_below</w:t>
            </w:r>
            <w:r>
              <w:rPr>
                <w:rFonts w:ascii="Calibri" w:cs="Calibri" w:eastAsia="Calibri" w:hAnsi="Calibri"/>
                <w:color w:val="22303C"/>
                <w:sz w:val="16"/>
                <w:szCs w:val="16"/>
              </w:rPr>
              <w:t xml:space="preserve"> to escape friction, that is a risk transfer the risk committee must see and price, not a UX win.</w:t>
            </w:r>
          </w:p>
        </w:tc>
      </w:tr>
      <w:tr>
        <w:tc>
          <w:tcPr>
            <w:tcW w:type="dxa" w:w="605"/>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6"/>
                <w:szCs w:val="16"/>
              </w:rPr>
              <w:t xml:space="preserve">R-5</w:t>
            </w:r>
          </w:p>
        </w:tc>
        <w:tc>
          <w:tcPr>
            <w:tcW w:type="dxa" w:w="3226"/>
            <w:tcMar>
              <w:top w:type="dxa" w:w="60"/>
              <w:left w:type="dxa" w:w="100"/>
              <w:bottom w:type="dxa" w:w="60"/>
              <w:right w:type="dxa" w:w="100"/>
            </w:tcMar>
            <w:vAlign w:val="top"/>
          </w:tcPr>
          <w:p>
            <w:pPr>
              <w:spacing w:after="40" w:before="40" w:line="240"/>
              <w:jc w:val="left"/>
            </w:pPr>
            <w:r>
              <w:rPr>
                <w:rFonts w:ascii="Calibri" w:cs="Calibri" w:eastAsia="Calibri" w:hAnsi="Calibri"/>
                <w:b/>
                <w:bCs/>
                <w:color w:val="22303C"/>
                <w:sz w:val="16"/>
                <w:szCs w:val="16"/>
              </w:rPr>
              <w:t xml:space="preserve">Intent-type sprawl.</w:t>
            </w:r>
            <w:r>
              <w:rPr>
                <w:rFonts w:ascii="Calibri" w:cs="Calibri" w:eastAsia="Calibri" w:hAnsi="Calibri"/>
                <w:color w:val="22303C"/>
                <w:sz w:val="16"/>
                <w:szCs w:val="16"/>
              </w:rPr>
              <w:t xml:space="preserve"> The same pressure that produced 44 tools will produce 44 intent types.</w:t>
            </w:r>
          </w:p>
        </w:tc>
        <w:tc>
          <w:tcPr>
            <w:tcW w:type="dxa" w:w="6249"/>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6"/>
                <w:szCs w:val="16"/>
              </w:rPr>
              <w:t xml:space="preserve">Governed as a product portfolio (BP-35): named owners, review board, usage floors, deprecation policy. Structurally better than tool sprawl because intent types do not enter the agent’s context; only search results do.</w:t>
            </w:r>
          </w:p>
        </w:tc>
      </w:tr>
      <w:tr>
        <w:tc>
          <w:tcPr>
            <w:tcW w:type="dxa" w:w="605"/>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6"/>
                <w:szCs w:val="16"/>
              </w:rPr>
              <w:t xml:space="preserve">R-6</w:t>
            </w:r>
          </w:p>
        </w:tc>
        <w:tc>
          <w:tcPr>
            <w:tcW w:type="dxa" w:w="3226"/>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b/>
                <w:bCs/>
                <w:color w:val="22303C"/>
                <w:sz w:val="16"/>
                <w:szCs w:val="16"/>
              </w:rPr>
              <w:t xml:space="preserve">Discovery quality.</w:t>
            </w:r>
            <w:r>
              <w:rPr>
                <w:rFonts w:ascii="Calibri" w:cs="Calibri" w:eastAsia="Calibri" w:hAnsi="Calibri"/>
                <w:color w:val="22303C"/>
                <w:sz w:val="16"/>
                <w:szCs w:val="16"/>
              </w:rPr>
              <w:t xml:space="preserve"> If semantic search returns the wrong capability, the agent fails in a way the customer blames on the provider.</w:t>
            </w:r>
          </w:p>
        </w:tc>
        <w:tc>
          <w:tcPr>
            <w:tcW w:type="dxa" w:w="6249"/>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6"/>
                <w:szCs w:val="16"/>
              </w:rPr>
              <w:t xml:space="preserve">Treat the catalogue as an evaluated retrieval system: a golden query set, regression tests on descriptor changes, and rejection analytics as the feedback loop (§5.12).</w:t>
            </w:r>
          </w:p>
        </w:tc>
      </w:tr>
      <w:tr>
        <w:tc>
          <w:tcPr>
            <w:tcW w:type="dxa" w:w="605"/>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6"/>
                <w:szCs w:val="16"/>
              </w:rPr>
              <w:t xml:space="preserve">R-7</w:t>
            </w:r>
          </w:p>
        </w:tc>
        <w:tc>
          <w:tcPr>
            <w:tcW w:type="dxa" w:w="3226"/>
            <w:tcMar>
              <w:top w:type="dxa" w:w="60"/>
              <w:left w:type="dxa" w:w="100"/>
              <w:bottom w:type="dxa" w:w="60"/>
              <w:right w:type="dxa" w:w="100"/>
            </w:tcMar>
            <w:vAlign w:val="top"/>
          </w:tcPr>
          <w:p>
            <w:pPr>
              <w:spacing w:after="40" w:before="40" w:line="240"/>
              <w:jc w:val="left"/>
            </w:pPr>
            <w:r>
              <w:rPr>
                <w:rFonts w:ascii="Calibri" w:cs="Calibri" w:eastAsia="Calibri" w:hAnsi="Calibri"/>
                <w:b/>
                <w:bCs/>
                <w:color w:val="22303C"/>
                <w:sz w:val="16"/>
                <w:szCs w:val="16"/>
              </w:rPr>
              <w:t xml:space="preserve">Regulatory ambiguity.</w:t>
            </w:r>
            <w:r>
              <w:rPr>
                <w:rFonts w:ascii="Calibri" w:cs="Calibri" w:eastAsia="Calibri" w:hAnsi="Calibri"/>
                <w:color w:val="22303C"/>
                <w:sz w:val="16"/>
                <w:szCs w:val="16"/>
              </w:rPr>
              <w:t xml:space="preserve"> Whether particular agentic behaviour crosses from self-directed trading into investment advice or discretionary management is unsettled.</w:t>
            </w:r>
          </w:p>
        </w:tc>
        <w:tc>
          <w:tcPr>
            <w:tcW w:type="dxa" w:w="6249"/>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6"/>
                <w:szCs w:val="16"/>
              </w:rPr>
              <w:t xml:space="preserve">Out of architectural scope but on the critical path. The design deliberately keeps the decision with the customer — the provider validates, prices and executes but never selects securities — which is the defensible posture. Legal opinion required before Phase 2 launch.</w:t>
            </w:r>
          </w:p>
        </w:tc>
      </w:tr>
      <w:tr>
        <w:tc>
          <w:tcPr>
            <w:tcW w:type="dxa" w:w="605"/>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6"/>
                <w:szCs w:val="16"/>
              </w:rPr>
              <w:t xml:space="preserve">R-8</w:t>
            </w:r>
          </w:p>
        </w:tc>
        <w:tc>
          <w:tcPr>
            <w:tcW w:type="dxa" w:w="3226"/>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b/>
                <w:bCs/>
                <w:color w:val="22303C"/>
                <w:sz w:val="16"/>
                <w:szCs w:val="16"/>
              </w:rPr>
              <w:t xml:space="preserve">Standards churn.</w:t>
            </w:r>
            <w:r>
              <w:rPr>
                <w:rFonts w:ascii="Calibri" w:cs="Calibri" w:eastAsia="Calibri" w:hAnsi="Calibri"/>
                <w:color w:val="22303C"/>
                <w:sz w:val="16"/>
                <w:szCs w:val="16"/>
              </w:rPr>
              <w:t xml:space="preserve"> Delegated-task and payment-mandate specifications are still moving.</w:t>
            </w:r>
          </w:p>
        </w:tc>
        <w:tc>
          <w:tcPr>
            <w:tcW w:type="dxa" w:w="6249"/>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6"/>
                <w:szCs w:val="16"/>
              </w:rPr>
              <w:t xml:space="preserve">The design depends only on ratified RFCs. Emerging protocols are isolated as optional edge adapters (§5.13) and can be adopted or dropped without touching any control.</w:t>
            </w:r>
          </w:p>
        </w:tc>
      </w:tr>
      <w:tr>
        <w:tc>
          <w:tcPr>
            <w:tcW w:type="dxa" w:w="605"/>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6"/>
                <w:szCs w:val="16"/>
              </w:rPr>
              <w:t xml:space="preserve">R-9</w:t>
            </w:r>
          </w:p>
        </w:tc>
        <w:tc>
          <w:tcPr>
            <w:tcW w:type="dxa" w:w="3226"/>
            <w:tcMar>
              <w:top w:type="dxa" w:w="60"/>
              <w:left w:type="dxa" w:w="100"/>
              <w:bottom w:type="dxa" w:w="60"/>
              <w:right w:type="dxa" w:w="100"/>
            </w:tcMar>
            <w:vAlign w:val="top"/>
          </w:tcPr>
          <w:p>
            <w:pPr>
              <w:spacing w:after="40" w:before="40" w:line="240"/>
              <w:jc w:val="left"/>
            </w:pPr>
            <w:r>
              <w:rPr>
                <w:rFonts w:ascii="Calibri" w:cs="Calibri" w:eastAsia="Calibri" w:hAnsi="Calibri"/>
                <w:b/>
                <w:bCs/>
                <w:color w:val="22303C"/>
                <w:sz w:val="16"/>
                <w:szCs w:val="16"/>
              </w:rPr>
              <w:t xml:space="preserve">Customer key management.</w:t>
            </w:r>
            <w:r>
              <w:rPr>
                <w:rFonts w:ascii="Calibri" w:cs="Calibri" w:eastAsia="Calibri" w:hAnsi="Calibri"/>
                <w:color w:val="22303C"/>
                <w:sz w:val="16"/>
                <w:szCs w:val="16"/>
              </w:rPr>
              <w:t xml:space="preserve"> Passkey loss, device change and account recovery become part of the trading critical path.</w:t>
            </w:r>
          </w:p>
        </w:tc>
        <w:tc>
          <w:tcPr>
            <w:tcW w:type="dxa" w:w="6249"/>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6"/>
                <w:szCs w:val="16"/>
              </w:rPr>
              <w:t xml:space="preserve">Reuse the existing account-recovery process with its existing controls; support multiple registered devices; never allow recovery to be initiated or completed by an agent.</w:t>
            </w:r>
          </w:p>
        </w:tc>
      </w:tr>
      <w:tr>
        <w:tc>
          <w:tcPr>
            <w:tcW w:type="dxa" w:w="605"/>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6"/>
                <w:szCs w:val="16"/>
              </w:rPr>
              <w:t xml:space="preserve">R-10</w:t>
            </w:r>
          </w:p>
        </w:tc>
        <w:tc>
          <w:tcPr>
            <w:tcW w:type="dxa" w:w="3226"/>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b/>
                <w:bCs/>
                <w:color w:val="22303C"/>
                <w:sz w:val="16"/>
                <w:szCs w:val="16"/>
              </w:rPr>
              <w:t xml:space="preserve">Correlated agent behaviour.</w:t>
            </w:r>
            <w:r>
              <w:rPr>
                <w:rFonts w:ascii="Calibri" w:cs="Calibri" w:eastAsia="Calibri" w:hAnsi="Calibri"/>
                <w:color w:val="22303C"/>
                <w:sz w:val="16"/>
                <w:szCs w:val="16"/>
              </w:rPr>
              <w:t xml:space="preserve"> Thousands of customers running the same popular agent or prompt can produce herd order flow that resembles manipulation or that moves thin names.</w:t>
            </w:r>
          </w:p>
        </w:tc>
        <w:tc>
          <w:tcPr>
            <w:tcW w:type="dxa" w:w="6249"/>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6"/>
                <w:szCs w:val="16"/>
              </w:rPr>
              <w:t xml:space="preserve">A genuinely new market-structure risk with no precedent to copy. Requires cross-account surveillance on agent-originated flow, per-symbol circuit breakers, and per-runtime kill switches (§5.12).</w:t>
            </w:r>
          </w:p>
        </w:tc>
      </w:tr>
      <w:tr>
        <w:tc>
          <w:tcPr>
            <w:tcW w:type="dxa" w:w="605"/>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6"/>
                <w:szCs w:val="16"/>
              </w:rPr>
              <w:t xml:space="preserve">R-11</w:t>
            </w:r>
          </w:p>
        </w:tc>
        <w:tc>
          <w:tcPr>
            <w:tcW w:type="dxa" w:w="3226"/>
            <w:tcMar>
              <w:top w:type="dxa" w:w="60"/>
              <w:left w:type="dxa" w:w="100"/>
              <w:bottom w:type="dxa" w:w="60"/>
              <w:right w:type="dxa" w:w="100"/>
            </w:tcMar>
            <w:vAlign w:val="top"/>
          </w:tcPr>
          <w:p>
            <w:pPr>
              <w:spacing w:after="40" w:before="40" w:line="240"/>
              <w:jc w:val="left"/>
            </w:pPr>
            <w:r>
              <w:rPr>
                <w:rFonts w:ascii="Calibri" w:cs="Calibri" w:eastAsia="Calibri" w:hAnsi="Calibri"/>
                <w:b/>
                <w:bCs/>
                <w:color w:val="22303C"/>
                <w:sz w:val="16"/>
                <w:szCs w:val="16"/>
              </w:rPr>
              <w:t xml:space="preserve">Contingency: external pressure to expose MCP.</w:t>
            </w:r>
            <w:r>
              <w:rPr>
                <w:rFonts w:ascii="Calibri" w:cs="Calibri" w:eastAsia="Calibri" w:hAnsi="Calibri"/>
                <w:color w:val="22303C"/>
                <w:sz w:val="16"/>
                <w:szCs w:val="16"/>
              </w:rPr>
              <w:t xml:space="preserve"> A dominant platform or a large partner may make MCP compatibility a commercial requirement.</w:t>
            </w:r>
          </w:p>
        </w:tc>
        <w:tc>
          <w:tcPr>
            <w:tcW w:type="dxa" w:w="6249"/>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6"/>
                <w:szCs w:val="16"/>
              </w:rPr>
              <w:t xml:space="preserve">Explicitly out of scope for this decision, and not recommended. If it becomes unavoidable, the correct response is a thin edge adapter that exposes only the same three verbs and relocates no control into the adapter — preserving mandates, deterministic validation and receipts. Any proposal that maps internal operations to tools should be treated as reopening this decision, not implementing it.</w:t>
            </w:r>
          </w:p>
        </w:tc>
      </w:tr>
    </w:tbl>
    <w:p>
      <w:pPr>
        <w:pStyle w:val="Heading2"/>
      </w:pPr>
      <w:r>
        <w:rPr>
          <w:rFonts w:ascii="Calibri Light" w:cs="Calibri Light" w:eastAsia="Calibri Light" w:hAnsi="Calibri Light"/>
          <w:color w:val="1B3A5C"/>
          <w:sz w:val="23"/>
          <w:szCs w:val="23"/>
        </w:rPr>
        <w:t xml:space="preserve">10.1  Open questions for the review board</w:t>
      </w:r>
    </w:p>
    <w:p>
      <w:pPr>
        <w:pStyle w:val="ListParagraph"/>
        <w:numPr>
          <w:ilvl w:val="0"/>
          <w:numId w:val="42"/>
        </w:numPr>
        <w:spacing w:after="66" w:before="24" w:line="262"/>
        <w:jc w:val="both"/>
      </w:pPr>
      <w:r>
        <w:rPr>
          <w:rFonts w:ascii="Calibri" w:cs="Calibri" w:eastAsia="Calibri" w:hAnsi="Calibri"/>
          <w:color w:val="22303C"/>
          <w:sz w:val="20"/>
          <w:szCs w:val="20"/>
        </w:rPr>
        <w:t xml:space="preserve">What is the maximum </w:t>
      </w:r>
      <w:r>
        <w:rPr>
          <w:rFonts w:ascii="Consolas" w:cs="Consolas" w:eastAsia="Consolas" w:hAnsi="Consolas"/>
          <w:color w:val="12293F"/>
          <w:sz w:val="17"/>
          <w:szCs w:val="17"/>
        </w:rPr>
        <w:t xml:space="preserve">auto_below</w:t>
      </w:r>
      <w:r>
        <w:rPr>
          <w:rFonts w:ascii="Calibri" w:cs="Calibri" w:eastAsia="Calibri" w:hAnsi="Calibri"/>
          <w:color w:val="22303C"/>
          <w:sz w:val="20"/>
          <w:szCs w:val="20"/>
        </w:rPr>
        <w:t xml:space="preserve"> threshold the firm is willing to permit, and is it a firm-wide cap or risk-tiered per customer?</w:t>
      </w:r>
    </w:p>
    <w:p>
      <w:pPr>
        <w:pStyle w:val="ListParagraph"/>
        <w:numPr>
          <w:ilvl w:val="0"/>
          <w:numId w:val="42"/>
        </w:numPr>
        <w:spacing w:after="66" w:before="24" w:line="262"/>
        <w:jc w:val="both"/>
      </w:pPr>
      <w:r>
        <w:rPr>
          <w:rFonts w:ascii="Calibri" w:cs="Calibri" w:eastAsia="Calibri" w:hAnsi="Calibri"/>
          <w:color w:val="22303C"/>
          <w:sz w:val="20"/>
          <w:szCs w:val="20"/>
        </w:rPr>
        <w:t xml:space="preserve">Should the agentic account carry a hard balance ceiling, and if so, is it a product parameter or a supervisory one?</w:t>
      </w:r>
    </w:p>
    <w:p>
      <w:pPr>
        <w:pStyle w:val="ListParagraph"/>
        <w:numPr>
          <w:ilvl w:val="0"/>
          <w:numId w:val="42"/>
        </w:numPr>
        <w:spacing w:after="66" w:before="24" w:line="262"/>
        <w:jc w:val="both"/>
      </w:pPr>
      <w:r>
        <w:rPr>
          <w:rFonts w:ascii="Calibri" w:cs="Calibri" w:eastAsia="Calibri" w:hAnsi="Calibri"/>
          <w:color w:val="22303C"/>
          <w:sz w:val="20"/>
          <w:szCs w:val="20"/>
        </w:rPr>
        <w:t xml:space="preserve">Do we accept agent-originated orders during the opening and closing auctions, and during volatility halts?</w:t>
      </w:r>
    </w:p>
    <w:p>
      <w:pPr>
        <w:pStyle w:val="ListParagraph"/>
        <w:numPr>
          <w:ilvl w:val="0"/>
          <w:numId w:val="42"/>
        </w:numPr>
        <w:spacing w:after="66" w:before="24" w:line="262"/>
        <w:jc w:val="both"/>
      </w:pPr>
      <w:r>
        <w:rPr>
          <w:rFonts w:ascii="Calibri" w:cs="Calibri" w:eastAsia="Calibri" w:hAnsi="Calibri"/>
          <w:color w:val="22303C"/>
          <w:sz w:val="20"/>
          <w:szCs w:val="20"/>
        </w:rPr>
        <w:t xml:space="preserve">What is the retention period for rejected intents and their provenance, given that provenance contains customer-authored text passed through a third-party model?</w:t>
      </w:r>
    </w:p>
    <w:p>
      <w:pPr>
        <w:pStyle w:val="ListParagraph"/>
        <w:numPr>
          <w:ilvl w:val="0"/>
          <w:numId w:val="42"/>
        </w:numPr>
        <w:spacing w:after="66" w:before="24" w:line="262"/>
        <w:jc w:val="both"/>
      </w:pPr>
      <w:r>
        <w:rPr>
          <w:rFonts w:ascii="Calibri" w:cs="Calibri" w:eastAsia="Calibri" w:hAnsi="Calibri"/>
          <w:color w:val="22303C"/>
          <w:sz w:val="20"/>
          <w:szCs w:val="20"/>
        </w:rPr>
        <w:t xml:space="preserve">Who owns the intent-type portfolio — API product management, the trading business, or architecture?</w:t>
      </w:r>
    </w:p>
    <w:p>
      <w:pPr>
        <w:pStyle w:val="ListParagraph"/>
        <w:numPr>
          <w:ilvl w:val="0"/>
          <w:numId w:val="42"/>
        </w:numPr>
        <w:spacing w:after="66" w:before="24" w:line="262"/>
        <w:jc w:val="both"/>
      </w:pPr>
      <w:r>
        <w:rPr>
          <w:rFonts w:ascii="Calibri" w:cs="Calibri" w:eastAsia="Calibri" w:hAnsi="Calibri"/>
          <w:color w:val="22303C"/>
          <w:sz w:val="20"/>
          <w:szCs w:val="20"/>
        </w:rPr>
        <w:t xml:space="preserve">Is the market-data entitlement model compatible with redistribution to a third-party model’s context, and under which vendor agreements?</w:t>
      </w:r>
    </w:p>
    <w:p>
      <w:r>
        <w:br w:type="page"/>
      </w:r>
    </w:p>
    <w:p>
      <w:pPr>
        <w:pStyle w:val="Heading1"/>
      </w:pPr>
      <w:r>
        <w:rPr>
          <w:rFonts w:ascii="Calibri Light" w:cs="Calibri Light" w:eastAsia="Calibri Light" w:hAnsi="Calibri Light"/>
          <w:color w:val="1B3A5C"/>
          <w:sz w:val="28"/>
          <w:szCs w:val="28"/>
        </w:rPr>
        <w:t xml:space="preserve">11  Recommendation</w:t>
      </w:r>
    </w:p>
    <w:p>
      <w:pPr>
        <w:keepNext w:val="false"/>
        <w:spacing w:after="130" w:before="0" w:line="268"/>
        <w:jc w:val="both"/>
      </w:pPr>
      <w:r>
        <w:rPr>
          <w:rFonts w:ascii="Calibri" w:cs="Calibri" w:eastAsia="Calibri" w:hAnsi="Calibri"/>
          <w:color w:val="22303C"/>
          <w:sz w:val="20"/>
          <w:szCs w:val="20"/>
        </w:rPr>
        <w:t xml:space="preserve">Adopt ALT-6, the Agent Capability Exchange, as the sole external surface for agentic consumption of business capabilities. Do not expose MCP to customer-operated agents.</w:t>
      </w:r>
    </w:p>
    <w:p>
      <w:pPr>
        <w:keepNext w:val="false"/>
        <w:spacing w:after="130" w:before="0" w:line="268"/>
        <w:jc w:val="both"/>
      </w:pPr>
      <w:r>
        <w:rPr>
          <w:rFonts w:ascii="Calibri" w:cs="Calibri" w:eastAsia="Calibri" w:hAnsi="Calibri"/>
          <w:color w:val="22303C"/>
          <w:sz w:val="20"/>
          <w:szCs w:val="20"/>
        </w:rPr>
        <w:t xml:space="preserve">The reasoning reduces to three sentences. </w:t>
      </w:r>
      <w:r>
        <w:rPr>
          <w:rFonts w:ascii="Calibri" w:cs="Calibri" w:eastAsia="Calibri" w:hAnsi="Calibri"/>
          <w:b/>
          <w:bCs/>
          <w:color w:val="22303C"/>
          <w:sz w:val="20"/>
          <w:szCs w:val="20"/>
        </w:rPr>
        <w:t xml:space="preserve">An untrusted, non-deterministic, remotely influenced process must not be handed a menu of a regulated provider’s internal operations</w:t>
      </w:r>
      <w:r>
        <w:rPr>
          <w:rFonts w:ascii="Calibri" w:cs="Calibri" w:eastAsia="Calibri" w:hAnsi="Calibri"/>
          <w:color w:val="22303C"/>
          <w:sz w:val="20"/>
          <w:szCs w:val="20"/>
        </w:rPr>
        <w:t xml:space="preserve">, because there is nowhere in that interaction to express per-action authority, and every control that matters ends up either advisory or outside the firm’s boundary. </w:t>
      </w:r>
      <w:r>
        <w:rPr>
          <w:rFonts w:ascii="Calibri" w:cs="Calibri" w:eastAsia="Calibri" w:hAnsi="Calibri"/>
          <w:b/>
          <w:bCs/>
          <w:color w:val="22303C"/>
          <w:sz w:val="20"/>
          <w:szCs w:val="20"/>
        </w:rPr>
        <w:t xml:space="preserve">Declarative intents move the composition, the controls and the pricing back inside the boundary</w:t>
      </w:r>
      <w:r>
        <w:rPr>
          <w:rFonts w:ascii="Calibri" w:cs="Calibri" w:eastAsia="Calibri" w:hAnsi="Calibri"/>
          <w:color w:val="22303C"/>
          <w:sz w:val="20"/>
          <w:szCs w:val="20"/>
        </w:rPr>
        <w:t xml:space="preserve">, where the firm can enforce them deterministically, prove them to an examiner, and meter them for cost. </w:t>
      </w:r>
      <w:r>
        <w:rPr>
          <w:rFonts w:ascii="Calibri" w:cs="Calibri" w:eastAsia="Calibri" w:hAnsi="Calibri"/>
          <w:b/>
          <w:bCs/>
          <w:color w:val="22303C"/>
          <w:sz w:val="20"/>
          <w:szCs w:val="20"/>
        </w:rPr>
        <w:t xml:space="preserve">A human signature over a hash of a simulated, priced effect is the only artefact that survives a dispute</w:t>
      </w:r>
      <w:r>
        <w:rPr>
          <w:rFonts w:ascii="Calibri" w:cs="Calibri" w:eastAsia="Calibri" w:hAnsi="Calibri"/>
          <w:color w:val="22303C"/>
          <w:sz w:val="20"/>
          <w:szCs w:val="20"/>
        </w:rPr>
        <w:t xml:space="preserve">, and it is cheap to produce once intents exist.</w:t>
      </w:r>
    </w:p>
    <w:p>
      <w:pPr>
        <w:keepNext w:val="false"/>
        <w:spacing w:after="130" w:before="0" w:line="268"/>
        <w:jc w:val="both"/>
      </w:pPr>
      <w:r>
        <w:rPr>
          <w:rFonts w:ascii="Calibri" w:cs="Calibri" w:eastAsia="Calibri" w:hAnsi="Calibri"/>
          <w:color w:val="22303C"/>
          <w:sz w:val="20"/>
          <w:szCs w:val="20"/>
        </w:rPr>
        <w:t xml:space="preserve">The trade being accepted is explicit: a larger build, a real domain-modelling effort, and no ecosystem network effect to ride. The trade being refused is larger: an interface whose security model has no place for per-action limits, whose cost curve is set by somebody else’s reasoning loop, and whose durable record of an irreversible financial action is a function-call log.</w:t>
      </w:r>
    </w:p>
    <w:p>
      <w:pPr>
        <w:keepNext w:val="false"/>
        <w:spacing w:after="130" w:before="0" w:line="268"/>
        <w:jc w:val="both"/>
      </w:pPr>
      <w:r>
        <w:rPr>
          <w:rFonts w:ascii="Calibri" w:cs="Calibri" w:eastAsia="Calibri" w:hAnsi="Calibri"/>
          <w:color w:val="22303C"/>
          <w:sz w:val="20"/>
          <w:szCs w:val="20"/>
        </w:rPr>
        <w:t xml:space="preserve">Recommended immediate actions: approve Phase 0 and Phase 1 (§9), commission the legal opinion identified in R-7, and set the </w:t>
      </w:r>
      <w:r>
        <w:rPr>
          <w:rFonts w:ascii="Consolas" w:cs="Consolas" w:eastAsia="Consolas" w:hAnsi="Consolas"/>
          <w:color w:val="12293F"/>
          <w:sz w:val="17"/>
          <w:szCs w:val="17"/>
        </w:rPr>
        <w:t xml:space="preserve">auto_below</w:t>
      </w:r>
      <w:r>
        <w:rPr>
          <w:rFonts w:ascii="Calibri" w:cs="Calibri" w:eastAsia="Calibri" w:hAnsi="Calibri"/>
          <w:color w:val="22303C"/>
          <w:sz w:val="20"/>
          <w:szCs w:val="20"/>
        </w:rPr>
        <w:t xml:space="preserve"> policy question (§10.1) as a risk-committee agenda item before Phase 2 design begins.</w:t>
      </w:r>
    </w:p>
    <w:p>
      <w:r>
        <w:br w:type="page"/>
      </w:r>
    </w:p>
    <w:p>
      <w:pPr>
        <w:pStyle w:val="Heading1"/>
      </w:pPr>
      <w:r>
        <w:rPr>
          <w:rFonts w:ascii="Calibri Light" w:cs="Calibri Light" w:eastAsia="Calibri Light" w:hAnsi="Calibri Light"/>
          <w:color w:val="1B3A5C"/>
          <w:sz w:val="28"/>
          <w:szCs w:val="28"/>
        </w:rPr>
        <w:t xml:space="preserve">Appendix A — Threat Model Summary</w:t>
      </w:r>
    </w:p>
    <w:tbl>
      <w:tblPr>
        <w:tblW w:type="dxa" w:w="10080"/>
        <w:tblBorders>
          <w:top w:val="single" w:color="1B3A5C" w:sz="4"/>
          <w:left w:val="none" w:color="FFFFFF" w:sz="0"/>
          <w:bottom w:val="single" w:color="1B3A5C" w:sz="4"/>
          <w:right w:val="none" w:color="FFFFFF" w:sz="0"/>
          <w:insideH w:val="single" w:color="C7D0DA" w:sz="2"/>
          <w:insideV w:val="single" w:color="C7D0DA" w:sz="2"/>
        </w:tblBorders>
      </w:tblPr>
      <w:tblGrid>
        <w:gridCol w:w="2016"/>
        <w:gridCol w:w="2218"/>
        <w:gridCol w:w="4032"/>
        <w:gridCol w:w="1814"/>
      </w:tblGrid>
      <w:tr>
        <w:trPr>
          <w:tblHeader/>
        </w:trPr>
        <w:tc>
          <w:tcPr>
            <w:tcW w:type="dxa" w:w="2016"/>
            <w:shd w:fill="1B3A5C"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FFFFFF"/>
                <w:sz w:val="15"/>
                <w:szCs w:val="15"/>
              </w:rPr>
              <w:t xml:space="preserve">Threat</w:t>
            </w:r>
          </w:p>
        </w:tc>
        <w:tc>
          <w:tcPr>
            <w:tcW w:type="dxa" w:w="2218"/>
            <w:shd w:fill="1B3A5C"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FFFFFF"/>
                <w:sz w:val="15"/>
                <w:szCs w:val="15"/>
              </w:rPr>
              <w:t xml:space="preserve">Vector</w:t>
            </w:r>
          </w:p>
        </w:tc>
        <w:tc>
          <w:tcPr>
            <w:tcW w:type="dxa" w:w="4032"/>
            <w:shd w:fill="1B3A5C"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FFFFFF"/>
                <w:sz w:val="15"/>
                <w:szCs w:val="15"/>
              </w:rPr>
              <w:t xml:space="preserve">Primary controls</w:t>
            </w:r>
          </w:p>
        </w:tc>
        <w:tc>
          <w:tcPr>
            <w:tcW w:type="dxa" w:w="1814"/>
            <w:shd w:fill="1B3A5C"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FFFFFF"/>
                <w:sz w:val="15"/>
                <w:szCs w:val="15"/>
              </w:rPr>
              <w:t xml:space="preserve">Residual</w:t>
            </w:r>
          </w:p>
        </w:tc>
      </w:tr>
      <w:tr>
        <w:tc>
          <w:tcPr>
            <w:tcW w:type="dxa" w:w="2016"/>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Hostile intent from an injected agent</w:t>
            </w:r>
          </w:p>
        </w:tc>
        <w:tc>
          <w:tcPr>
            <w:tcW w:type="dxa" w:w="2218"/>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Indirect prompt injection via content the agent reads</w:t>
            </w:r>
          </w:p>
        </w:tc>
        <w:tc>
          <w:tcPr>
            <w:tcW w:type="dxa" w:w="4032"/>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Deterministic validation; grant envelope; per-action caps; human signature; segregated account; second internal gate</w:t>
            </w:r>
          </w:p>
        </w:tc>
        <w:tc>
          <w:tcPr>
            <w:tcW w:type="dxa" w:w="1814"/>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Medium — attempts occur but are bounded and visible; monitored as a rate</w:t>
            </w:r>
          </w:p>
        </w:tc>
      </w:tr>
      <w:tr>
        <w:tc>
          <w:tcPr>
            <w:tcW w:type="dxa" w:w="2016"/>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Credential theft from the agent host</w:t>
            </w:r>
          </w:p>
        </w:tc>
        <w:tc>
          <w:tcPr>
            <w:tcW w:type="dxa" w:w="2218"/>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Compromised laptop, exfiltrated configuration</w:t>
            </w:r>
          </w:p>
        </w:tc>
        <w:tc>
          <w:tcPr>
            <w:tcW w:type="dxa" w:w="4032"/>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Key-bound tokens (DPoP/mTLS); 5-minute TTLs; no long-lived secret in agent memory; per-agent revocation</w:t>
            </w:r>
          </w:p>
        </w:tc>
        <w:tc>
          <w:tcPr>
            <w:tcW w:type="dxa" w:w="1814"/>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Low — a stolen token is inert without the private key</w:t>
            </w:r>
          </w:p>
        </w:tc>
      </w:tr>
      <w:tr>
        <w:tc>
          <w:tcPr>
            <w:tcW w:type="dxa" w:w="2016"/>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Approval spoofing</w:t>
            </w:r>
          </w:p>
        </w:tc>
        <w:tc>
          <w:tcPr>
            <w:tcW w:type="dxa" w:w="2218"/>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Rendered approval differs from the transmitted action</w:t>
            </w:r>
          </w:p>
        </w:tc>
        <w:tc>
          <w:tcPr>
            <w:tcW w:type="dxa" w:w="4032"/>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Hash-bound mandate over the canonical simulated effect; binding message derived from the same canonical form; reference code</w:t>
            </w:r>
          </w:p>
        </w:tc>
        <w:tc>
          <w:tcPr>
            <w:tcW w:type="dxa" w:w="1814"/>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Very low</w:t>
            </w:r>
          </w:p>
        </w:tc>
      </w:tr>
      <w:tr>
        <w:tc>
          <w:tcPr>
            <w:tcW w:type="dxa" w:w="2016"/>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Replay</w:t>
            </w:r>
          </w:p>
        </w:tc>
        <w:tc>
          <w:tcPr>
            <w:tcW w:type="dxa" w:w="2218"/>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Re-submission of a captured mandate or execution request</w:t>
            </w:r>
          </w:p>
        </w:tc>
        <w:tc>
          <w:tcPr>
            <w:tcW w:type="dxa" w:w="4032"/>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Single-use mandates; intent-hash idempotency; </w:t>
            </w:r>
            <w:r>
              <w:rPr>
                <w:rFonts w:ascii="Consolas" w:cs="Consolas" w:eastAsia="Consolas" w:hAnsi="Consolas"/>
                <w:color w:val="12293F"/>
                <w:sz w:val="14"/>
                <w:szCs w:val="14"/>
              </w:rPr>
              <w:t xml:space="preserve">cnf</w:t>
            </w:r>
            <w:r>
              <w:rPr>
                <w:rFonts w:ascii="Calibri" w:cs="Calibri" w:eastAsia="Calibri" w:hAnsi="Calibri"/>
                <w:color w:val="22303C"/>
                <w:sz w:val="15"/>
                <w:szCs w:val="15"/>
              </w:rPr>
              <w:t xml:space="preserve"> key binding; revocation check at execution</w:t>
            </w:r>
          </w:p>
        </w:tc>
        <w:tc>
          <w:tcPr>
            <w:tcW w:type="dxa" w:w="1814"/>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Very low</w:t>
            </w:r>
          </w:p>
        </w:tc>
      </w:tr>
      <w:tr>
        <w:tc>
          <w:tcPr>
            <w:tcW w:type="dxa" w:w="2016"/>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Confused deputy</w:t>
            </w:r>
          </w:p>
        </w:tc>
        <w:tc>
          <w:tcPr>
            <w:tcW w:type="dxa" w:w="2218"/>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Exchange acting on its own privileges rather than the caller’s</w:t>
            </w:r>
          </w:p>
        </w:tc>
        <w:tc>
          <w:tcPr>
            <w:tcW w:type="dxa" w:w="4032"/>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Triple evaluation </w:t>
            </w:r>
            <w:r>
              <w:rPr>
                <w:rFonts w:ascii="Consolas" w:cs="Consolas" w:eastAsia="Consolas" w:hAnsi="Consolas"/>
                <w:color w:val="12293F"/>
                <w:sz w:val="14"/>
                <w:szCs w:val="14"/>
              </w:rPr>
              <w:t xml:space="preserve">(human, agent, context)</w:t>
            </w:r>
            <w:r>
              <w:rPr>
                <w:rFonts w:ascii="Calibri" w:cs="Calibri" w:eastAsia="Calibri" w:hAnsi="Calibri"/>
                <w:color w:val="22303C"/>
                <w:sz w:val="15"/>
                <w:szCs w:val="15"/>
              </w:rPr>
              <w:t xml:space="preserve">; token exchange with </w:t>
            </w:r>
            <w:r>
              <w:rPr>
                <w:rFonts w:ascii="Consolas" w:cs="Consolas" w:eastAsia="Consolas" w:hAnsi="Consolas"/>
                <w:color w:val="12293F"/>
                <w:sz w:val="14"/>
                <w:szCs w:val="14"/>
              </w:rPr>
              <w:t xml:space="preserve">act</w:t>
            </w:r>
            <w:r>
              <w:rPr>
                <w:rFonts w:ascii="Calibri" w:cs="Calibri" w:eastAsia="Calibri" w:hAnsi="Calibri"/>
                <w:color w:val="22303C"/>
                <w:sz w:val="15"/>
                <w:szCs w:val="15"/>
              </w:rPr>
              <w:t xml:space="preserve">; no ambient internal authority</w:t>
            </w:r>
          </w:p>
        </w:tc>
        <w:tc>
          <w:tcPr>
            <w:tcW w:type="dxa" w:w="1814"/>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Low</w:t>
            </w:r>
          </w:p>
        </w:tc>
      </w:tr>
      <w:tr>
        <w:tc>
          <w:tcPr>
            <w:tcW w:type="dxa" w:w="2016"/>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Data harvesting</w:t>
            </w:r>
          </w:p>
        </w:tc>
        <w:tc>
          <w:tcPr>
            <w:tcW w:type="dxa" w:w="2218"/>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Systematic reads under legitimate authority</w:t>
            </w:r>
          </w:p>
        </w:tc>
        <w:tc>
          <w:tcPr>
            <w:tcW w:type="dxa" w:w="4032"/>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Field minimisation; purpose binding; per-purpose egress budgets; aggregation floors; canaries; pattern baselines</w:t>
            </w:r>
          </w:p>
        </w:tc>
        <w:tc>
          <w:tcPr>
            <w:tcW w:type="dxa" w:w="1814"/>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Medium — detectable and rate-bounded rather than prevented</w:t>
            </w:r>
          </w:p>
        </w:tc>
      </w:tr>
      <w:tr>
        <w:tc>
          <w:tcPr>
            <w:tcW w:type="dxa" w:w="2016"/>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Enumeration of capability or accounts</w:t>
            </w:r>
          </w:p>
        </w:tc>
        <w:tc>
          <w:tcPr>
            <w:tcW w:type="dxa" w:w="2218"/>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Probing the catalogue or account references</w:t>
            </w:r>
          </w:p>
        </w:tc>
        <w:tc>
          <w:tcPr>
            <w:tcW w:type="dxa" w:w="4032"/>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Envelope-filtered search results; opaque non-sequential per-grant tokens; uniform error semantics</w:t>
            </w:r>
          </w:p>
        </w:tc>
        <w:tc>
          <w:tcPr>
            <w:tcW w:type="dxa" w:w="1814"/>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Low</w:t>
            </w:r>
          </w:p>
        </w:tc>
      </w:tr>
      <w:tr>
        <w:tc>
          <w:tcPr>
            <w:tcW w:type="dxa" w:w="2016"/>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Denial of service or cost attack</w:t>
            </w:r>
          </w:p>
        </w:tc>
        <w:tc>
          <w:tcPr>
            <w:tcW w:type="dxa" w:w="2218"/>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High-volume or expensive request patterns</w:t>
            </w:r>
          </w:p>
        </w:tc>
        <w:tc>
          <w:tcPr>
            <w:tcW w:type="dxa" w:w="4032"/>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Edge quotas; concurrency caps; egress budgets; server-side composition; circuit breakers; reject-if-unattributable</w:t>
            </w:r>
          </w:p>
        </w:tc>
        <w:tc>
          <w:tcPr>
            <w:tcW w:type="dxa" w:w="1814"/>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Low</w:t>
            </w:r>
          </w:p>
        </w:tc>
      </w:tr>
      <w:tr>
        <w:tc>
          <w:tcPr>
            <w:tcW w:type="dxa" w:w="2016"/>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Insider misuse of the exchange</w:t>
            </w:r>
          </w:p>
        </w:tc>
        <w:tc>
          <w:tcPr>
            <w:tcW w:type="dxa" w:w="2218"/>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Privileged internal access to mandates or policy</w:t>
            </w:r>
          </w:p>
        </w:tc>
        <w:tc>
          <w:tcPr>
            <w:tcW w:type="dxa" w:w="4032"/>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HSM-held signing keys; segregation of duties; hash-chained WORM ledger; independent surveillance of policy changes</w:t>
            </w:r>
          </w:p>
        </w:tc>
        <w:tc>
          <w:tcPr>
            <w:tcW w:type="dxa" w:w="1814"/>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Low — detectable after the fact by chain verification</w:t>
            </w:r>
          </w:p>
        </w:tc>
      </w:tr>
      <w:tr>
        <w:tc>
          <w:tcPr>
            <w:tcW w:type="dxa" w:w="2016"/>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Correlated herd behaviour</w:t>
            </w:r>
          </w:p>
        </w:tc>
        <w:tc>
          <w:tcPr>
            <w:tcW w:type="dxa" w:w="2218"/>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Many customers, one popular agent or prompt</w:t>
            </w:r>
          </w:p>
        </w:tc>
        <w:tc>
          <w:tcPr>
            <w:tcW w:type="dxa" w:w="4032"/>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Cross-account surveillance on agent-originated flow; per-symbol and per-runtime breakers; kill switches</w:t>
            </w:r>
          </w:p>
        </w:tc>
        <w:tc>
          <w:tcPr>
            <w:tcW w:type="dxa" w:w="1814"/>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Medium — novel; requires active monitoring</w:t>
            </w:r>
          </w:p>
        </w:tc>
      </w:tr>
    </w:tbl>
    <w:p>
      <w:r>
        <w:br w:type="page"/>
      </w:r>
    </w:p>
    <w:p>
      <w:pPr>
        <w:pStyle w:val="Heading1"/>
      </w:pPr>
      <w:r>
        <w:rPr>
          <w:rFonts w:ascii="Calibri Light" w:cs="Calibri Light" w:eastAsia="Calibri Light" w:hAnsi="Calibri Light"/>
          <w:color w:val="1B3A5C"/>
          <w:sz w:val="28"/>
          <w:szCs w:val="28"/>
        </w:rPr>
        <w:t xml:space="preserve">Appendix B — Schema and Code Registry</w:t>
      </w:r>
    </w:p>
    <w:p>
      <w:pPr>
        <w:pStyle w:val="Heading2"/>
      </w:pPr>
      <w:r>
        <w:rPr>
          <w:rFonts w:ascii="Calibri Light" w:cs="Calibri Light" w:eastAsia="Calibri Light" w:hAnsi="Calibri Light"/>
          <w:color w:val="1B3A5C"/>
          <w:sz w:val="23"/>
          <w:szCs w:val="23"/>
        </w:rPr>
        <w:t xml:space="preserve">B.1  Intent envelope (abbreviated JSON Schema)</w:t>
      </w:r>
    </w:p>
    <w:p>
      <w:pPr>
        <w:keepLines/>
        <w:pBdr>
          <w:top w:val="single" w:color="C7D0DA" w:sz="2" w:space="2"/>
          <w:left w:val="single" w:color="1E7B96" w:sz="12" w:space="6"/>
        </w:pBdr>
        <w:shd w:fill="F3F5F8" w:color="auto" w:val="clear"/>
        <w:spacing w:after="0" w:before="90" w:line="208"/>
        <w:ind w:left="130" w:right="90"/>
        <w:jc w:val="left"/>
      </w:pPr>
      <w:r>
        <w:rPr>
          <w:rFonts w:ascii="Consolas" w:cs="Consolas" w:eastAsia="Consolas" w:hAnsi="Consolas"/>
          <w:color w:val="12293F"/>
          <w:sz w:val="15"/>
          <w:szCs w:val="15"/>
        </w:rPr>
        <w:t xml:space="preserve">{ "$id": "https://agents.example-broker.com/schemas/intent.envelope.v1.json",</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  "$schema": "https://json-schema.org/draft/2020-12/schema",</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  "type": "object", "additionalProperties": false,</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  "required": ["intent_type","account_ref","purpose","parameters"],</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  "properties": {</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    "intent_type": { "type":"string", "pattern":"^[a-z]+(\\.[a-z_]+)+\\.v[0-9]+$" },</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    "account_ref": { "type":"string", "pattern":"^acct_tok_[A-Za-z0-9]{4,32}$" },</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    "purpose":     { "enum": ["user_directed_trade","user_directed_automation",</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                                "risk_reduction","tax_management"] },</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    "actor": { "type":"object", "additionalProperties": false,</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      "properties": { "agent_id": {"type":"string"}, "runtime": {"type":"string"},</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                      "model": {"type":"string"}, "session_ref": {"type":"string"} } },</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    "parameters": { "$comment": "validated against the schema named by intent_type" },</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    "constraints": { "type":"object", "properties": {</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        "not_after": {"type":"string","format":"date-time"},</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        "max_slippage_bps": {"type":"integer","minimum":0,"maximum":500} } },</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    "provenance": { "type":"object", "description":</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        "RECORDED, NEVER TRUSTED. Must not be read by any control.",</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      "properties": { "user_utterance_digest": {"type":"string"},</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                      "agent_rationale": {"type":"string","maxLength":2000} } } },</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  "$defs": { "money": { "type":"object", "required":["currency","amount"],</w:t>
      </w:r>
    </w:p>
    <w:p>
      <w:pPr>
        <w:keepLines/>
        <w:pBdr>
          <w:left w:val="single" w:color="1E7B96" w:sz="12" w:space="6"/>
        </w:pBdr>
        <w:shd w:fill="F3F5F8" w:color="auto" w:val="clear"/>
        <w:spacing w:after="0" w:before="0" w:line="208"/>
        <w:ind w:left="130" w:right="90"/>
        <w:jc w:val="left"/>
      </w:pPr>
      <w:r>
        <w:rPr>
          <w:rFonts w:ascii="Consolas" w:cs="Consolas" w:eastAsia="Consolas" w:hAnsi="Consolas"/>
          <w:color w:val="12293F"/>
          <w:sz w:val="15"/>
          <w:szCs w:val="15"/>
        </w:rPr>
        <w:t xml:space="preserve">      "properties": { "currency": {"const":"USD"},</w:t>
      </w:r>
    </w:p>
    <w:p>
      <w:pPr>
        <w:keepLines/>
        <w:pBdr>
          <w:bottom w:val="single" w:color="C7D0DA" w:sz="2" w:space="2"/>
          <w:left w:val="single" w:color="1E7B96" w:sz="12" w:space="6"/>
        </w:pBdr>
        <w:shd w:fill="F3F5F8" w:color="auto" w:val="clear"/>
        <w:spacing w:after="150" w:before="0" w:line="208"/>
        <w:ind w:left="130" w:right="90"/>
        <w:jc w:val="left"/>
      </w:pPr>
      <w:r>
        <w:rPr>
          <w:rFonts w:ascii="Consolas" w:cs="Consolas" w:eastAsia="Consolas" w:hAnsi="Consolas"/>
          <w:color w:val="12293F"/>
          <w:sz w:val="15"/>
          <w:szCs w:val="15"/>
        </w:rPr>
        <w:t xml:space="preserve">                      "amount": {"type":"number","exclusiveMinimum":0} } } } }</w:t>
      </w:r>
    </w:p>
    <w:p>
      <w:pPr>
        <w:pStyle w:val="Heading2"/>
      </w:pPr>
      <w:r>
        <w:rPr>
          <w:rFonts w:ascii="Calibri Light" w:cs="Calibri Light" w:eastAsia="Calibri Light" w:hAnsi="Calibri Light"/>
          <w:color w:val="1B3A5C"/>
          <w:sz w:val="23"/>
          <w:szCs w:val="23"/>
        </w:rPr>
        <w:t xml:space="preserve">B.2  Violation code registry (extract)</w:t>
      </w:r>
    </w:p>
    <w:tbl>
      <w:tblPr>
        <w:tblW w:type="dxa" w:w="10080"/>
        <w:tblBorders>
          <w:top w:val="single" w:color="1B3A5C" w:sz="4"/>
          <w:left w:val="none" w:color="FFFFFF" w:sz="0"/>
          <w:bottom w:val="single" w:color="1B3A5C" w:sz="4"/>
          <w:right w:val="none" w:color="FFFFFF" w:sz="0"/>
          <w:insideH w:val="single" w:color="C7D0DA" w:sz="2"/>
          <w:insideV w:val="single" w:color="C7D0DA" w:sz="2"/>
        </w:tblBorders>
      </w:tblPr>
      <w:tblGrid>
        <w:gridCol w:w="2621"/>
        <w:gridCol w:w="806"/>
        <w:gridCol w:w="1814"/>
        <w:gridCol w:w="4839"/>
      </w:tblGrid>
      <w:tr>
        <w:trPr>
          <w:tblHeader/>
        </w:trPr>
        <w:tc>
          <w:tcPr>
            <w:tcW w:type="dxa" w:w="2621"/>
            <w:shd w:fill="1B3A5C"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FFFFFF"/>
                <w:sz w:val="15"/>
                <w:szCs w:val="15"/>
              </w:rPr>
              <w:t xml:space="preserve">Code</w:t>
            </w:r>
          </w:p>
        </w:tc>
        <w:tc>
          <w:tcPr>
            <w:tcW w:type="dxa" w:w="806"/>
            <w:shd w:fill="1B3A5C"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FFFFFF"/>
                <w:sz w:val="15"/>
                <w:szCs w:val="15"/>
              </w:rPr>
              <w:t xml:space="preserve">HTTP</w:t>
            </w:r>
          </w:p>
        </w:tc>
        <w:tc>
          <w:tcPr>
            <w:tcW w:type="dxa" w:w="1814"/>
            <w:shd w:fill="1B3A5C"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FFFFFF"/>
                <w:sz w:val="15"/>
                <w:szCs w:val="15"/>
              </w:rPr>
              <w:t xml:space="preserve">Class</w:t>
            </w:r>
          </w:p>
        </w:tc>
        <w:tc>
          <w:tcPr>
            <w:tcW w:type="dxa" w:w="4839"/>
            <w:shd w:fill="1B3A5C"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FFFFFF"/>
                <w:sz w:val="15"/>
                <w:szCs w:val="15"/>
              </w:rPr>
              <w:t xml:space="preserve">Agent-actionable remediation</w:t>
            </w:r>
          </w:p>
        </w:tc>
      </w:tr>
      <w:tr>
        <w:tc>
          <w:tcPr>
            <w:tcW w:type="dxa" w:w="2621"/>
            <w:tcMar>
              <w:top w:type="dxa" w:w="60"/>
              <w:left w:type="dxa" w:w="100"/>
              <w:bottom w:type="dxa" w:w="60"/>
              <w:right w:type="dxa" w:w="100"/>
            </w:tcMar>
            <w:vAlign w:val="top"/>
          </w:tcPr>
          <w:p>
            <w:pPr>
              <w:spacing w:after="40" w:before="40" w:line="240"/>
              <w:jc w:val="left"/>
            </w:pPr>
            <w:r>
              <w:rPr>
                <w:rFonts w:ascii="Consolas" w:cs="Consolas" w:eastAsia="Consolas" w:hAnsi="Consolas"/>
                <w:color w:val="12293F"/>
                <w:sz w:val="14"/>
                <w:szCs w:val="14"/>
              </w:rPr>
              <w:t xml:space="preserve">OUTSIDE_GRANT</w:t>
            </w:r>
          </w:p>
        </w:tc>
        <w:tc>
          <w:tcPr>
            <w:tcW w:type="dxa" w:w="806"/>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422</w:t>
            </w:r>
          </w:p>
        </w:tc>
        <w:tc>
          <w:tcPr>
            <w:tcW w:type="dxa" w:w="1814"/>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Authority</w:t>
            </w:r>
          </w:p>
        </w:tc>
        <w:tc>
          <w:tcPr>
            <w:tcW w:type="dxa" w:w="4839"/>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Ceiling or permitted set is returned; propose a compliant intent, or ask the customer to widen the grant in the provider’s app.</w:t>
            </w:r>
          </w:p>
        </w:tc>
      </w:tr>
      <w:tr>
        <w:tc>
          <w:tcPr>
            <w:tcW w:type="dxa" w:w="2621"/>
            <w:shd w:fill="F4F7FA" w:color="auto" w:val="clear"/>
            <w:tcMar>
              <w:top w:type="dxa" w:w="60"/>
              <w:left w:type="dxa" w:w="100"/>
              <w:bottom w:type="dxa" w:w="60"/>
              <w:right w:type="dxa" w:w="100"/>
            </w:tcMar>
            <w:vAlign w:val="top"/>
          </w:tcPr>
          <w:p>
            <w:pPr>
              <w:spacing w:after="40" w:before="40" w:line="240"/>
              <w:jc w:val="left"/>
            </w:pPr>
            <w:r>
              <w:rPr>
                <w:rFonts w:ascii="Consolas" w:cs="Consolas" w:eastAsia="Consolas" w:hAnsi="Consolas"/>
                <w:color w:val="12293F"/>
                <w:sz w:val="14"/>
                <w:szCs w:val="14"/>
              </w:rPr>
              <w:t xml:space="preserve">ACTION_EXCLUDED</w:t>
            </w:r>
          </w:p>
        </w:tc>
        <w:tc>
          <w:tcPr>
            <w:tcW w:type="dxa" w:w="806"/>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403</w:t>
            </w:r>
          </w:p>
        </w:tc>
        <w:tc>
          <w:tcPr>
            <w:tcW w:type="dxa" w:w="1814"/>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Authority</w:t>
            </w:r>
          </w:p>
        </w:tc>
        <w:tc>
          <w:tcPr>
            <w:tcW w:type="dxa" w:w="4839"/>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None. The action is denied at the authorisation server. Do not retry.</w:t>
            </w:r>
          </w:p>
        </w:tc>
      </w:tr>
      <w:tr>
        <w:tc>
          <w:tcPr>
            <w:tcW w:type="dxa" w:w="2621"/>
            <w:tcMar>
              <w:top w:type="dxa" w:w="60"/>
              <w:left w:type="dxa" w:w="100"/>
              <w:bottom w:type="dxa" w:w="60"/>
              <w:right w:type="dxa" w:w="100"/>
            </w:tcMar>
            <w:vAlign w:val="top"/>
          </w:tcPr>
          <w:p>
            <w:pPr>
              <w:spacing w:after="40" w:before="40" w:line="240"/>
              <w:jc w:val="left"/>
            </w:pPr>
            <w:r>
              <w:rPr>
                <w:rFonts w:ascii="Consolas" w:cs="Consolas" w:eastAsia="Consolas" w:hAnsi="Consolas"/>
                <w:color w:val="12293F"/>
                <w:sz w:val="14"/>
                <w:szCs w:val="14"/>
              </w:rPr>
              <w:t xml:space="preserve">BUYING_POWER_EXCEEDED</w:t>
            </w:r>
          </w:p>
        </w:tc>
        <w:tc>
          <w:tcPr>
            <w:tcW w:type="dxa" w:w="806"/>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422</w:t>
            </w:r>
          </w:p>
        </w:tc>
        <w:tc>
          <w:tcPr>
            <w:tcW w:type="dxa" w:w="1814"/>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Financial</w:t>
            </w:r>
          </w:p>
        </w:tc>
        <w:tc>
          <w:tcPr>
            <w:tcW w:type="dxa" w:w="4839"/>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Available amount is returned; reduce notional or wait for settlement.</w:t>
            </w:r>
          </w:p>
        </w:tc>
      </w:tr>
      <w:tr>
        <w:tc>
          <w:tcPr>
            <w:tcW w:type="dxa" w:w="2621"/>
            <w:shd w:fill="F4F7FA" w:color="auto" w:val="clear"/>
            <w:tcMar>
              <w:top w:type="dxa" w:w="60"/>
              <w:left w:type="dxa" w:w="100"/>
              <w:bottom w:type="dxa" w:w="60"/>
              <w:right w:type="dxa" w:w="100"/>
            </w:tcMar>
            <w:vAlign w:val="top"/>
          </w:tcPr>
          <w:p>
            <w:pPr>
              <w:spacing w:after="40" w:before="40" w:line="240"/>
              <w:jc w:val="left"/>
            </w:pPr>
            <w:r>
              <w:rPr>
                <w:rFonts w:ascii="Consolas" w:cs="Consolas" w:eastAsia="Consolas" w:hAnsi="Consolas"/>
                <w:color w:val="12293F"/>
                <w:sz w:val="14"/>
                <w:szCs w:val="14"/>
              </w:rPr>
              <w:t xml:space="preserve">ORDER_SIZE_LIMIT</w:t>
            </w:r>
          </w:p>
        </w:tc>
        <w:tc>
          <w:tcPr>
            <w:tcW w:type="dxa" w:w="806"/>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422</w:t>
            </w:r>
          </w:p>
        </w:tc>
        <w:tc>
          <w:tcPr>
            <w:tcW w:type="dxa" w:w="1814"/>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Financial (15c3-5)</w:t>
            </w:r>
          </w:p>
        </w:tc>
        <w:tc>
          <w:tcPr>
            <w:tcW w:type="dxa" w:w="4839"/>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Per-order ceiling is returned; split across days only if the day envelope allows.</w:t>
            </w:r>
          </w:p>
        </w:tc>
      </w:tr>
      <w:tr>
        <w:tc>
          <w:tcPr>
            <w:tcW w:type="dxa" w:w="2621"/>
            <w:tcMar>
              <w:top w:type="dxa" w:w="60"/>
              <w:left w:type="dxa" w:w="100"/>
              <w:bottom w:type="dxa" w:w="60"/>
              <w:right w:type="dxa" w:w="100"/>
            </w:tcMar>
            <w:vAlign w:val="top"/>
          </w:tcPr>
          <w:p>
            <w:pPr>
              <w:spacing w:after="40" w:before="40" w:line="240"/>
              <w:jc w:val="left"/>
            </w:pPr>
            <w:r>
              <w:rPr>
                <w:rFonts w:ascii="Consolas" w:cs="Consolas" w:eastAsia="Consolas" w:hAnsi="Consolas"/>
                <w:color w:val="12293F"/>
                <w:sz w:val="14"/>
                <w:szCs w:val="14"/>
              </w:rPr>
              <w:t xml:space="preserve">CREDIT_THRESHOLD</w:t>
            </w:r>
          </w:p>
        </w:tc>
        <w:tc>
          <w:tcPr>
            <w:tcW w:type="dxa" w:w="806"/>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422</w:t>
            </w:r>
          </w:p>
        </w:tc>
        <w:tc>
          <w:tcPr>
            <w:tcW w:type="dxa" w:w="1814"/>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Financial (15c3-5)</w:t>
            </w:r>
          </w:p>
        </w:tc>
        <w:tc>
          <w:tcPr>
            <w:tcW w:type="dxa" w:w="4839"/>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None disclosed. Escalates to a human.</w:t>
            </w:r>
          </w:p>
        </w:tc>
      </w:tr>
      <w:tr>
        <w:tc>
          <w:tcPr>
            <w:tcW w:type="dxa" w:w="2621"/>
            <w:shd w:fill="F4F7FA" w:color="auto" w:val="clear"/>
            <w:tcMar>
              <w:top w:type="dxa" w:w="60"/>
              <w:left w:type="dxa" w:w="100"/>
              <w:bottom w:type="dxa" w:w="60"/>
              <w:right w:type="dxa" w:w="100"/>
            </w:tcMar>
            <w:vAlign w:val="top"/>
          </w:tcPr>
          <w:p>
            <w:pPr>
              <w:spacing w:after="40" w:before="40" w:line="240"/>
              <w:jc w:val="left"/>
            </w:pPr>
            <w:r>
              <w:rPr>
                <w:rFonts w:ascii="Consolas" w:cs="Consolas" w:eastAsia="Consolas" w:hAnsi="Consolas"/>
                <w:color w:val="12293F"/>
                <w:sz w:val="14"/>
                <w:szCs w:val="14"/>
              </w:rPr>
              <w:t xml:space="preserve">PRICE_BAND</w:t>
            </w:r>
          </w:p>
        </w:tc>
        <w:tc>
          <w:tcPr>
            <w:tcW w:type="dxa" w:w="806"/>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422</w:t>
            </w:r>
          </w:p>
        </w:tc>
        <w:tc>
          <w:tcPr>
            <w:tcW w:type="dxa" w:w="1814"/>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Erroneous order</w:t>
            </w:r>
          </w:p>
        </w:tc>
        <w:tc>
          <w:tcPr>
            <w:tcW w:type="dxa" w:w="4839"/>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Band is returned relative to NBBO; re-price.</w:t>
            </w:r>
          </w:p>
        </w:tc>
      </w:tr>
      <w:tr>
        <w:tc>
          <w:tcPr>
            <w:tcW w:type="dxa" w:w="2621"/>
            <w:tcMar>
              <w:top w:type="dxa" w:w="60"/>
              <w:left w:type="dxa" w:w="100"/>
              <w:bottom w:type="dxa" w:w="60"/>
              <w:right w:type="dxa" w:w="100"/>
            </w:tcMar>
            <w:vAlign w:val="top"/>
          </w:tcPr>
          <w:p>
            <w:pPr>
              <w:spacing w:after="40" w:before="40" w:line="240"/>
              <w:jc w:val="left"/>
            </w:pPr>
            <w:r>
              <w:rPr>
                <w:rFonts w:ascii="Consolas" w:cs="Consolas" w:eastAsia="Consolas" w:hAnsi="Consolas"/>
                <w:color w:val="12293F"/>
                <w:sz w:val="14"/>
                <w:szCs w:val="14"/>
              </w:rPr>
              <w:t xml:space="preserve">SIZE_ANOMALY</w:t>
            </w:r>
          </w:p>
        </w:tc>
        <w:tc>
          <w:tcPr>
            <w:tcW w:type="dxa" w:w="806"/>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422</w:t>
            </w:r>
          </w:p>
        </w:tc>
        <w:tc>
          <w:tcPr>
            <w:tcW w:type="dxa" w:w="1814"/>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Erroneous order</w:t>
            </w:r>
          </w:p>
        </w:tc>
        <w:tc>
          <w:tcPr>
            <w:tcW w:type="dxa" w:w="4839"/>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Historical norm is returned; reduce quantity or request step-up approval.</w:t>
            </w:r>
          </w:p>
        </w:tc>
      </w:tr>
      <w:tr>
        <w:tc>
          <w:tcPr>
            <w:tcW w:type="dxa" w:w="2621"/>
            <w:shd w:fill="F4F7FA" w:color="auto" w:val="clear"/>
            <w:tcMar>
              <w:top w:type="dxa" w:w="60"/>
              <w:left w:type="dxa" w:w="100"/>
              <w:bottom w:type="dxa" w:w="60"/>
              <w:right w:type="dxa" w:w="100"/>
            </w:tcMar>
            <w:vAlign w:val="top"/>
          </w:tcPr>
          <w:p>
            <w:pPr>
              <w:spacing w:after="40" w:before="40" w:line="240"/>
              <w:jc w:val="left"/>
            </w:pPr>
            <w:r>
              <w:rPr>
                <w:rFonts w:ascii="Consolas" w:cs="Consolas" w:eastAsia="Consolas" w:hAnsi="Consolas"/>
                <w:color w:val="12293F"/>
                <w:sz w:val="14"/>
                <w:szCs w:val="14"/>
              </w:rPr>
              <w:t xml:space="preserve">RESTRICTED_SYMBOL</w:t>
            </w:r>
          </w:p>
        </w:tc>
        <w:tc>
          <w:tcPr>
            <w:tcW w:type="dxa" w:w="806"/>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422</w:t>
            </w:r>
          </w:p>
        </w:tc>
        <w:tc>
          <w:tcPr>
            <w:tcW w:type="dxa" w:w="1814"/>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Compliance</w:t>
            </w:r>
          </w:p>
        </w:tc>
        <w:tc>
          <w:tcPr>
            <w:tcW w:type="dxa" w:w="4839"/>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No reason disclosed. Do not retry; do not probe with variants.</w:t>
            </w:r>
          </w:p>
        </w:tc>
      </w:tr>
      <w:tr>
        <w:tc>
          <w:tcPr>
            <w:tcW w:type="dxa" w:w="2621"/>
            <w:tcMar>
              <w:top w:type="dxa" w:w="60"/>
              <w:left w:type="dxa" w:w="100"/>
              <w:bottom w:type="dxa" w:w="60"/>
              <w:right w:type="dxa" w:w="100"/>
            </w:tcMar>
            <w:vAlign w:val="top"/>
          </w:tcPr>
          <w:p>
            <w:pPr>
              <w:spacing w:after="40" w:before="40" w:line="240"/>
              <w:jc w:val="left"/>
            </w:pPr>
            <w:r>
              <w:rPr>
                <w:rFonts w:ascii="Consolas" w:cs="Consolas" w:eastAsia="Consolas" w:hAnsi="Consolas"/>
                <w:color w:val="12293F"/>
                <w:sz w:val="14"/>
                <w:szCs w:val="14"/>
              </w:rPr>
              <w:t xml:space="preserve">NOT_PERMITTED_INSTRUMENT</w:t>
            </w:r>
          </w:p>
        </w:tc>
        <w:tc>
          <w:tcPr>
            <w:tcW w:type="dxa" w:w="806"/>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422</w:t>
            </w:r>
          </w:p>
        </w:tc>
        <w:tc>
          <w:tcPr>
            <w:tcW w:type="dxa" w:w="1814"/>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Authority</w:t>
            </w:r>
          </w:p>
        </w:tc>
        <w:tc>
          <w:tcPr>
            <w:tcW w:type="dxa" w:w="4839"/>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Instrument class is outside the grant or the account level.</w:t>
            </w:r>
          </w:p>
        </w:tc>
      </w:tr>
      <w:tr>
        <w:tc>
          <w:tcPr>
            <w:tcW w:type="dxa" w:w="2621"/>
            <w:shd w:fill="F4F7FA" w:color="auto" w:val="clear"/>
            <w:tcMar>
              <w:top w:type="dxa" w:w="60"/>
              <w:left w:type="dxa" w:w="100"/>
              <w:bottom w:type="dxa" w:w="60"/>
              <w:right w:type="dxa" w:w="100"/>
            </w:tcMar>
            <w:vAlign w:val="top"/>
          </w:tcPr>
          <w:p>
            <w:pPr>
              <w:spacing w:after="40" w:before="40" w:line="240"/>
              <w:jc w:val="left"/>
            </w:pPr>
            <w:r>
              <w:rPr>
                <w:rFonts w:ascii="Consolas" w:cs="Consolas" w:eastAsia="Consolas" w:hAnsi="Consolas"/>
                <w:color w:val="12293F"/>
                <w:sz w:val="14"/>
                <w:szCs w:val="14"/>
              </w:rPr>
              <w:t xml:space="preserve">PDT_LIMIT</w:t>
            </w:r>
          </w:p>
        </w:tc>
        <w:tc>
          <w:tcPr>
            <w:tcW w:type="dxa" w:w="806"/>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422</w:t>
            </w:r>
          </w:p>
        </w:tc>
        <w:tc>
          <w:tcPr>
            <w:tcW w:type="dxa" w:w="1814"/>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Regulatory</w:t>
            </w:r>
          </w:p>
        </w:tc>
        <w:tc>
          <w:tcPr>
            <w:tcW w:type="dxa" w:w="4839"/>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Day-trade count returned; defer to the next session.</w:t>
            </w:r>
          </w:p>
        </w:tc>
      </w:tr>
      <w:tr>
        <w:tc>
          <w:tcPr>
            <w:tcW w:type="dxa" w:w="2621"/>
            <w:tcMar>
              <w:top w:type="dxa" w:w="60"/>
              <w:left w:type="dxa" w:w="100"/>
              <w:bottom w:type="dxa" w:w="60"/>
              <w:right w:type="dxa" w:w="100"/>
            </w:tcMar>
            <w:vAlign w:val="top"/>
          </w:tcPr>
          <w:p>
            <w:pPr>
              <w:spacing w:after="40" w:before="40" w:line="240"/>
              <w:jc w:val="left"/>
            </w:pPr>
            <w:r>
              <w:rPr>
                <w:rFonts w:ascii="Consolas" w:cs="Consolas" w:eastAsia="Consolas" w:hAnsi="Consolas"/>
                <w:color w:val="12293F"/>
                <w:sz w:val="14"/>
                <w:szCs w:val="14"/>
              </w:rPr>
              <w:t xml:space="preserve">SUITABILITY_HOLD</w:t>
            </w:r>
          </w:p>
        </w:tc>
        <w:tc>
          <w:tcPr>
            <w:tcW w:type="dxa" w:w="806"/>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422</w:t>
            </w:r>
          </w:p>
        </w:tc>
        <w:tc>
          <w:tcPr>
            <w:tcW w:type="dxa" w:w="1814"/>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Reg BI</w:t>
            </w:r>
          </w:p>
        </w:tc>
        <w:tc>
          <w:tcPr>
            <w:tcW w:type="dxa" w:w="4839"/>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Advisory detail returned; may proceed only via step-up approval.</w:t>
            </w:r>
          </w:p>
        </w:tc>
      </w:tr>
      <w:tr>
        <w:tc>
          <w:tcPr>
            <w:tcW w:type="dxa" w:w="2621"/>
            <w:shd w:fill="F4F7FA" w:color="auto" w:val="clear"/>
            <w:tcMar>
              <w:top w:type="dxa" w:w="60"/>
              <w:left w:type="dxa" w:w="100"/>
              <w:bottom w:type="dxa" w:w="60"/>
              <w:right w:type="dxa" w:w="100"/>
            </w:tcMar>
            <w:vAlign w:val="top"/>
          </w:tcPr>
          <w:p>
            <w:pPr>
              <w:spacing w:after="40" w:before="40" w:line="240"/>
              <w:jc w:val="left"/>
            </w:pPr>
            <w:r>
              <w:rPr>
                <w:rFonts w:ascii="Consolas" w:cs="Consolas" w:eastAsia="Consolas" w:hAnsi="Consolas"/>
                <w:color w:val="12293F"/>
                <w:sz w:val="14"/>
                <w:szCs w:val="14"/>
              </w:rPr>
              <w:t xml:space="preserve">DUPLICATE_INTENT</w:t>
            </w:r>
          </w:p>
        </w:tc>
        <w:tc>
          <w:tcPr>
            <w:tcW w:type="dxa" w:w="806"/>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409</w:t>
            </w:r>
          </w:p>
        </w:tc>
        <w:tc>
          <w:tcPr>
            <w:tcW w:type="dxa" w:w="1814"/>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Integrity</w:t>
            </w:r>
          </w:p>
        </w:tc>
        <w:tc>
          <w:tcPr>
            <w:tcW w:type="dxa" w:w="4839"/>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Prior </w:t>
            </w:r>
            <w:r>
              <w:rPr>
                <w:rFonts w:ascii="Consolas" w:cs="Consolas" w:eastAsia="Consolas" w:hAnsi="Consolas"/>
                <w:color w:val="12293F"/>
                <w:sz w:val="14"/>
                <w:szCs w:val="14"/>
              </w:rPr>
              <w:t xml:space="preserve">intent_id</w:t>
            </w:r>
            <w:r>
              <w:rPr>
                <w:rFonts w:ascii="Calibri" w:cs="Calibri" w:eastAsia="Calibri" w:hAnsi="Calibri"/>
                <w:color w:val="22303C"/>
                <w:sz w:val="15"/>
                <w:szCs w:val="15"/>
              </w:rPr>
              <w:t xml:space="preserve"> returned; do not resubmit.</w:t>
            </w:r>
          </w:p>
        </w:tc>
      </w:tr>
      <w:tr>
        <w:tc>
          <w:tcPr>
            <w:tcW w:type="dxa" w:w="2621"/>
            <w:tcMar>
              <w:top w:type="dxa" w:w="60"/>
              <w:left w:type="dxa" w:w="100"/>
              <w:bottom w:type="dxa" w:w="60"/>
              <w:right w:type="dxa" w:w="100"/>
            </w:tcMar>
            <w:vAlign w:val="top"/>
          </w:tcPr>
          <w:p>
            <w:pPr>
              <w:spacing w:after="40" w:before="40" w:line="240"/>
              <w:jc w:val="left"/>
            </w:pPr>
            <w:r>
              <w:rPr>
                <w:rFonts w:ascii="Consolas" w:cs="Consolas" w:eastAsia="Consolas" w:hAnsi="Consolas"/>
                <w:color w:val="12293F"/>
                <w:sz w:val="14"/>
                <w:szCs w:val="14"/>
              </w:rPr>
              <w:t xml:space="preserve">MANDATE_INTENT_MISMATCH</w:t>
            </w:r>
          </w:p>
        </w:tc>
        <w:tc>
          <w:tcPr>
            <w:tcW w:type="dxa" w:w="806"/>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409</w:t>
            </w:r>
          </w:p>
        </w:tc>
        <w:tc>
          <w:tcPr>
            <w:tcW w:type="dxa" w:w="1814"/>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Security</w:t>
            </w:r>
          </w:p>
        </w:tc>
        <w:tc>
          <w:tcPr>
            <w:tcW w:type="dxa" w:w="4839"/>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None. Logged as a security event.</w:t>
            </w:r>
          </w:p>
        </w:tc>
      </w:tr>
      <w:tr>
        <w:tc>
          <w:tcPr>
            <w:tcW w:type="dxa" w:w="2621"/>
            <w:shd w:fill="F4F7FA" w:color="auto" w:val="clear"/>
            <w:tcMar>
              <w:top w:type="dxa" w:w="60"/>
              <w:left w:type="dxa" w:w="100"/>
              <w:bottom w:type="dxa" w:w="60"/>
              <w:right w:type="dxa" w:w="100"/>
            </w:tcMar>
            <w:vAlign w:val="top"/>
          </w:tcPr>
          <w:p>
            <w:pPr>
              <w:spacing w:after="40" w:before="40" w:line="240"/>
              <w:jc w:val="left"/>
            </w:pPr>
            <w:r>
              <w:rPr>
                <w:rFonts w:ascii="Consolas" w:cs="Consolas" w:eastAsia="Consolas" w:hAnsi="Consolas"/>
                <w:color w:val="12293F"/>
                <w:sz w:val="14"/>
                <w:szCs w:val="14"/>
              </w:rPr>
              <w:t xml:space="preserve">MANDATE_EXPIRED</w:t>
            </w:r>
            <w:r>
              <w:rPr>
                <w:rFonts w:ascii="Calibri" w:cs="Calibri" w:eastAsia="Calibri" w:hAnsi="Calibri"/>
                <w:color w:val="22303C"/>
                <w:sz w:val="15"/>
                <w:szCs w:val="15"/>
              </w:rPr>
              <w:t xml:space="preserve"> / </w:t>
            </w:r>
            <w:r>
              <w:rPr>
                <w:rFonts w:ascii="Consolas" w:cs="Consolas" w:eastAsia="Consolas" w:hAnsi="Consolas"/>
                <w:color w:val="12293F"/>
                <w:sz w:val="14"/>
                <w:szCs w:val="14"/>
              </w:rPr>
              <w:t xml:space="preserve">MANDATE_REVOKED</w:t>
            </w:r>
          </w:p>
        </w:tc>
        <w:tc>
          <w:tcPr>
            <w:tcW w:type="dxa" w:w="806"/>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409</w:t>
            </w:r>
          </w:p>
        </w:tc>
        <w:tc>
          <w:tcPr>
            <w:tcW w:type="dxa" w:w="1814"/>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Authority</w:t>
            </w:r>
          </w:p>
        </w:tc>
        <w:tc>
          <w:tcPr>
            <w:tcW w:type="dxa" w:w="4839"/>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Request a new approval.</w:t>
            </w:r>
          </w:p>
        </w:tc>
      </w:tr>
      <w:tr>
        <w:tc>
          <w:tcPr>
            <w:tcW w:type="dxa" w:w="2621"/>
            <w:tcMar>
              <w:top w:type="dxa" w:w="60"/>
              <w:left w:type="dxa" w:w="100"/>
              <w:bottom w:type="dxa" w:w="60"/>
              <w:right w:type="dxa" w:w="100"/>
            </w:tcMar>
            <w:vAlign w:val="top"/>
          </w:tcPr>
          <w:p>
            <w:pPr>
              <w:spacing w:after="40" w:before="40" w:line="240"/>
              <w:jc w:val="left"/>
            </w:pPr>
            <w:r>
              <w:rPr>
                <w:rFonts w:ascii="Consolas" w:cs="Consolas" w:eastAsia="Consolas" w:hAnsi="Consolas"/>
                <w:color w:val="12293F"/>
                <w:sz w:val="14"/>
                <w:szCs w:val="14"/>
              </w:rPr>
              <w:t xml:space="preserve">INTENT_RATE_EXCEEDED</w:t>
            </w:r>
          </w:p>
        </w:tc>
        <w:tc>
          <w:tcPr>
            <w:tcW w:type="dxa" w:w="806"/>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429</w:t>
            </w:r>
          </w:p>
        </w:tc>
        <w:tc>
          <w:tcPr>
            <w:tcW w:type="dxa" w:w="1814"/>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Quota</w:t>
            </w:r>
          </w:p>
        </w:tc>
        <w:tc>
          <w:tcPr>
            <w:tcW w:type="dxa" w:w="4839"/>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Reset time returned; back off.</w:t>
            </w:r>
          </w:p>
        </w:tc>
      </w:tr>
      <w:tr>
        <w:tc>
          <w:tcPr>
            <w:tcW w:type="dxa" w:w="2621"/>
            <w:shd w:fill="F4F7FA" w:color="auto" w:val="clear"/>
            <w:tcMar>
              <w:top w:type="dxa" w:w="60"/>
              <w:left w:type="dxa" w:w="100"/>
              <w:bottom w:type="dxa" w:w="60"/>
              <w:right w:type="dxa" w:w="100"/>
            </w:tcMar>
            <w:vAlign w:val="top"/>
          </w:tcPr>
          <w:p>
            <w:pPr>
              <w:spacing w:after="40" w:before="40" w:line="240"/>
              <w:jc w:val="left"/>
            </w:pPr>
            <w:r>
              <w:rPr>
                <w:rFonts w:ascii="Consolas" w:cs="Consolas" w:eastAsia="Consolas" w:hAnsi="Consolas"/>
                <w:color w:val="12293F"/>
                <w:sz w:val="14"/>
                <w:szCs w:val="14"/>
              </w:rPr>
              <w:t xml:space="preserve">EGRESS_BUDGET_EXCEEDED</w:t>
            </w:r>
          </w:p>
        </w:tc>
        <w:tc>
          <w:tcPr>
            <w:tcW w:type="dxa" w:w="806"/>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429</w:t>
            </w:r>
          </w:p>
        </w:tc>
        <w:tc>
          <w:tcPr>
            <w:tcW w:type="dxa" w:w="1814"/>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Quota</w:t>
            </w:r>
          </w:p>
        </w:tc>
        <w:tc>
          <w:tcPr>
            <w:tcW w:type="dxa" w:w="4839"/>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Reset time returned; narrow the field set or the purpose.</w:t>
            </w:r>
          </w:p>
        </w:tc>
      </w:tr>
      <w:tr>
        <w:tc>
          <w:tcPr>
            <w:tcW w:type="dxa" w:w="2621"/>
            <w:tcMar>
              <w:top w:type="dxa" w:w="60"/>
              <w:left w:type="dxa" w:w="100"/>
              <w:bottom w:type="dxa" w:w="60"/>
              <w:right w:type="dxa" w:w="100"/>
            </w:tcMar>
            <w:vAlign w:val="top"/>
          </w:tcPr>
          <w:p>
            <w:pPr>
              <w:spacing w:after="40" w:before="40" w:line="240"/>
              <w:jc w:val="left"/>
            </w:pPr>
            <w:r>
              <w:rPr>
                <w:rFonts w:ascii="Consolas" w:cs="Consolas" w:eastAsia="Consolas" w:hAnsi="Consolas"/>
                <w:color w:val="12293F"/>
                <w:sz w:val="14"/>
                <w:szCs w:val="14"/>
              </w:rPr>
              <w:t xml:space="preserve">AGENTIC_AUTHORITY_SUSPENDED</w:t>
            </w:r>
          </w:p>
        </w:tc>
        <w:tc>
          <w:tcPr>
            <w:tcW w:type="dxa" w:w="806"/>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409</w:t>
            </w:r>
          </w:p>
        </w:tc>
        <w:tc>
          <w:tcPr>
            <w:tcW w:type="dxa" w:w="1814"/>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Kill switch</w:t>
            </w:r>
          </w:p>
        </w:tc>
        <w:tc>
          <w:tcPr>
            <w:tcW w:type="dxa" w:w="4839"/>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None. Stop and inform the customer.</w:t>
            </w:r>
          </w:p>
        </w:tc>
      </w:tr>
      <w:tr>
        <w:tc>
          <w:tcPr>
            <w:tcW w:type="dxa" w:w="2621"/>
            <w:shd w:fill="F4F7FA" w:color="auto" w:val="clear"/>
            <w:tcMar>
              <w:top w:type="dxa" w:w="60"/>
              <w:left w:type="dxa" w:w="100"/>
              <w:bottom w:type="dxa" w:w="60"/>
              <w:right w:type="dxa" w:w="100"/>
            </w:tcMar>
            <w:vAlign w:val="top"/>
          </w:tcPr>
          <w:p>
            <w:pPr>
              <w:spacing w:after="40" w:before="40" w:line="240"/>
              <w:jc w:val="left"/>
            </w:pPr>
            <w:r>
              <w:rPr>
                <w:rFonts w:ascii="Consolas" w:cs="Consolas" w:eastAsia="Consolas" w:hAnsi="Consolas"/>
                <w:color w:val="12293F"/>
                <w:sz w:val="14"/>
                <w:szCs w:val="14"/>
              </w:rPr>
              <w:t xml:space="preserve">MARKET_CLOSED</w:t>
            </w:r>
            <w:r>
              <w:rPr>
                <w:rFonts w:ascii="Calibri" w:cs="Calibri" w:eastAsia="Calibri" w:hAnsi="Calibri"/>
                <w:color w:val="22303C"/>
                <w:sz w:val="15"/>
                <w:szCs w:val="15"/>
              </w:rPr>
              <w:t xml:space="preserve"> / </w:t>
            </w:r>
            <w:r>
              <w:rPr>
                <w:rFonts w:ascii="Consolas" w:cs="Consolas" w:eastAsia="Consolas" w:hAnsi="Consolas"/>
                <w:color w:val="12293F"/>
                <w:sz w:val="14"/>
                <w:szCs w:val="14"/>
              </w:rPr>
              <w:t xml:space="preserve">SYMBOL_HALTED</w:t>
            </w:r>
          </w:p>
        </w:tc>
        <w:tc>
          <w:tcPr>
            <w:tcW w:type="dxa" w:w="806"/>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422</w:t>
            </w:r>
          </w:p>
        </w:tc>
        <w:tc>
          <w:tcPr>
            <w:tcW w:type="dxa" w:w="1814"/>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Market state</w:t>
            </w:r>
          </w:p>
        </w:tc>
        <w:tc>
          <w:tcPr>
            <w:tcW w:type="dxa" w:w="4839"/>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5"/>
                <w:szCs w:val="15"/>
              </w:rPr>
              <w:t xml:space="preserve">Resume time if known; queue only if the intent type permits.</w:t>
            </w:r>
          </w:p>
        </w:tc>
      </w:tr>
    </w:tbl>
    <w:p>
      <w:r>
        <w:br w:type="page"/>
      </w:r>
    </w:p>
    <w:p>
      <w:pPr>
        <w:pStyle w:val="Heading1"/>
      </w:pPr>
      <w:r>
        <w:rPr>
          <w:rFonts w:ascii="Calibri Light" w:cs="Calibri Light" w:eastAsia="Calibri Light" w:hAnsi="Calibri Light"/>
          <w:color w:val="1B3A5C"/>
          <w:sz w:val="28"/>
          <w:szCs w:val="28"/>
        </w:rPr>
        <w:t xml:space="preserve">Appendix C — Regulatory Control Mapping</w:t>
      </w:r>
    </w:p>
    <w:tbl>
      <w:tblPr>
        <w:tblW w:type="dxa" w:w="10080"/>
        <w:tblBorders>
          <w:top w:val="single" w:color="1B3A5C" w:sz="4"/>
          <w:left w:val="none" w:color="FFFFFF" w:sz="0"/>
          <w:bottom w:val="single" w:color="1B3A5C" w:sz="4"/>
          <w:right w:val="none" w:color="FFFFFF" w:sz="0"/>
          <w:insideH w:val="single" w:color="C7D0DA" w:sz="2"/>
          <w:insideV w:val="single" w:color="C7D0DA" w:sz="2"/>
        </w:tblBorders>
      </w:tblPr>
      <w:tblGrid>
        <w:gridCol w:w="2621"/>
        <w:gridCol w:w="4234"/>
        <w:gridCol w:w="3225"/>
      </w:tblGrid>
      <w:tr>
        <w:trPr>
          <w:tblHeader/>
        </w:trPr>
        <w:tc>
          <w:tcPr>
            <w:tcW w:type="dxa" w:w="2621"/>
            <w:shd w:fill="1B3A5C"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FFFFFF"/>
                <w:sz w:val="17"/>
                <w:szCs w:val="17"/>
              </w:rPr>
              <w:t xml:space="preserve">Obligation</w:t>
            </w:r>
          </w:p>
        </w:tc>
        <w:tc>
          <w:tcPr>
            <w:tcW w:type="dxa" w:w="4234"/>
            <w:shd w:fill="1B3A5C"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FFFFFF"/>
                <w:sz w:val="17"/>
                <w:szCs w:val="17"/>
              </w:rPr>
              <w:t xml:space="preserve">Architectural control</w:t>
            </w:r>
          </w:p>
        </w:tc>
        <w:tc>
          <w:tcPr>
            <w:tcW w:type="dxa" w:w="3225"/>
            <w:shd w:fill="1B3A5C"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FFFFFF"/>
                <w:sz w:val="17"/>
                <w:szCs w:val="17"/>
              </w:rPr>
              <w:t xml:space="preserve">Evidence produced</w:t>
            </w:r>
          </w:p>
        </w:tc>
      </w:tr>
      <w:tr>
        <w:tc>
          <w:tcPr>
            <w:tcW w:type="dxa" w:w="2621"/>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6"/>
                <w:szCs w:val="16"/>
              </w:rPr>
              <w:t xml:space="preserve">SEA Rule 15c3-5(b)–(c) — pre-trade financial and regulatory risk controls on every order, under the firm’s direct and exclusive control</w:t>
            </w:r>
          </w:p>
        </w:tc>
        <w:tc>
          <w:tcPr>
            <w:tcW w:type="dxa" w:w="4234"/>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6"/>
                <w:szCs w:val="16"/>
              </w:rPr>
              <w:t xml:space="preserve">Deterministic control pipeline in Zone 2 (§5.8.3) plus an independent Zone 3 gate; no control depends on agent behaviour, prompt text or client-side dialogs</w:t>
            </w:r>
          </w:p>
        </w:tc>
        <w:tc>
          <w:tcPr>
            <w:tcW w:type="dxa" w:w="3225"/>
            <w:tcMar>
              <w:top w:type="dxa" w:w="60"/>
              <w:left w:type="dxa" w:w="100"/>
              <w:bottom w:type="dxa" w:w="60"/>
              <w:right w:type="dxa" w:w="100"/>
            </w:tcMar>
            <w:vAlign w:val="top"/>
          </w:tcPr>
          <w:p>
            <w:pPr>
              <w:spacing w:after="40" w:before="40" w:line="240"/>
              <w:jc w:val="left"/>
            </w:pPr>
            <w:r>
              <w:rPr>
                <w:rFonts w:ascii="Consolas" w:cs="Consolas" w:eastAsia="Consolas" w:hAnsi="Consolas"/>
                <w:color w:val="12293F"/>
                <w:sz w:val="14"/>
                <w:szCs w:val="14"/>
              </w:rPr>
              <w:t xml:space="preserve">controls_applied</w:t>
            </w:r>
            <w:r>
              <w:rPr>
                <w:rFonts w:ascii="Calibri" w:cs="Calibri" w:eastAsia="Calibri" w:hAnsi="Calibri"/>
                <w:color w:val="22303C"/>
                <w:sz w:val="16"/>
                <w:szCs w:val="16"/>
              </w:rPr>
              <w:t xml:space="preserve"> and </w:t>
            </w:r>
            <w:r>
              <w:rPr>
                <w:rFonts w:ascii="Consolas" w:cs="Consolas" w:eastAsia="Consolas" w:hAnsi="Consolas"/>
                <w:color w:val="12293F"/>
                <w:sz w:val="14"/>
                <w:szCs w:val="14"/>
              </w:rPr>
              <w:t xml:space="preserve">rule_set_version</w:t>
            </w:r>
            <w:r>
              <w:rPr>
                <w:rFonts w:ascii="Calibri" w:cs="Calibri" w:eastAsia="Calibri" w:hAnsi="Calibri"/>
                <w:color w:val="22303C"/>
                <w:sz w:val="16"/>
                <w:szCs w:val="16"/>
              </w:rPr>
              <w:t xml:space="preserve"> in every receipt; replayable decisions</w:t>
            </w:r>
          </w:p>
        </w:tc>
      </w:tr>
      <w:tr>
        <w:tc>
          <w:tcPr>
            <w:tcW w:type="dxa" w:w="2621"/>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6"/>
                <w:szCs w:val="16"/>
              </w:rPr>
              <w:t xml:space="preserve">SEA Rule 15c3-5(e) — regular review and annual CEO certification</w:t>
            </w:r>
          </w:p>
        </w:tc>
        <w:tc>
          <w:tcPr>
            <w:tcW w:type="dxa" w:w="4234"/>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6"/>
                <w:szCs w:val="16"/>
              </w:rPr>
              <w:t xml:space="preserve">Versioned rule sets, replay harness over historical intents, control-coverage tests in CI</w:t>
            </w:r>
          </w:p>
        </w:tc>
        <w:tc>
          <w:tcPr>
            <w:tcW w:type="dxa" w:w="3225"/>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6"/>
                <w:szCs w:val="16"/>
              </w:rPr>
              <w:t xml:space="preserve">Coverage reports and replay results per rule-set version</w:t>
            </w:r>
          </w:p>
        </w:tc>
      </w:tr>
      <w:tr>
        <w:tc>
          <w:tcPr>
            <w:tcW w:type="dxa" w:w="2621"/>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6"/>
                <w:szCs w:val="16"/>
              </w:rPr>
              <w:t xml:space="preserve">FINRA Rule 3110 — supervision; 2026 guidance on autonomous agents</w:t>
            </w:r>
          </w:p>
        </w:tc>
        <w:tc>
          <w:tcPr>
            <w:tcW w:type="dxa" w:w="4234"/>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6"/>
                <w:szCs w:val="16"/>
              </w:rPr>
              <w:t xml:space="preserve">Agent as a first-class identity with envelope, baseline and independent revocation; behavioural monitoring; kill switches; broker-side evaluation of automation</w:t>
            </w:r>
          </w:p>
        </w:tc>
        <w:tc>
          <w:tcPr>
            <w:tcW w:type="dxa" w:w="3225"/>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6"/>
                <w:szCs w:val="16"/>
              </w:rPr>
              <w:t xml:space="preserve">Per-agent baselines and deviation alerts; stored strategy parameters; kill-switch drill records</w:t>
            </w:r>
          </w:p>
        </w:tc>
      </w:tr>
      <w:tr>
        <w:tc>
          <w:tcPr>
            <w:tcW w:type="dxa" w:w="2621"/>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6"/>
                <w:szCs w:val="16"/>
              </w:rPr>
              <w:t xml:space="preserve">SEC Rule 17a-4 — recordkeeping</w:t>
            </w:r>
          </w:p>
        </w:tc>
        <w:tc>
          <w:tcPr>
            <w:tcW w:type="dxa" w:w="4234"/>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6"/>
                <w:szCs w:val="16"/>
              </w:rPr>
              <w:t xml:space="preserve">Hash-chained receipts on WORM storage; rejected intents retained with the same rigour as accepted ones</w:t>
            </w:r>
          </w:p>
        </w:tc>
        <w:tc>
          <w:tcPr>
            <w:tcW w:type="dxa" w:w="3225"/>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6"/>
                <w:szCs w:val="16"/>
              </w:rPr>
              <w:t xml:space="preserve">Immutable ledger with independently verifiable chain</w:t>
            </w:r>
          </w:p>
        </w:tc>
      </w:tr>
      <w:tr>
        <w:tc>
          <w:tcPr>
            <w:tcW w:type="dxa" w:w="2621"/>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6"/>
                <w:szCs w:val="16"/>
              </w:rPr>
              <w:t xml:space="preserve">CAT reporting</w:t>
            </w:r>
          </w:p>
        </w:tc>
        <w:tc>
          <w:tcPr>
            <w:tcW w:type="dxa" w:w="4234"/>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6"/>
                <w:szCs w:val="16"/>
              </w:rPr>
              <w:t xml:space="preserve">Receipt carries the identifiers needed to join agentic origination to order events</w:t>
            </w:r>
          </w:p>
        </w:tc>
        <w:tc>
          <w:tcPr>
            <w:tcW w:type="dxa" w:w="3225"/>
            <w:tcMar>
              <w:top w:type="dxa" w:w="60"/>
              <w:left w:type="dxa" w:w="100"/>
              <w:bottom w:type="dxa" w:w="60"/>
              <w:right w:type="dxa" w:w="100"/>
            </w:tcMar>
            <w:vAlign w:val="top"/>
          </w:tcPr>
          <w:p>
            <w:pPr>
              <w:spacing w:after="40" w:before="40" w:line="240"/>
              <w:jc w:val="left"/>
            </w:pPr>
            <w:r>
              <w:rPr>
                <w:rFonts w:ascii="Consolas" w:cs="Consolas" w:eastAsia="Consolas" w:hAnsi="Consolas"/>
                <w:color w:val="12293F"/>
                <w:sz w:val="14"/>
                <w:szCs w:val="14"/>
              </w:rPr>
              <w:t xml:space="preserve">cat_reportable</w:t>
            </w:r>
            <w:r>
              <w:rPr>
                <w:rFonts w:ascii="Calibri" w:cs="Calibri" w:eastAsia="Calibri" w:hAnsi="Calibri"/>
                <w:color w:val="22303C"/>
                <w:sz w:val="16"/>
                <w:szCs w:val="16"/>
              </w:rPr>
              <w:t xml:space="preserve"> flag with linkage keys</w:t>
            </w:r>
          </w:p>
        </w:tc>
      </w:tr>
      <w:tr>
        <w:tc>
          <w:tcPr>
            <w:tcW w:type="dxa" w:w="2621"/>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6"/>
                <w:szCs w:val="16"/>
              </w:rPr>
              <w:t xml:space="preserve">Reg BI / suitability</w:t>
            </w:r>
          </w:p>
        </w:tc>
        <w:tc>
          <w:tcPr>
            <w:tcW w:type="dxa" w:w="4234"/>
            <w:shd w:fill="F4F7FA" w:color="auto" w:val="clear"/>
            <w:tcMar>
              <w:top w:type="dxa" w:w="60"/>
              <w:left w:type="dxa" w:w="100"/>
              <w:bottom w:type="dxa" w:w="60"/>
              <w:right w:type="dxa" w:w="100"/>
            </w:tcMar>
            <w:vAlign w:val="top"/>
          </w:tcPr>
          <w:p>
            <w:pPr>
              <w:spacing w:after="40" w:before="40" w:line="240"/>
              <w:jc w:val="left"/>
            </w:pPr>
            <w:r>
              <w:rPr>
                <w:rFonts w:ascii="Consolas" w:cs="Consolas" w:eastAsia="Consolas" w:hAnsi="Consolas"/>
                <w:color w:val="12293F"/>
                <w:sz w:val="14"/>
                <w:szCs w:val="14"/>
              </w:rPr>
              <w:t xml:space="preserve">suitability_reg_bi</w:t>
            </w:r>
            <w:r>
              <w:rPr>
                <w:rFonts w:ascii="Calibri" w:cs="Calibri" w:eastAsia="Calibri" w:hAnsi="Calibri"/>
                <w:color w:val="22303C"/>
                <w:sz w:val="16"/>
                <w:szCs w:val="16"/>
              </w:rPr>
              <w:t xml:space="preserve"> as a named deterministic control; concentration advisories surfaced on the approval screen</w:t>
            </w:r>
          </w:p>
        </w:tc>
        <w:tc>
          <w:tcPr>
            <w:tcW w:type="dxa" w:w="3225"/>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6"/>
                <w:szCs w:val="16"/>
              </w:rPr>
              <w:t xml:space="preserve">Control result plus the exact disclosure text hash the customer saw</w:t>
            </w:r>
          </w:p>
        </w:tc>
      </w:tr>
      <w:tr>
        <w:tc>
          <w:tcPr>
            <w:tcW w:type="dxa" w:w="2621"/>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6"/>
                <w:szCs w:val="16"/>
              </w:rPr>
              <w:t xml:space="preserve">FINRA 2020 and manipulation surveillance</w:t>
            </w:r>
          </w:p>
        </w:tc>
        <w:tc>
          <w:tcPr>
            <w:tcW w:type="dxa" w:w="4234"/>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6"/>
                <w:szCs w:val="16"/>
              </w:rPr>
              <w:t xml:space="preserve">Surveillance over agent-originated flow, including cross-account correlated behaviour and per-symbol breakers</w:t>
            </w:r>
          </w:p>
        </w:tc>
        <w:tc>
          <w:tcPr>
            <w:tcW w:type="dxa" w:w="3225"/>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6"/>
                <w:szCs w:val="16"/>
              </w:rPr>
              <w:t xml:space="preserve">Surveillance event stream keyed by intent hash</w:t>
            </w:r>
          </w:p>
        </w:tc>
      </w:tr>
      <w:tr>
        <w:tc>
          <w:tcPr>
            <w:tcW w:type="dxa" w:w="2621"/>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6"/>
                <w:szCs w:val="16"/>
              </w:rPr>
              <w:t xml:space="preserve">Reg S-P / GLBA safeguards; minimisation</w:t>
            </w:r>
          </w:p>
        </w:tc>
        <w:tc>
          <w:tcPr>
            <w:tcW w:type="dxa" w:w="4234"/>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6"/>
                <w:szCs w:val="16"/>
              </w:rPr>
              <w:t xml:space="preserve">Closed field enumerations, purpose binding, tokenised identifiers, per-purpose egress budgets</w:t>
            </w:r>
          </w:p>
        </w:tc>
        <w:tc>
          <w:tcPr>
            <w:tcW w:type="dxa" w:w="3225"/>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6"/>
                <w:szCs w:val="16"/>
              </w:rPr>
              <w:t xml:space="preserve">Per-request decision log with field set, purpose and row count</w:t>
            </w:r>
          </w:p>
        </w:tc>
      </w:tr>
      <w:tr>
        <w:tc>
          <w:tcPr>
            <w:tcW w:type="dxa" w:w="2621"/>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6"/>
                <w:szCs w:val="16"/>
              </w:rPr>
              <w:t xml:space="preserve">Non-repudiation and dispute handling</w:t>
            </w:r>
          </w:p>
        </w:tc>
        <w:tc>
          <w:tcPr>
            <w:tcW w:type="dxa" w:w="4234"/>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6"/>
                <w:szCs w:val="16"/>
              </w:rPr>
              <w:t xml:space="preserve">Human passkey signature over the canonical simulated effect; authentication method and device recorded</w:t>
            </w:r>
          </w:p>
        </w:tc>
        <w:tc>
          <w:tcPr>
            <w:tcW w:type="dxa" w:w="3225"/>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6"/>
                <w:szCs w:val="16"/>
              </w:rPr>
              <w:t xml:space="preserve">Mandate with </w:t>
            </w:r>
            <w:r>
              <w:rPr>
                <w:rFonts w:ascii="Consolas" w:cs="Consolas" w:eastAsia="Consolas" w:hAnsi="Consolas"/>
                <w:color w:val="12293F"/>
                <w:sz w:val="14"/>
                <w:szCs w:val="14"/>
              </w:rPr>
              <w:t xml:space="preserve">authn</w:t>
            </w:r>
            <w:r>
              <w:rPr>
                <w:rFonts w:ascii="Calibri" w:cs="Calibri" w:eastAsia="Calibri" w:hAnsi="Calibri"/>
                <w:color w:val="22303C"/>
                <w:sz w:val="16"/>
                <w:szCs w:val="16"/>
              </w:rPr>
              <w:t xml:space="preserve"> block and </w:t>
            </w:r>
            <w:r>
              <w:rPr>
                <w:rFonts w:ascii="Consolas" w:cs="Consolas" w:eastAsia="Consolas" w:hAnsi="Consolas"/>
                <w:color w:val="12293F"/>
                <w:sz w:val="14"/>
                <w:szCs w:val="14"/>
              </w:rPr>
              <w:t xml:space="preserve">binding_message_hash</w:t>
            </w:r>
          </w:p>
        </w:tc>
      </w:tr>
    </w:tbl>
    <w:p>
      <w:r>
        <w:br w:type="page"/>
      </w:r>
    </w:p>
    <w:p>
      <w:pPr>
        <w:pStyle w:val="Heading1"/>
      </w:pPr>
      <w:r>
        <w:rPr>
          <w:rFonts w:ascii="Calibri Light" w:cs="Calibri Light" w:eastAsia="Calibri Light" w:hAnsi="Calibri Light"/>
          <w:color w:val="1B3A5C"/>
          <w:sz w:val="28"/>
          <w:szCs w:val="28"/>
        </w:rPr>
        <w:t xml:space="preserve">Appendix D — Glossary</w:t>
      </w:r>
    </w:p>
    <w:tbl>
      <w:tblPr>
        <w:tblW w:type="dxa" w:w="10080"/>
        <w:tblBorders>
          <w:top w:val="single" w:color="1B3A5C" w:sz="4"/>
          <w:left w:val="none" w:color="FFFFFF" w:sz="0"/>
          <w:bottom w:val="single" w:color="1B3A5C" w:sz="4"/>
          <w:right w:val="none" w:color="FFFFFF" w:sz="0"/>
          <w:insideH w:val="single" w:color="C7D0DA" w:sz="2"/>
          <w:insideV w:val="single" w:color="C7D0DA" w:sz="2"/>
        </w:tblBorders>
      </w:tblPr>
      <w:tblGrid>
        <w:gridCol w:w="2016"/>
        <w:gridCol w:w="8064"/>
      </w:tblGrid>
      <w:tr>
        <w:trPr>
          <w:tblHeader/>
        </w:trPr>
        <w:tc>
          <w:tcPr>
            <w:tcW w:type="dxa" w:w="2016"/>
            <w:shd w:fill="1B3A5C"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FFFFFF"/>
                <w:sz w:val="17"/>
                <w:szCs w:val="17"/>
              </w:rPr>
              <w:t xml:space="preserve">Term</w:t>
            </w:r>
          </w:p>
        </w:tc>
        <w:tc>
          <w:tcPr>
            <w:tcW w:type="dxa" w:w="8064"/>
            <w:shd w:fill="1B3A5C"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FFFFFF"/>
                <w:sz w:val="17"/>
                <w:szCs w:val="17"/>
              </w:rPr>
              <w:t xml:space="preserve">Definition</w:t>
            </w:r>
          </w:p>
        </w:tc>
      </w:tr>
      <w:tr>
        <w:tc>
          <w:tcPr>
            <w:tcW w:type="dxa" w:w="2016"/>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6"/>
                <w:szCs w:val="16"/>
              </w:rPr>
              <w:t xml:space="preserve">ACE</w:t>
            </w:r>
          </w:p>
        </w:tc>
        <w:tc>
          <w:tcPr>
            <w:tcW w:type="dxa" w:w="8064"/>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6"/>
                <w:szCs w:val="16"/>
              </w:rPr>
              <w:t xml:space="preserve">Agent Capability Exchange — the provider-operated exchange defined in this document.</w:t>
            </w:r>
          </w:p>
        </w:tc>
      </w:tr>
      <w:tr>
        <w:tc>
          <w:tcPr>
            <w:tcW w:type="dxa" w:w="2016"/>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6"/>
                <w:szCs w:val="16"/>
              </w:rPr>
              <w:t xml:space="preserve">Agentic account</w:t>
            </w:r>
          </w:p>
        </w:tc>
        <w:tc>
          <w:tcPr>
            <w:tcW w:type="dxa" w:w="8064"/>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6"/>
                <w:szCs w:val="16"/>
              </w:rPr>
              <w:t xml:space="preserve">A segregated brokerage account that is the only account in which agent-originated writes may take effect.</w:t>
            </w:r>
          </w:p>
        </w:tc>
      </w:tr>
      <w:tr>
        <w:tc>
          <w:tcPr>
            <w:tcW w:type="dxa" w:w="2016"/>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6"/>
                <w:szCs w:val="16"/>
              </w:rPr>
              <w:t xml:space="preserve">Capability manifest</w:t>
            </w:r>
          </w:p>
        </w:tc>
        <w:tc>
          <w:tcPr>
            <w:tcW w:type="dxa" w:w="8064"/>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6"/>
                <w:szCs w:val="16"/>
              </w:rPr>
              <w:t xml:space="preserve">A small, signed, versioned document describing the three verbs, authentication and limits. Not an operation inventory.</w:t>
            </w:r>
          </w:p>
        </w:tc>
      </w:tr>
      <w:tr>
        <w:tc>
          <w:tcPr>
            <w:tcW w:type="dxa" w:w="2016"/>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6"/>
                <w:szCs w:val="16"/>
              </w:rPr>
              <w:t xml:space="preserve">CIBA</w:t>
            </w:r>
          </w:p>
        </w:tc>
        <w:tc>
          <w:tcPr>
            <w:tcW w:type="dxa" w:w="8064"/>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6"/>
                <w:szCs w:val="16"/>
              </w:rPr>
              <w:t xml:space="preserve">Client-Initiated Backchannel Authentication — an OpenID Connect flow in which the authorisation request is initiated on one channel and approved on the user’s own device.</w:t>
            </w:r>
          </w:p>
        </w:tc>
      </w:tr>
      <w:tr>
        <w:tc>
          <w:tcPr>
            <w:tcW w:type="dxa" w:w="2016"/>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6"/>
                <w:szCs w:val="16"/>
              </w:rPr>
              <w:t xml:space="preserve">Data product</w:t>
            </w:r>
          </w:p>
        </w:tc>
        <w:tc>
          <w:tcPr>
            <w:tcW w:type="dxa" w:w="8064"/>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6"/>
                <w:szCs w:val="16"/>
              </w:rPr>
              <w:t xml:space="preserve">A named, versioned read contract with a closed field enumeration, declared purposes and enforced limits.</w:t>
            </w:r>
          </w:p>
        </w:tc>
      </w:tr>
      <w:tr>
        <w:tc>
          <w:tcPr>
            <w:tcW w:type="dxa" w:w="2016"/>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6"/>
                <w:szCs w:val="16"/>
              </w:rPr>
              <w:t xml:space="preserve">DPoP</w:t>
            </w:r>
          </w:p>
        </w:tc>
        <w:tc>
          <w:tcPr>
            <w:tcW w:type="dxa" w:w="8064"/>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6"/>
                <w:szCs w:val="16"/>
              </w:rPr>
              <w:t xml:space="preserve">Demonstrating Proof of Possession (RFC 9449) — binds an access token to a client-held key so a stolen token is unusable.</w:t>
            </w:r>
          </w:p>
        </w:tc>
      </w:tr>
      <w:tr>
        <w:tc>
          <w:tcPr>
            <w:tcW w:type="dxa" w:w="2016"/>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6"/>
                <w:szCs w:val="16"/>
              </w:rPr>
              <w:t xml:space="preserve">Grant envelope</w:t>
            </w:r>
          </w:p>
        </w:tc>
        <w:tc>
          <w:tcPr>
            <w:tcW w:type="dxa" w:w="8064"/>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6"/>
                <w:szCs w:val="16"/>
              </w:rPr>
              <w:t xml:space="preserve">The structured RFC 9396 authorisation details the customer approved: intent types, accounts, instrument classes, caps and exclusions.</w:t>
            </w:r>
          </w:p>
        </w:tc>
      </w:tr>
      <w:tr>
        <w:tc>
          <w:tcPr>
            <w:tcW w:type="dxa" w:w="2016"/>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6"/>
                <w:szCs w:val="16"/>
              </w:rPr>
              <w:t xml:space="preserve">Intent</w:t>
            </w:r>
          </w:p>
        </w:tc>
        <w:tc>
          <w:tcPr>
            <w:tcW w:type="dxa" w:w="8064"/>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6"/>
                <w:szCs w:val="16"/>
              </w:rPr>
              <w:t xml:space="preserve">An immutable, typed, hashed statement of a desired business outcome, submitted by an agent for a named human.</w:t>
            </w:r>
          </w:p>
        </w:tc>
      </w:tr>
      <w:tr>
        <w:tc>
          <w:tcPr>
            <w:tcW w:type="dxa" w:w="2016"/>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6"/>
                <w:szCs w:val="16"/>
              </w:rPr>
              <w:t xml:space="preserve">Mandate</w:t>
            </w:r>
          </w:p>
        </w:tc>
        <w:tc>
          <w:tcPr>
            <w:tcW w:type="dxa" w:w="8064"/>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6"/>
                <w:szCs w:val="16"/>
              </w:rPr>
              <w:t xml:space="preserve">A short-lived signed credential proving that a specific human authorised a specific validated intent within specific limits.</w:t>
            </w:r>
          </w:p>
        </w:tc>
      </w:tr>
      <w:tr>
        <w:tc>
          <w:tcPr>
            <w:tcW w:type="dxa" w:w="2016"/>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6"/>
                <w:szCs w:val="16"/>
              </w:rPr>
              <w:t xml:space="preserve">RAR</w:t>
            </w:r>
          </w:p>
        </w:tc>
        <w:tc>
          <w:tcPr>
            <w:tcW w:type="dxa" w:w="8064"/>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6"/>
                <w:szCs w:val="16"/>
              </w:rPr>
              <w:t xml:space="preserve">Rich Authorization Requests (RFC 9396) — structured, fine-grained authorisation detail objects in place of coarse scopes.</w:t>
            </w:r>
          </w:p>
        </w:tc>
      </w:tr>
      <w:tr>
        <w:tc>
          <w:tcPr>
            <w:tcW w:type="dxa" w:w="2016"/>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6"/>
                <w:szCs w:val="16"/>
              </w:rPr>
              <w:t xml:space="preserve">Receipt</w:t>
            </w:r>
          </w:p>
        </w:tc>
        <w:tc>
          <w:tcPr>
            <w:tcW w:type="dxa" w:w="8064"/>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6"/>
                <w:szCs w:val="16"/>
              </w:rPr>
              <w:t xml:space="preserve">The signed, hash-chained record of an executed or rejected intent, retained as the evidentiary artefact.</w:t>
            </w:r>
          </w:p>
        </w:tc>
      </w:tr>
      <w:tr>
        <w:tc>
          <w:tcPr>
            <w:tcW w:type="dxa" w:w="2016"/>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6"/>
                <w:szCs w:val="16"/>
              </w:rPr>
              <w:t xml:space="preserve">Standing mandate</w:t>
            </w:r>
          </w:p>
        </w:tc>
        <w:tc>
          <w:tcPr>
            <w:tcW w:type="dxa" w:w="8064"/>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6"/>
                <w:szCs w:val="16"/>
              </w:rPr>
              <w:t xml:space="preserve">A mandate authorising conditional automation, where the condition is evaluated by the provider rather than the agent.</w:t>
            </w:r>
          </w:p>
        </w:tc>
      </w:tr>
      <w:tr>
        <w:tc>
          <w:tcPr>
            <w:tcW w:type="dxa" w:w="2016"/>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6"/>
                <w:szCs w:val="16"/>
              </w:rPr>
              <w:t xml:space="preserve">Token exchange</w:t>
            </w:r>
          </w:p>
        </w:tc>
        <w:tc>
          <w:tcPr>
            <w:tcW w:type="dxa" w:w="8064"/>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6"/>
                <w:szCs w:val="16"/>
              </w:rPr>
              <w:t xml:space="preserve">RFC 8693 — exchanges an inbound token for a short-lived, audience-restricted token carrying both </w:t>
            </w:r>
            <w:r>
              <w:rPr>
                <w:rFonts w:ascii="Consolas" w:cs="Consolas" w:eastAsia="Consolas" w:hAnsi="Consolas"/>
                <w:color w:val="12293F"/>
                <w:sz w:val="14"/>
                <w:szCs w:val="14"/>
              </w:rPr>
              <w:t xml:space="preserve">sub</w:t>
            </w:r>
            <w:r>
              <w:rPr>
                <w:rFonts w:ascii="Calibri" w:cs="Calibri" w:eastAsia="Calibri" w:hAnsi="Calibri"/>
                <w:color w:val="22303C"/>
                <w:sz w:val="16"/>
                <w:szCs w:val="16"/>
              </w:rPr>
              <w:t xml:space="preserve"> (human) and </w:t>
            </w:r>
            <w:r>
              <w:rPr>
                <w:rFonts w:ascii="Consolas" w:cs="Consolas" w:eastAsia="Consolas" w:hAnsi="Consolas"/>
                <w:color w:val="12293F"/>
                <w:sz w:val="14"/>
                <w:szCs w:val="14"/>
              </w:rPr>
              <w:t xml:space="preserve">act</w:t>
            </w:r>
            <w:r>
              <w:rPr>
                <w:rFonts w:ascii="Calibri" w:cs="Calibri" w:eastAsia="Calibri" w:hAnsi="Calibri"/>
                <w:color w:val="22303C"/>
                <w:sz w:val="16"/>
                <w:szCs w:val="16"/>
              </w:rPr>
              <w:t xml:space="preserve"> (agent).</w:t>
            </w:r>
          </w:p>
        </w:tc>
      </w:tr>
      <w:tr>
        <w:tc>
          <w:tcPr>
            <w:tcW w:type="dxa" w:w="2016"/>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6"/>
                <w:szCs w:val="16"/>
              </w:rPr>
              <w:t xml:space="preserve">Transaction token</w:t>
            </w:r>
          </w:p>
        </w:tc>
        <w:tc>
          <w:tcPr>
            <w:tcW w:type="dxa" w:w="8064"/>
            <w:shd w:fill="F4F7FA" w:color="auto" w:val="clear"/>
            <w:tcMar>
              <w:top w:type="dxa" w:w="60"/>
              <w:left w:type="dxa" w:w="100"/>
              <w:bottom w:type="dxa" w:w="60"/>
              <w:right w:type="dxa" w:w="100"/>
            </w:tcMar>
            <w:vAlign w:val="top"/>
          </w:tcPr>
          <w:p>
            <w:pPr>
              <w:spacing w:after="40" w:before="40" w:line="240"/>
              <w:jc w:val="left"/>
            </w:pPr>
            <w:r>
              <w:rPr>
                <w:rFonts w:ascii="Calibri" w:cs="Calibri" w:eastAsia="Calibri" w:hAnsi="Calibri"/>
                <w:color w:val="22303C"/>
                <w:sz w:val="16"/>
                <w:szCs w:val="16"/>
              </w:rPr>
              <w:t xml:space="preserve">A very short-lived internal token, scoped to a single downstream audience and operation, carrying the full principal chain.</w:t>
            </w:r>
          </w:p>
        </w:tc>
      </w:tr>
    </w:tbl>
    <w:p>
      <w:r>
        <w:br w:type="page"/>
      </w:r>
    </w:p>
    <w:p>
      <w:pPr>
        <w:pStyle w:val="Heading1"/>
      </w:pPr>
      <w:r>
        <w:rPr>
          <w:rFonts w:ascii="Calibri Light" w:cs="Calibri Light" w:eastAsia="Calibri Light" w:hAnsi="Calibri Light"/>
          <w:color w:val="1B3A5C"/>
          <w:sz w:val="28"/>
          <w:szCs w:val="28"/>
        </w:rPr>
        <w:t xml:space="preserve">Appendix E — References</w:t>
      </w:r>
    </w:p>
    <w:p>
      <w:pPr>
        <w:keepNext w:val="false"/>
        <w:spacing w:after="130" w:before="0" w:line="268"/>
        <w:jc w:val="both"/>
      </w:pPr>
      <w:r>
        <w:rPr>
          <w:rFonts w:ascii="Calibri" w:cs="Calibri" w:eastAsia="Calibri" w:hAnsi="Calibri"/>
          <w:b/>
          <w:bCs/>
          <w:color w:val="22303C"/>
          <w:sz w:val="20"/>
          <w:szCs w:val="20"/>
        </w:rPr>
        <w:t xml:space="preserve">Standards and specifications</w:t>
      </w:r>
    </w:p>
    <w:p>
      <w:pPr>
        <w:pStyle w:val="ListParagraph"/>
        <w:numPr>
          <w:ilvl w:val="0"/>
          <w:numId w:val="43"/>
        </w:numPr>
        <w:spacing w:after="66" w:before="24" w:line="262"/>
        <w:jc w:val="both"/>
      </w:pPr>
      <w:r>
        <w:rPr>
          <w:rFonts w:ascii="Calibri" w:cs="Calibri" w:eastAsia="Calibri" w:hAnsi="Calibri"/>
          <w:color w:val="22303C"/>
          <w:sz w:val="20"/>
          <w:szCs w:val="20"/>
        </w:rPr>
        <w:t xml:space="preserve">RFC 6749 / OAuth 2.1 draft — authorisation framework and current best practice.</w:t>
      </w:r>
    </w:p>
    <w:p>
      <w:pPr>
        <w:pStyle w:val="ListParagraph"/>
        <w:numPr>
          <w:ilvl w:val="0"/>
          <w:numId w:val="43"/>
        </w:numPr>
        <w:spacing w:after="66" w:before="24" w:line="262"/>
        <w:jc w:val="both"/>
      </w:pPr>
      <w:r>
        <w:rPr>
          <w:rFonts w:ascii="Calibri" w:cs="Calibri" w:eastAsia="Calibri" w:hAnsi="Calibri"/>
          <w:color w:val="22303C"/>
          <w:sz w:val="20"/>
          <w:szCs w:val="20"/>
        </w:rPr>
        <w:t xml:space="preserve">RFC 7636 — Proof Key for Code Exchange (PKCE).</w:t>
      </w:r>
    </w:p>
    <w:p>
      <w:pPr>
        <w:pStyle w:val="ListParagraph"/>
        <w:numPr>
          <w:ilvl w:val="0"/>
          <w:numId w:val="43"/>
        </w:numPr>
        <w:spacing w:after="66" w:before="24" w:line="262"/>
        <w:jc w:val="both"/>
      </w:pPr>
      <w:r>
        <w:rPr>
          <w:rFonts w:ascii="Calibri" w:cs="Calibri" w:eastAsia="Calibri" w:hAnsi="Calibri"/>
          <w:color w:val="22303C"/>
          <w:sz w:val="20"/>
          <w:szCs w:val="20"/>
        </w:rPr>
        <w:t xml:space="preserve">RFC 8693 — OAuth 2.0 Token Exchange (</w:t>
      </w:r>
      <w:r>
        <w:rPr>
          <w:rFonts w:ascii="Consolas" w:cs="Consolas" w:eastAsia="Consolas" w:hAnsi="Consolas"/>
          <w:color w:val="12293F"/>
          <w:sz w:val="17"/>
          <w:szCs w:val="17"/>
        </w:rPr>
        <w:t xml:space="preserve">act</w:t>
      </w:r>
      <w:r>
        <w:rPr>
          <w:rFonts w:ascii="Calibri" w:cs="Calibri" w:eastAsia="Calibri" w:hAnsi="Calibri"/>
          <w:color w:val="22303C"/>
          <w:sz w:val="20"/>
          <w:szCs w:val="20"/>
        </w:rPr>
        <w:t xml:space="preserve"> claim, delegation chains).</w:t>
      </w:r>
    </w:p>
    <w:p>
      <w:pPr>
        <w:pStyle w:val="ListParagraph"/>
        <w:numPr>
          <w:ilvl w:val="0"/>
          <w:numId w:val="43"/>
        </w:numPr>
        <w:spacing w:after="66" w:before="24" w:line="262"/>
        <w:jc w:val="both"/>
      </w:pPr>
      <w:r>
        <w:rPr>
          <w:rFonts w:ascii="Calibri" w:cs="Calibri" w:eastAsia="Calibri" w:hAnsi="Calibri"/>
          <w:color w:val="22303C"/>
          <w:sz w:val="20"/>
          <w:szCs w:val="20"/>
        </w:rPr>
        <w:t xml:space="preserve">RFC 9126 — Pushed Authorization Requests.</w:t>
      </w:r>
    </w:p>
    <w:p>
      <w:pPr>
        <w:pStyle w:val="ListParagraph"/>
        <w:numPr>
          <w:ilvl w:val="0"/>
          <w:numId w:val="43"/>
        </w:numPr>
        <w:spacing w:after="66" w:before="24" w:line="262"/>
        <w:jc w:val="both"/>
      </w:pPr>
      <w:r>
        <w:rPr>
          <w:rFonts w:ascii="Calibri" w:cs="Calibri" w:eastAsia="Calibri" w:hAnsi="Calibri"/>
          <w:color w:val="22303C"/>
          <w:sz w:val="20"/>
          <w:szCs w:val="20"/>
        </w:rPr>
        <w:t xml:space="preserve">RFC 9396 — OAuth 2.0 Rich Authorization Requests.</w:t>
      </w:r>
    </w:p>
    <w:p>
      <w:pPr>
        <w:pStyle w:val="ListParagraph"/>
        <w:numPr>
          <w:ilvl w:val="0"/>
          <w:numId w:val="43"/>
        </w:numPr>
        <w:spacing w:after="66" w:before="24" w:line="262"/>
        <w:jc w:val="both"/>
      </w:pPr>
      <w:r>
        <w:rPr>
          <w:rFonts w:ascii="Calibri" w:cs="Calibri" w:eastAsia="Calibri" w:hAnsi="Calibri"/>
          <w:color w:val="22303C"/>
          <w:sz w:val="20"/>
          <w:szCs w:val="20"/>
        </w:rPr>
        <w:t xml:space="preserve">RFC 9449 — Demonstrating Proof of Possession (DPoP).</w:t>
      </w:r>
    </w:p>
    <w:p>
      <w:pPr>
        <w:pStyle w:val="ListParagraph"/>
        <w:numPr>
          <w:ilvl w:val="0"/>
          <w:numId w:val="43"/>
        </w:numPr>
        <w:spacing w:after="66" w:before="24" w:line="262"/>
        <w:jc w:val="both"/>
      </w:pPr>
      <w:r>
        <w:rPr>
          <w:rFonts w:ascii="Calibri" w:cs="Calibri" w:eastAsia="Calibri" w:hAnsi="Calibri"/>
          <w:color w:val="22303C"/>
          <w:sz w:val="20"/>
          <w:szCs w:val="20"/>
        </w:rPr>
        <w:t xml:space="preserve">RFC 9421 — HTTP Message Signatures.</w:t>
      </w:r>
    </w:p>
    <w:p>
      <w:pPr>
        <w:pStyle w:val="ListParagraph"/>
        <w:numPr>
          <w:ilvl w:val="0"/>
          <w:numId w:val="43"/>
        </w:numPr>
        <w:spacing w:after="66" w:before="24" w:line="262"/>
        <w:jc w:val="both"/>
      </w:pPr>
      <w:r>
        <w:rPr>
          <w:rFonts w:ascii="Calibri" w:cs="Calibri" w:eastAsia="Calibri" w:hAnsi="Calibri"/>
          <w:color w:val="22303C"/>
          <w:sz w:val="20"/>
          <w:szCs w:val="20"/>
        </w:rPr>
        <w:t xml:space="preserve">OpenID Connect Client-Initiated Backchannel Authentication (CIBA) Core.</w:t>
      </w:r>
    </w:p>
    <w:p>
      <w:pPr>
        <w:pStyle w:val="ListParagraph"/>
        <w:numPr>
          <w:ilvl w:val="0"/>
          <w:numId w:val="43"/>
        </w:numPr>
        <w:spacing w:after="66" w:before="24" w:line="262"/>
        <w:jc w:val="both"/>
      </w:pPr>
      <w:r>
        <w:rPr>
          <w:rFonts w:ascii="Calibri" w:cs="Calibri" w:eastAsia="Calibri" w:hAnsi="Calibri"/>
          <w:color w:val="22303C"/>
          <w:sz w:val="20"/>
          <w:szCs w:val="20"/>
        </w:rPr>
        <w:t xml:space="preserve">W3C Verifiable Credentials Data Model 2.0; W3C WebAuthn Level 3.</w:t>
      </w:r>
    </w:p>
    <w:p>
      <w:pPr>
        <w:pStyle w:val="ListParagraph"/>
        <w:numPr>
          <w:ilvl w:val="0"/>
          <w:numId w:val="43"/>
        </w:numPr>
        <w:spacing w:after="66" w:before="24" w:line="262"/>
        <w:jc w:val="both"/>
      </w:pPr>
      <w:r>
        <w:rPr>
          <w:rFonts w:ascii="Calibri" w:cs="Calibri" w:eastAsia="Calibri" w:hAnsi="Calibri"/>
          <w:color w:val="22303C"/>
          <w:sz w:val="20"/>
          <w:szCs w:val="20"/>
        </w:rPr>
        <w:t xml:space="preserve">SPIFFE / SVID workload identity specification.</w:t>
      </w:r>
    </w:p>
    <w:p>
      <w:pPr>
        <w:pStyle w:val="ListParagraph"/>
        <w:numPr>
          <w:ilvl w:val="0"/>
          <w:numId w:val="43"/>
        </w:numPr>
        <w:spacing w:after="66" w:before="24" w:line="262"/>
        <w:jc w:val="both"/>
      </w:pPr>
      <w:r>
        <w:rPr>
          <w:rFonts w:ascii="Calibri" w:cs="Calibri" w:eastAsia="Calibri" w:hAnsi="Calibri"/>
          <w:color w:val="22303C"/>
          <w:sz w:val="20"/>
          <w:szCs w:val="20"/>
        </w:rPr>
        <w:t xml:space="preserve">OpenAPI Specification 3.1; JSON Schema 2020-12.</w:t>
      </w:r>
    </w:p>
    <w:p>
      <w:pPr>
        <w:keepNext w:val="false"/>
        <w:spacing w:after="130" w:before="0" w:line="268"/>
        <w:jc w:val="both"/>
      </w:pPr>
      <w:r>
        <w:rPr>
          <w:rFonts w:ascii="Calibri" w:cs="Calibri" w:eastAsia="Calibri" w:hAnsi="Calibri"/>
          <w:b/>
          <w:bCs/>
          <w:color w:val="22303C"/>
          <w:sz w:val="20"/>
          <w:szCs w:val="20"/>
        </w:rPr>
        <w:t xml:space="preserve">Regulatory sources</w:t>
      </w:r>
    </w:p>
    <w:p>
      <w:pPr>
        <w:pStyle w:val="ListParagraph"/>
        <w:numPr>
          <w:ilvl w:val="0"/>
          <w:numId w:val="44"/>
        </w:numPr>
        <w:spacing w:after="66" w:before="24" w:line="262"/>
        <w:jc w:val="both"/>
      </w:pPr>
      <w:r>
        <w:rPr>
          <w:rFonts w:ascii="Calibri" w:cs="Calibri" w:eastAsia="Calibri" w:hAnsi="Calibri"/>
          <w:color w:val="22303C"/>
          <w:sz w:val="20"/>
          <w:szCs w:val="20"/>
        </w:rPr>
        <w:t xml:space="preserve">SEC, Exchange Act Rule 15c3-5 (Market Access) and Division of Trading and Markets FAQs — sec.gov.</w:t>
      </w:r>
    </w:p>
    <w:p>
      <w:pPr>
        <w:pStyle w:val="ListParagraph"/>
        <w:numPr>
          <w:ilvl w:val="0"/>
          <w:numId w:val="44"/>
        </w:numPr>
        <w:spacing w:after="66" w:before="24" w:line="262"/>
        <w:jc w:val="both"/>
      </w:pPr>
      <w:r>
        <w:rPr>
          <w:rFonts w:ascii="Calibri" w:cs="Calibri" w:eastAsia="Calibri" w:hAnsi="Calibri"/>
          <w:color w:val="22303C"/>
          <w:sz w:val="20"/>
          <w:szCs w:val="20"/>
        </w:rPr>
        <w:t xml:space="preserve">FINRA, Market Access Rule key topic and 2026 Annual Regulatory Oversight Report, including the sections on generative AI, autonomous agents and market access — finra.org.</w:t>
      </w:r>
    </w:p>
    <w:p>
      <w:pPr>
        <w:pStyle w:val="ListParagraph"/>
        <w:numPr>
          <w:ilvl w:val="0"/>
          <w:numId w:val="44"/>
        </w:numPr>
        <w:spacing w:after="66" w:before="24" w:line="262"/>
        <w:jc w:val="both"/>
      </w:pPr>
      <w:r>
        <w:rPr>
          <w:rFonts w:ascii="Calibri" w:cs="Calibri" w:eastAsia="Calibri" w:hAnsi="Calibri"/>
          <w:color w:val="22303C"/>
          <w:sz w:val="20"/>
          <w:szCs w:val="20"/>
        </w:rPr>
        <w:t xml:space="preserve">SEC Rule 17a-4 recordkeeping requirements, including 17a-4(f) electronic storage conditions.</w:t>
      </w:r>
    </w:p>
    <w:p>
      <w:pPr>
        <w:pStyle w:val="ListParagraph"/>
        <w:numPr>
          <w:ilvl w:val="0"/>
          <w:numId w:val="44"/>
        </w:numPr>
        <w:spacing w:after="66" w:before="24" w:line="262"/>
        <w:jc w:val="both"/>
      </w:pPr>
      <w:r>
        <w:rPr>
          <w:rFonts w:ascii="Calibri" w:cs="Calibri" w:eastAsia="Calibri" w:hAnsi="Calibri"/>
          <w:color w:val="22303C"/>
          <w:sz w:val="20"/>
          <w:szCs w:val="20"/>
        </w:rPr>
        <w:t xml:space="preserve">Regulation Best Interest; Regulation S-P.</w:t>
      </w:r>
    </w:p>
    <w:p>
      <w:pPr>
        <w:keepNext w:val="false"/>
        <w:spacing w:after="130" w:before="0" w:line="268"/>
        <w:jc w:val="both"/>
      </w:pPr>
      <w:r>
        <w:rPr>
          <w:rFonts w:ascii="Calibri" w:cs="Calibri" w:eastAsia="Calibri" w:hAnsi="Calibri"/>
          <w:b/>
          <w:bCs/>
          <w:color w:val="22303C"/>
          <w:sz w:val="20"/>
          <w:szCs w:val="20"/>
        </w:rPr>
        <w:t xml:space="preserve">Industry and research sources consulted</w:t>
      </w:r>
    </w:p>
    <w:p>
      <w:pPr>
        <w:pStyle w:val="ListParagraph"/>
        <w:numPr>
          <w:ilvl w:val="0"/>
          <w:numId w:val="45"/>
        </w:numPr>
        <w:spacing w:after="66" w:before="24" w:line="262"/>
        <w:jc w:val="both"/>
      </w:pPr>
      <w:r>
        <w:rPr>
          <w:rFonts w:ascii="Calibri" w:cs="Calibri" w:eastAsia="Calibri" w:hAnsi="Calibri"/>
          <w:color w:val="22303C"/>
          <w:sz w:val="20"/>
          <w:szCs w:val="20"/>
        </w:rPr>
        <w:t xml:space="preserve">Robinhood Help Center, “Agentic Trading overview” and “Trading with your agent” — the published tool catalogue, connection instructions, read-access disclosure and risk disclosures analysed in §2.3 (robinhood.com, retrieved 29 July 2026).</w:t>
      </w:r>
    </w:p>
    <w:p>
      <w:pPr>
        <w:pStyle w:val="ListParagraph"/>
        <w:numPr>
          <w:ilvl w:val="0"/>
          <w:numId w:val="45"/>
        </w:numPr>
        <w:spacing w:after="66" w:before="24" w:line="262"/>
        <w:jc w:val="both"/>
      </w:pPr>
      <w:r>
        <w:rPr>
          <w:rFonts w:ascii="Calibri" w:cs="Calibri" w:eastAsia="Calibri" w:hAnsi="Calibri"/>
          <w:color w:val="22303C"/>
          <w:sz w:val="20"/>
          <w:szCs w:val="20"/>
        </w:rPr>
        <w:t xml:space="preserve">OWASP MCP Top 10 and OWASP Top 10 for Agentic Applications (2026).</w:t>
      </w:r>
    </w:p>
    <w:p>
      <w:pPr>
        <w:pStyle w:val="ListParagraph"/>
        <w:numPr>
          <w:ilvl w:val="0"/>
          <w:numId w:val="45"/>
        </w:numPr>
        <w:spacing w:after="66" w:before="24" w:line="262"/>
        <w:jc w:val="both"/>
      </w:pPr>
      <w:r>
        <w:rPr>
          <w:rFonts w:ascii="Calibri" w:cs="Calibri" w:eastAsia="Calibri" w:hAnsi="Calibri"/>
          <w:color w:val="22303C"/>
          <w:sz w:val="20"/>
          <w:szCs w:val="20"/>
        </w:rPr>
        <w:t xml:space="preserve">Coalition for Secure AI, Model Context Protocol Security White Paper (2026).</w:t>
      </w:r>
    </w:p>
    <w:p>
      <w:pPr>
        <w:pStyle w:val="ListParagraph"/>
        <w:numPr>
          <w:ilvl w:val="0"/>
          <w:numId w:val="45"/>
        </w:numPr>
        <w:spacing w:after="66" w:before="24" w:line="262"/>
        <w:jc w:val="both"/>
      </w:pPr>
      <w:r>
        <w:rPr>
          <w:rFonts w:ascii="Calibri" w:cs="Calibri" w:eastAsia="Calibri" w:hAnsi="Calibri"/>
          <w:color w:val="22303C"/>
          <w:sz w:val="20"/>
          <w:szCs w:val="20"/>
        </w:rPr>
        <w:t xml:space="preserve">Microsoft Security, “The state of MCP security in 2026”, and Microsoft Incident Response analyses of tool-poisoning attack chains.</w:t>
      </w:r>
    </w:p>
    <w:p>
      <w:pPr>
        <w:pStyle w:val="ListParagraph"/>
        <w:numPr>
          <w:ilvl w:val="0"/>
          <w:numId w:val="45"/>
        </w:numPr>
        <w:spacing w:after="66" w:before="24" w:line="262"/>
        <w:jc w:val="both"/>
      </w:pPr>
      <w:r>
        <w:rPr>
          <w:rFonts w:ascii="Calibri" w:cs="Calibri" w:eastAsia="Calibri" w:hAnsi="Calibri"/>
          <w:color w:val="22303C"/>
          <w:sz w:val="20"/>
          <w:szCs w:val="20"/>
        </w:rPr>
        <w:t xml:space="preserve">Published MCP security statistics and CVE analyses covering tool poisoning, SSRF prevalence, cross-server cascade rates and credential exposure in client configuration files (2025–2026).</w:t>
      </w:r>
    </w:p>
    <w:p>
      <w:pPr>
        <w:pStyle w:val="ListParagraph"/>
        <w:numPr>
          <w:ilvl w:val="0"/>
          <w:numId w:val="45"/>
        </w:numPr>
        <w:spacing w:after="66" w:before="24" w:line="262"/>
        <w:jc w:val="both"/>
      </w:pPr>
      <w:r>
        <w:rPr>
          <w:rFonts w:ascii="Calibri" w:cs="Calibri" w:eastAsia="Calibri" w:hAnsi="Calibri"/>
          <w:color w:val="22303C"/>
          <w:sz w:val="20"/>
          <w:szCs w:val="20"/>
        </w:rPr>
        <w:t xml:space="preserve">Academic work on Unicode tag-block concealment in tool metadata and the approval-view fidelity gap (arXiv, 2026).</w:t>
      </w:r>
    </w:p>
    <w:p>
      <w:pPr>
        <w:pStyle w:val="ListParagraph"/>
        <w:numPr>
          <w:ilvl w:val="0"/>
          <w:numId w:val="45"/>
        </w:numPr>
        <w:spacing w:after="66" w:before="24" w:line="262"/>
        <w:jc w:val="both"/>
      </w:pPr>
      <w:r>
        <w:rPr>
          <w:rFonts w:ascii="Calibri" w:cs="Calibri" w:eastAsia="Calibri" w:hAnsi="Calibri"/>
          <w:color w:val="22303C"/>
          <w:sz w:val="20"/>
          <w:szCs w:val="20"/>
        </w:rPr>
        <w:t xml:space="preserve">Cloudflare, “Code Mode: give agents an entire API in 1,000 tokens”, and Anthropic engineering on code execution and progressive disclosure with MCP — the basis of the context-cost comparison in §5.6.3.</w:t>
      </w:r>
    </w:p>
    <w:p>
      <w:pPr>
        <w:pStyle w:val="ListParagraph"/>
        <w:numPr>
          <w:ilvl w:val="0"/>
          <w:numId w:val="45"/>
        </w:numPr>
        <w:spacing w:after="66" w:before="24" w:line="262"/>
        <w:jc w:val="both"/>
      </w:pPr>
      <w:r>
        <w:rPr>
          <w:rFonts w:ascii="Calibri" w:cs="Calibri" w:eastAsia="Calibri" w:hAnsi="Calibri"/>
          <w:color w:val="22303C"/>
          <w:sz w:val="20"/>
          <w:szCs w:val="20"/>
        </w:rPr>
        <w:t xml:space="preserve">Independent measurements of MCP tool-definition context overhead and CLI-versus-MCP per-operation token cost (2026).</w:t>
      </w:r>
    </w:p>
    <w:p>
      <w:pPr>
        <w:pStyle w:val="ListParagraph"/>
        <w:numPr>
          <w:ilvl w:val="0"/>
          <w:numId w:val="45"/>
        </w:numPr>
        <w:spacing w:after="66" w:before="24" w:line="262"/>
        <w:jc w:val="both"/>
      </w:pPr>
      <w:r>
        <w:rPr>
          <w:rFonts w:ascii="Calibri" w:cs="Calibri" w:eastAsia="Calibri" w:hAnsi="Calibri"/>
          <w:color w:val="22303C"/>
          <w:sz w:val="20"/>
          <w:szCs w:val="20"/>
        </w:rPr>
        <w:t xml:space="preserve">A2A protocol specification v1.0 (Linux Foundation) — agent cards, task lifecycle and transport bindings, the basis of ALT-5.</w:t>
      </w:r>
    </w:p>
    <w:p>
      <w:pPr>
        <w:pStyle w:val="ListParagraph"/>
        <w:numPr>
          <w:ilvl w:val="0"/>
          <w:numId w:val="45"/>
        </w:numPr>
        <w:spacing w:after="66" w:before="24" w:line="262"/>
        <w:jc w:val="both"/>
      </w:pPr>
      <w:r>
        <w:rPr>
          <w:rFonts w:ascii="Calibri" w:cs="Calibri" w:eastAsia="Calibri" w:hAnsi="Calibri"/>
          <w:color w:val="22303C"/>
          <w:sz w:val="20"/>
          <w:szCs w:val="20"/>
        </w:rPr>
        <w:t xml:space="preserve">Agent Payments Protocol (AP2) specification — intent, cart and payment mandates as verifiable credentials; the basis of the mandate pattern in §5.8.4, including the documented absence of in-protocol revocation.</w:t>
      </w:r>
    </w:p>
    <w:p>
      <w:pPr>
        <w:pStyle w:val="ListParagraph"/>
        <w:numPr>
          <w:ilvl w:val="0"/>
          <w:numId w:val="45"/>
        </w:numPr>
        <w:spacing w:after="66" w:before="24" w:line="262"/>
        <w:jc w:val="both"/>
      </w:pPr>
      <w:r>
        <w:rPr>
          <w:rFonts w:ascii="Calibri" w:cs="Calibri" w:eastAsia="Calibri" w:hAnsi="Calibri"/>
          <w:color w:val="22303C"/>
          <w:sz w:val="20"/>
          <w:szCs w:val="20"/>
        </w:rPr>
        <w:t xml:space="preserve">Identity-provider guidance on agentic authorisation patterns combining RAR, token exchange and CIBA (Auth0, Okta, Stytch, SecureAuth, 2026).</w:t>
      </w:r>
    </w:p>
    <w:p>
      <w:pPr>
        <w:pStyle w:val="ListParagraph"/>
        <w:numPr>
          <w:ilvl w:val="0"/>
          <w:numId w:val="45"/>
        </w:numPr>
        <w:spacing w:after="66" w:before="24" w:line="262"/>
        <w:jc w:val="both"/>
      </w:pPr>
      <w:r>
        <w:rPr>
          <w:rFonts w:ascii="Calibri" w:cs="Calibri" w:eastAsia="Calibri" w:hAnsi="Calibri"/>
          <w:color w:val="22303C"/>
          <w:sz w:val="20"/>
          <w:szCs w:val="20"/>
        </w:rPr>
        <w:t xml:space="preserve">IETF Internet-Draft draft-klrc-aiagent-auth-00 (March 2026) — composing WIMSE, SPIFFE and OAuth 2.0 for agent authentication.</w:t>
      </w:r>
    </w:p>
    <w:p>
      <w:pPr>
        <w:spacing w:after="200"/>
      </w:pPr>
    </w:p>
    <w:p>
      <w:pPr>
        <w:keepNext w:val="false"/>
        <w:spacing w:after="130" w:before="0" w:line="268"/>
        <w:jc w:val="both"/>
      </w:pPr>
      <w:r>
        <w:rPr>
          <w:rFonts w:ascii="Calibri" w:cs="Calibri" w:eastAsia="Calibri" w:hAnsi="Calibri"/>
          <w:i/>
          <w:iCs/>
          <w:color w:val="22303C"/>
          <w:sz w:val="20"/>
          <w:szCs w:val="20"/>
        </w:rPr>
        <w:t xml:space="preserve">A video walkthrough of agentic brokerage connectivity was supplied as an input to this analysis but could not be retrieved at the time of writing; its conclusions are not relied upon here. Every substantive claim above is sourced from the standards, regulatory publications and industry sources listed in this appendix.</w:t>
      </w:r>
    </w:p>
    <w:sectPr>
      <w:headerReference w:type="default" r:id="rId15"/>
      <w:footerReference w:type="default" r:id="rId16"/>
      <w:pgSz w:w="12240" w:h="15840" w:orient="portrait"/>
      <w:pgMar w:top="1080" w:right="1080" w:bottom="1080" w:left="1080" w:header="620" w:footer="56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0DA" w:sz="4" w:space="4"/>
      </w:pBdr>
      <w:spacing w:before="60"/>
      <w:jc w:val="right"/>
    </w:pPr>
    <w:r>
      <w:rPr>
        <w:rFonts w:ascii="Calibri" w:cs="Calibri" w:eastAsia="Calibri" w:hAnsi="Calibri"/>
        <w:color w:val="6B7785"/>
        <w:sz w:val="14"/>
        <w:szCs w:val="14"/>
      </w:rPr>
      <w:t xml:space="preserve">Architecture Decision Document  ·  Confidential — Internal Technical Review</w:t>
    </w:r>
    <w:r>
      <w:rPr>
        <w:sz w:val="14"/>
        <w:szCs w:val="14"/>
      </w:rPr>
      <w:t xml:space="preserve">	</w:t>
    </w:r>
    <w:r>
      <w:rPr>
        <w:rFonts w:ascii="Calibri" w:cs="Calibri" w:eastAsia="Calibri" w:hAnsi="Calibri"/>
        <w:color w:val="6B7785"/>
        <w:sz w:val="14"/>
        <w:szCs w:val="14"/>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0DA" w:sz="4" w:space="4"/>
      </w:pBdr>
      <w:spacing w:before="60"/>
      <w:jc w:val="right"/>
    </w:pPr>
    <w:r>
      <w:rPr>
        <w:rFonts w:ascii="Calibri" w:cs="Calibri" w:eastAsia="Calibri" w:hAnsi="Calibri"/>
        <w:color w:val="6B7785"/>
        <w:sz w:val="14"/>
        <w:szCs w:val="14"/>
      </w:rPr>
      <w:t xml:space="preserve">Architecture Decision Document  ·  Confidential — Internal Technical Review</w:t>
    </w:r>
    <w:r>
      <w:rPr>
        <w:sz w:val="14"/>
        <w:szCs w:val="14"/>
      </w:rPr>
      <w:t xml:space="preserve">	</w:t>
    </w:r>
    <w:r>
      <w:rPr>
        <w:rFonts w:ascii="Calibri" w:cs="Calibri" w:eastAsia="Calibri" w:hAnsi="Calibri"/>
        <w:color w:val="6B7785"/>
        <w:sz w:val="14"/>
        <w:szCs w:val="14"/>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0DA" w:sz="4" w:space="4"/>
      </w:pBdr>
      <w:spacing w:before="60"/>
      <w:jc w:val="right"/>
    </w:pPr>
    <w:r>
      <w:rPr>
        <w:rFonts w:ascii="Calibri" w:cs="Calibri" w:eastAsia="Calibri" w:hAnsi="Calibri"/>
        <w:color w:val="6B7785"/>
        <w:sz w:val="14"/>
        <w:szCs w:val="14"/>
      </w:rPr>
      <w:t xml:space="preserve">Architecture Decision Document  ·  Confidential — Internal Technical Review</w:t>
    </w:r>
    <w:r>
      <w:rPr>
        <w:sz w:val="14"/>
        <w:szCs w:val="14"/>
      </w:rPr>
      <w:t xml:space="preserve">	</w:t>
    </w:r>
    <w:r>
      <w:rPr>
        <w:rFonts w:ascii="Calibri" w:cs="Calibri" w:eastAsia="Calibri" w:hAnsi="Calibri"/>
        <w:color w:val="6B7785"/>
        <w:sz w:val="14"/>
        <w:szCs w:val="14"/>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0DA" w:sz="4" w:space="4"/>
      </w:pBdr>
      <w:spacing w:before="60"/>
      <w:jc w:val="right"/>
    </w:pPr>
    <w:r>
      <w:rPr>
        <w:rFonts w:ascii="Calibri" w:cs="Calibri" w:eastAsia="Calibri" w:hAnsi="Calibri"/>
        <w:color w:val="6B7785"/>
        <w:sz w:val="14"/>
        <w:szCs w:val="14"/>
      </w:rPr>
      <w:t xml:space="preserve">Architecture Decision Document  ·  Confidential — Internal Technical Review</w:t>
    </w:r>
    <w:r>
      <w:rPr>
        <w:sz w:val="14"/>
        <w:szCs w:val="14"/>
      </w:rPr>
      <w:t xml:space="preserve">	</w:t>
    </w:r>
    <w:r>
      <w:rPr>
        <w:rFonts w:ascii="Calibri" w:cs="Calibri" w:eastAsia="Calibri" w:hAnsi="Calibri"/>
        <w:color w:val="6B7785"/>
        <w:sz w:val="14"/>
        <w:szCs w:val="14"/>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0DA" w:sz="4" w:space="4"/>
      </w:pBdr>
      <w:spacing w:before="60"/>
      <w:jc w:val="right"/>
    </w:pPr>
    <w:r>
      <w:rPr>
        <w:rFonts w:ascii="Calibri" w:cs="Calibri" w:eastAsia="Calibri" w:hAnsi="Calibri"/>
        <w:color w:val="6B7785"/>
        <w:sz w:val="14"/>
        <w:szCs w:val="14"/>
      </w:rPr>
      <w:t xml:space="preserve">Architecture Decision Document  ·  Confidential — Internal Technical Review</w:t>
    </w:r>
    <w:r>
      <w:rPr>
        <w:sz w:val="14"/>
        <w:szCs w:val="14"/>
      </w:rPr>
      <w:t xml:space="preserve">	</w:t>
    </w:r>
    <w:r>
      <w:rPr>
        <w:rFonts w:ascii="Calibri" w:cs="Calibri" w:eastAsia="Calibri" w:hAnsi="Calibri"/>
        <w:color w:val="6B7785"/>
        <w:sz w:val="14"/>
        <w:szCs w:val="14"/>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0DA" w:sz="4" w:space="4"/>
      </w:pBdr>
      <w:spacing w:after="60"/>
      <w:jc w:val="right"/>
    </w:pPr>
    <w:r>
      <w:rPr>
        <w:rFonts w:ascii="Calibri" w:cs="Calibri" w:eastAsia="Calibri" w:hAnsi="Calibri"/>
        <w:color w:val="6B7785"/>
        <w:sz w:val="15"/>
        <w:szCs w:val="15"/>
      </w:rPr>
      <w:t xml:space="preserve">Agent Capability Exchange — Exposing Business Capability APIs to Bring-Your-Own AI Agents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0DA" w:sz="4" w:space="4"/>
      </w:pBdr>
      <w:spacing w:after="60"/>
      <w:jc w:val="right"/>
    </w:pPr>
    <w:r>
      <w:rPr>
        <w:rFonts w:ascii="Calibri" w:cs="Calibri" w:eastAsia="Calibri" w:hAnsi="Calibri"/>
        <w:color w:val="6B7785"/>
        <w:sz w:val="15"/>
        <w:szCs w:val="15"/>
      </w:rPr>
      <w:t xml:space="preserve">Agent Capability Exchange — Exposing Business Capability APIs to Bring-Your-Own AI Agents</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0DA" w:sz="4" w:space="4"/>
      </w:pBdr>
      <w:spacing w:after="60"/>
      <w:jc w:val="right"/>
    </w:pPr>
    <w:r>
      <w:rPr>
        <w:rFonts w:ascii="Calibri" w:cs="Calibri" w:eastAsia="Calibri" w:hAnsi="Calibri"/>
        <w:color w:val="6B7785"/>
        <w:sz w:val="15"/>
        <w:szCs w:val="15"/>
      </w:rPr>
      <w:t xml:space="preserve">Agent Capability Exchange — Exposing Business Capability APIs to Bring-Your-Own AI Agents</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0DA" w:sz="4" w:space="4"/>
      </w:pBdr>
      <w:spacing w:after="60"/>
      <w:jc w:val="right"/>
    </w:pPr>
    <w:r>
      <w:rPr>
        <w:rFonts w:ascii="Calibri" w:cs="Calibri" w:eastAsia="Calibri" w:hAnsi="Calibri"/>
        <w:color w:val="6B7785"/>
        <w:sz w:val="15"/>
        <w:szCs w:val="15"/>
      </w:rPr>
      <w:t xml:space="preserve">Agent Capability Exchange — Exposing Business Capability APIs to Bring-Your-Own AI Agents</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0DA" w:sz="4" w:space="4"/>
      </w:pBdr>
      <w:spacing w:after="60"/>
      <w:jc w:val="right"/>
    </w:pPr>
    <w:r>
      <w:rPr>
        <w:rFonts w:ascii="Calibri" w:cs="Calibri" w:eastAsia="Calibri" w:hAnsi="Calibri"/>
        <w:color w:val="6B7785"/>
        <w:sz w:val="15"/>
        <w:szCs w:val="15"/>
      </w:rPr>
      <w:t xml:space="preserve">Agent Capability Exchange — Exposing Business Capability APIs to Bring-Your-Own AI Agents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rPr>
        <w:rFonts w:ascii="Calibri" w:cs="Calibri" w:eastAsia="Calibri" w:hAnsi="Calibri"/>
        <w:color w:val="1E7B96"/>
      </w:rPr>
    </w:lvl>
    <w:lvl w:ilvl="1" w15:tentative="1">
      <w:start w:val="1"/>
      <w:numFmt w:val="bullet"/>
      <w:lvlText w:val="–"/>
      <w:lvlJc w:val="left"/>
      <w:pPr>
        <w:ind w:left="720" w:hanging="200"/>
      </w:pPr>
      <w:rPr>
        <w:rFonts w:ascii="Calibri" w:cs="Calibri" w:eastAsia="Calibri" w:hAnsi="Calibri"/>
        <w:color w:val="1E7B96"/>
      </w:rPr>
    </w:lvl>
  </w:abstractNum>
  <w:abstractNum w:abstractNumId="3" w15:restartNumberingAfterBreak="0">
    <w:multiLevelType w:val="hybridMultilevel"/>
    <w:lvl w:ilvl="0" w15:tentative="1">
      <w:start w:val="1"/>
      <w:numFmt w:val="decimal"/>
      <w:lvlText w:val="%1."/>
      <w:lvlJc w:val="left"/>
      <w:pPr>
        <w:ind w:left="400" w:hanging="260"/>
      </w:pPr>
      <w:rPr>
        <w:rFonts w:ascii="Calibri" w:cs="Calibri" w:eastAsia="Calibri" w:hAnsi="Calibri"/>
        <w:b/>
        <w:bCs/>
        <w:color w:val="1B3A5C"/>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2"/>
    <w:lvlOverride w:ilvl="0">
      <w:startOverride w:val="1"/>
    </w:lvlOverride>
  </w:num>
  <w:num w:numId="5">
    <w:abstractNumId w:val="2"/>
    <w:lvlOverride w:ilvl="0">
      <w:startOverride w:val="1"/>
    </w:lvlOverride>
  </w:num>
  <w:num w:numId="6">
    <w:abstractNumId w:val="2"/>
    <w:lvlOverride w:ilvl="0">
      <w:startOverride w:val="1"/>
    </w:lvlOverride>
  </w:num>
  <w:num w:numId="7">
    <w:abstractNumId w:val="2"/>
    <w:lvlOverride w:ilvl="0">
      <w:startOverride w:val="1"/>
    </w:lvlOverride>
  </w:num>
  <w:num w:numId="8">
    <w:abstractNumId w:val="2"/>
    <w:lvlOverride w:ilvl="0">
      <w:startOverride w:val="1"/>
    </w:lvlOverride>
  </w:num>
  <w:num w:numId="9">
    <w:abstractNumId w:val="2"/>
    <w:lvlOverride w:ilvl="0">
      <w:startOverride w:val="1"/>
    </w:lvlOverride>
  </w:num>
  <w:num w:numId="10">
    <w:abstractNumId w:val="2"/>
    <w:lvlOverride w:ilvl="0">
      <w:startOverride w:val="1"/>
    </w:lvlOverride>
  </w:num>
  <w:num w:numId="11">
    <w:abstractNumId w:val="2"/>
    <w:lvlOverride w:ilvl="0">
      <w:startOverride w:val="1"/>
    </w:lvlOverride>
  </w:num>
  <w:num w:numId="12">
    <w:abstractNumId w:val="2"/>
    <w:lvlOverride w:ilvl="0">
      <w:startOverride w:val="1"/>
    </w:lvlOverride>
  </w:num>
  <w:num w:numId="13">
    <w:abstractNumId w:val="2"/>
    <w:lvlOverride w:ilvl="0">
      <w:startOverride w:val="1"/>
    </w:lvlOverride>
  </w:num>
  <w:num w:numId="14">
    <w:abstractNumId w:val="2"/>
    <w:lvlOverride w:ilvl="0">
      <w:startOverride w:val="1"/>
    </w:lvlOverride>
  </w:num>
  <w:num w:numId="15">
    <w:abstractNumId w:val="2"/>
    <w:lvlOverride w:ilvl="0">
      <w:startOverride w:val="1"/>
    </w:lvlOverride>
  </w:num>
  <w:num w:numId="16">
    <w:abstractNumId w:val="2"/>
    <w:lvlOverride w:ilvl="0">
      <w:startOverride w:val="1"/>
    </w:lvlOverride>
  </w:num>
  <w:num w:numId="17">
    <w:abstractNumId w:val="2"/>
    <w:lvlOverride w:ilvl="0">
      <w:startOverride w:val="1"/>
    </w:lvlOverride>
  </w:num>
  <w:num w:numId="18">
    <w:abstractNumId w:val="2"/>
    <w:lvlOverride w:ilvl="0">
      <w:startOverride w:val="1"/>
    </w:lvlOverride>
  </w:num>
  <w:num w:numId="19">
    <w:abstractNumId w:val="2"/>
    <w:lvlOverride w:ilvl="0">
      <w:startOverride w:val="1"/>
    </w:lvlOverride>
  </w:num>
  <w:num w:numId="20">
    <w:abstractNumId w:val="2"/>
    <w:lvlOverride w:ilvl="0">
      <w:startOverride w:val="1"/>
    </w:lvlOverride>
  </w:num>
  <w:num w:numId="21">
    <w:abstractNumId w:val="2"/>
    <w:lvlOverride w:ilvl="0">
      <w:startOverride w:val="1"/>
    </w:lvlOverride>
  </w:num>
  <w:num w:numId="22">
    <w:abstractNumId w:val="2"/>
    <w:lvlOverride w:ilvl="0">
      <w:startOverride w:val="1"/>
    </w:lvlOverride>
  </w:num>
  <w:num w:numId="23">
    <w:abstractNumId w:val="2"/>
    <w:lvlOverride w:ilvl="0">
      <w:startOverride w:val="1"/>
    </w:lvlOverride>
  </w:num>
  <w:num w:numId="24">
    <w:abstractNumId w:val="2"/>
    <w:lvlOverride w:ilvl="0">
      <w:startOverride w:val="1"/>
    </w:lvlOverride>
  </w:num>
  <w:num w:numId="25">
    <w:abstractNumId w:val="2"/>
    <w:lvlOverride w:ilvl="0">
      <w:startOverride w:val="1"/>
    </w:lvlOverride>
  </w:num>
  <w:num w:numId="26">
    <w:abstractNumId w:val="2"/>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2"/>
    <w:lvlOverride w:ilvl="0">
      <w:startOverride w:val="1"/>
    </w:lvlOverride>
  </w:num>
  <w:num w:numId="30">
    <w:abstractNumId w:val="2"/>
    <w:lvlOverride w:ilvl="0">
      <w:startOverride w:val="1"/>
    </w:lvlOverride>
  </w:num>
  <w:num w:numId="31">
    <w:abstractNumId w:val="2"/>
    <w:lvlOverride w:ilvl="0">
      <w:startOverride w:val="1"/>
    </w:lvlOverride>
  </w:num>
  <w:num w:numId="32">
    <w:abstractNumId w:val="2"/>
    <w:lvlOverride w:ilvl="0">
      <w:startOverride w:val="1"/>
    </w:lvlOverride>
  </w:num>
  <w:num w:numId="33">
    <w:abstractNumId w:val="2"/>
    <w:lvlOverride w:ilvl="0">
      <w:startOverride w:val="1"/>
    </w:lvlOverride>
  </w:num>
  <w:num w:numId="34">
    <w:abstractNumId w:val="2"/>
    <w:lvlOverride w:ilvl="0">
      <w:startOverride w:val="1"/>
    </w:lvlOverride>
  </w:num>
  <w:num w:numId="35">
    <w:abstractNumId w:val="2"/>
    <w:lvlOverride w:ilvl="0">
      <w:startOverride w:val="1"/>
    </w:lvlOverride>
  </w:num>
  <w:num w:numId="36">
    <w:abstractNumId w:val="2"/>
    <w:lvlOverride w:ilvl="0">
      <w:startOverride w:val="1"/>
    </w:lvlOverride>
  </w:num>
  <w:num w:numId="37">
    <w:abstractNumId w:val="2"/>
    <w:lvlOverride w:ilvl="0">
      <w:startOverride w:val="1"/>
    </w:lvlOverride>
  </w:num>
  <w:num w:numId="38">
    <w:abstractNumId w:val="2"/>
    <w:lvlOverride w:ilvl="0">
      <w:startOverride w:val="1"/>
    </w:lvlOverride>
  </w:num>
  <w:num w:numId="39">
    <w:abstractNumId w:val="2"/>
    <w:lvlOverride w:ilvl="0">
      <w:startOverride w:val="1"/>
    </w:lvlOverride>
  </w:num>
  <w:num w:numId="40">
    <w:abstractNumId w:val="2"/>
    <w:lvlOverride w:ilvl="0">
      <w:startOverride w:val="1"/>
    </w:lvlOverride>
  </w:num>
  <w:num w:numId="41">
    <w:abstractNumId w:val="2"/>
    <w:lvlOverride w:ilvl="0">
      <w:startOverride w:val="1"/>
    </w:lvlOverride>
  </w:num>
  <w:num w:numId="42">
    <w:abstractNumId w:val="3"/>
    <w:lvlOverride w:ilvl="0">
      <w:startOverride w:val="1"/>
    </w:lvlOverride>
  </w:num>
  <w:num w:numId="43">
    <w:abstractNumId w:val="2"/>
    <w:lvlOverride w:ilvl="0">
      <w:startOverride w:val="1"/>
    </w:lvlOverride>
  </w:num>
  <w:num w:numId="44">
    <w:abstractNumId w:val="2"/>
    <w:lvlOverride w:ilvl="0">
      <w:startOverride w:val="1"/>
    </w:lvlOverride>
  </w:num>
  <w:num w:numId="45">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303C"/>
        <w:sz w:val="20"/>
        <w:szCs w:val="20"/>
      </w:rPr>
    </w:rPrDefault>
    <w:pPrDefault>
      <w:pPr>
        <w:spacing w:after="130" w:line="268"/>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pBdr>
        <w:bottom w:val="single" w:color="1B3A5C" w:sz="8" w:space="6"/>
      </w:pBdr>
      <w:spacing w:after="170" w:before="320"/>
    </w:pPr>
    <w:rPr>
      <w:rFonts w:ascii="Calibri Light" w:cs="Calibri Light" w:eastAsia="Calibri Light" w:hAnsi="Calibri Light"/>
      <w:b/>
      <w:bCs/>
      <w:color w:val="1B3A5C"/>
      <w:sz w:val="28"/>
      <w:szCs w:val="28"/>
    </w:rPr>
  </w:style>
  <w:style w:type="paragraph" w:styleId="Heading2">
    <w:name w:val="Heading 2"/>
    <w:basedOn w:val="Normal"/>
    <w:next w:val="Normal"/>
    <w:qFormat/>
    <w:pPr>
      <w:keepNext/>
      <w:spacing w:after="120" w:before="260"/>
    </w:pPr>
    <w:rPr>
      <w:rFonts w:ascii="Calibri Light" w:cs="Calibri Light" w:eastAsia="Calibri Light" w:hAnsi="Calibri Light"/>
      <w:b/>
      <w:bCs/>
      <w:color w:val="1B3A5C"/>
      <w:sz w:val="23"/>
      <w:szCs w:val="23"/>
    </w:rPr>
  </w:style>
  <w:style w:type="paragraph" w:styleId="Heading3">
    <w:name w:val="Heading 3"/>
    <w:basedOn w:val="Normal"/>
    <w:next w:val="Normal"/>
    <w:qFormat/>
    <w:pPr>
      <w:keepNext/>
      <w:spacing w:after="100" w:before="200"/>
    </w:pPr>
    <w:rPr>
      <w:rFonts w:ascii="Calibri" w:cs="Calibri" w:eastAsia="Calibri" w:hAnsi="Calibri"/>
      <w:b/>
      <w:bCs/>
      <w:color w:val="42566B"/>
      <w:sz w:val="20"/>
      <w:szCs w:val="20"/>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image" Target="media/57e023787986397d6d0683652193b9bf0473f513.png"/><Relationship Id="rId18" Type="http://schemas.openxmlformats.org/officeDocument/2006/relationships/image" Target="media/e11b0287d65bf7d86f0a8d262ffe74c2401919dd.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Agent Capability Exchange — Architecture Decision Document</dc:title>
  <dc:creator>Office of the Chief Architect</dc:creator>
  <dc:description>Exposing business capability APIs to bring-your-own AI agents without MCP</dc:description>
  <cp:lastModifiedBy>Un-named</cp:lastModifiedBy>
  <cp:revision>1</cp:revision>
  <dcterms:created xsi:type="dcterms:W3CDTF">2026-07-30T00:06:34.284Z</dcterms:created>
  <dcterms:modified xsi:type="dcterms:W3CDTF">2026-07-30T00:06:34.297Z</dcterms:modified>
</cp:coreProperties>
</file>

<file path=docProps/custom.xml><?xml version="1.0" encoding="utf-8"?>
<Properties xmlns="http://schemas.openxmlformats.org/officeDocument/2006/custom-properties" xmlns:vt="http://schemas.openxmlformats.org/officeDocument/2006/docPropsVTypes"/>
</file>