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firstLine="110"/>
        <w:rPr/>
      </w:pPr>
      <w:bookmarkStart w:colFirst="0" w:colLast="0" w:name="_heading=h.hs9v3qcxqj1c" w:id="0"/>
      <w:bookmarkEnd w:id="0"/>
      <w:r w:rsidDel="00000000" w:rsidR="00000000" w:rsidRPr="00000000">
        <w:rPr>
          <w:rtl w:val="0"/>
        </w:rPr>
        <w:t xml:space="preserve">Project Analysis and Building Regulations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6" w:lineRule="auto"/>
        <w:ind w:left="110" w:right="2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Interior design for commercial projects requires more than creativity and an eye for aesthetics. It demands a deep understanding of the rules and regulations governing design in your specific location. These laws and standards ensure safety, accessibility, functionality, and environmental sustainability. Learning how to research and navigate these rules is a fundamental skill for any aspiring interior designer. In this article, we’ll outline how to approach this task, with examples from different countries to illustrate the process.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10" w:right="2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Ignoring regulations can lead to project delays, fines, or even the closure of a business. By mastering the research process, you ensure that your designs are not only beautiful but also compliant, safe, and functional. This professionalism enhances your reputation and helps build trust with clients.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231712</wp:posOffset>
            </wp:positionH>
            <wp:positionV relativeFrom="paragraph">
              <wp:posOffset>164387</wp:posOffset>
            </wp:positionV>
            <wp:extent cx="5247042" cy="3280600"/>
            <wp:effectExtent b="0" l="0" r="0" t="0"/>
            <wp:wrapTopAndBottom distB="0" distT="0"/>
            <wp:docPr id="2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247042" cy="3280600"/>
                    </a:xfrm>
                    <a:prstGeom prst="rect"/>
                    <a:ln/>
                  </pic:spPr>
                </pic:pic>
              </a:graphicData>
            </a:graphic>
          </wp:anchor>
        </w:drawing>
      </w:r>
    </w:p>
    <w:p w:rsidR="00000000" w:rsidDel="00000000" w:rsidP="00000000" w:rsidRDefault="00000000" w:rsidRPr="00000000" w14:paraId="00000007">
      <w:pPr>
        <w:spacing w:before="113" w:lineRule="auto"/>
        <w:ind w:left="992" w:right="0" w:firstLine="0"/>
        <w:jc w:val="left"/>
        <w:rPr>
          <w:sz w:val="20"/>
          <w:szCs w:val="20"/>
        </w:rPr>
      </w:pPr>
      <w:r w:rsidDel="00000000" w:rsidR="00000000" w:rsidRPr="00000000">
        <w:rPr>
          <w:sz w:val="20"/>
          <w:szCs w:val="20"/>
          <w:rtl w:val="0"/>
        </w:rPr>
        <w:t xml:space="preserve">Fig 1. Pexels (2024) architects sitting at a table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Interior design regulations encompass a wide range of areas, including: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85"/>
        </w:tabs>
        <w:spacing w:after="0" w:before="54" w:line="271" w:lineRule="auto"/>
        <w:ind w:left="484" w:right="570"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Building Codes: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that govern the construction and occupancy of buildings to ensure safety and structural integrity.</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85"/>
        </w:tabs>
        <w:spacing w:after="0" w:before="0" w:line="271" w:lineRule="auto"/>
        <w:ind w:left="484" w:right="534"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Fire Safety Regulations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Standards for fire exits, sprinkler systems, smoke detectors, and flame-resistant materials.</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85"/>
        </w:tabs>
        <w:spacing w:after="0" w:before="0" w:line="271" w:lineRule="auto"/>
        <w:ind w:left="484" w:right="790"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Accessibility Standards: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to ensure spaces are navigable and usable for individuals with disabilities.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85"/>
        </w:tabs>
        <w:spacing w:after="0" w:before="0" w:line="271" w:lineRule="auto"/>
        <w:ind w:left="484" w:right="681"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Environmental and Sustainability Standards: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Regulations regarding energy efficiency, waste management, and the use of sustainable materials.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85"/>
        </w:tabs>
        <w:spacing w:after="0" w:before="0" w:line="251" w:lineRule="auto"/>
        <w:ind w:left="484" w:right="0"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Zoning Laws: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regulations determining how a property can be used.</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85"/>
        </w:tabs>
        <w:spacing w:after="0" w:before="27" w:line="271" w:lineRule="auto"/>
        <w:ind w:left="484" w:right="693" w:hanging="206"/>
        <w:jc w:val="left"/>
        <w:rPr>
          <w:rFonts w:ascii="Arial" w:cs="Arial" w:eastAsia="Arial" w:hAnsi="Arial"/>
          <w:b w:val="0"/>
          <w:i w:val="0"/>
          <w:smallCaps w:val="0"/>
          <w:strike w:val="0"/>
          <w:color w:val="000000"/>
          <w:sz w:val="22"/>
          <w:szCs w:val="22"/>
          <w:u w:val="none"/>
          <w:shd w:fill="auto" w:val="clear"/>
          <w:vertAlign w:val="baseline"/>
        </w:rPr>
        <w:sectPr>
          <w:pgSz w:h="16850" w:w="11910" w:orient="portrait"/>
          <w:pgMar w:bottom="280" w:top="1180" w:left="1080" w:right="1000" w:header="360" w:footer="360"/>
          <w:pgNumType w:start="1"/>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Industry-Specific Regulations: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Standards tailored to specific commercial uses, such as healthcare facilities, restaurants, or retail spaces.</w:t>
      </w:r>
    </w:p>
    <w:p w:rsidR="00000000" w:rsidDel="00000000" w:rsidP="00000000" w:rsidRDefault="00000000" w:rsidRPr="00000000" w14:paraId="00000011">
      <w:pPr>
        <w:pStyle w:val="Heading1"/>
        <w:spacing w:line="538" w:lineRule="auto"/>
        <w:ind w:firstLine="110"/>
        <w:rPr/>
      </w:pPr>
      <w:r w:rsidDel="00000000" w:rsidR="00000000" w:rsidRPr="00000000">
        <w:rPr>
          <w:rtl w:val="0"/>
        </w:rPr>
        <w:t xml:space="preserve">Steps to Research Rules and Regulations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2"/>
        <w:numPr>
          <w:ilvl w:val="0"/>
          <w:numId w:val="2"/>
        </w:numPr>
        <w:tabs>
          <w:tab w:val="left" w:leader="none" w:pos="356"/>
        </w:tabs>
        <w:spacing w:after="0" w:before="53" w:line="240" w:lineRule="auto"/>
        <w:ind w:left="355" w:right="0" w:hanging="246"/>
        <w:jc w:val="left"/>
        <w:rPr/>
      </w:pPr>
      <w:r w:rsidDel="00000000" w:rsidR="00000000" w:rsidRPr="00000000">
        <w:rPr>
          <w:rtl w:val="0"/>
        </w:rPr>
        <w:t xml:space="preserve">Identify the Project Location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 w:right="2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 vary greatly from one country, state, or city to another. For example, the fire safety standards in Tokyo, Japan, are not identical to those in New York City, USA. Start by pinpointing the jurisdiction where your project is located.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2"/>
        <w:numPr>
          <w:ilvl w:val="0"/>
          <w:numId w:val="2"/>
        </w:numPr>
        <w:tabs>
          <w:tab w:val="left" w:leader="none" w:pos="356"/>
        </w:tabs>
        <w:spacing w:after="0" w:before="1" w:line="240" w:lineRule="auto"/>
        <w:ind w:left="355" w:right="0" w:hanging="246"/>
        <w:jc w:val="left"/>
        <w:rPr/>
      </w:pPr>
      <w:r w:rsidDel="00000000" w:rsidR="00000000" w:rsidRPr="00000000">
        <w:rPr>
          <w:rtl w:val="0"/>
        </w:rPr>
        <w:t xml:space="preserve">Determine Applicable Codes and Standards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 w:right="2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country typically has national building codes, while states or municipalities may have additional requirements. Examples include: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3" w:line="271" w:lineRule="auto"/>
        <w:ind w:left="720" w:right="255"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United Kingdom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Designers must comply with Building Regulations Approved Documents, such as Part B (Fire Safety) and Part M (Accessibility).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38100" cy="38100"/>
                <wp:effectExtent b="0" l="0" r="0" t="0"/>
                <wp:wrapNone/>
                <wp:docPr id="7" name=""/>
                <a:graphic>
                  <a:graphicData uri="http://schemas.microsoft.com/office/word/2010/wordprocessingShape">
                    <wps:wsp>
                      <wps:cNvSpPr/>
                      <wps:cNvPr id="3" name="Shape 3"/>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38100" cy="38100"/>
                <wp:effectExtent b="0" l="0" r="0" t="0"/>
                <wp:wrapNone/>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Australia: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Construction Code (NCC) governs building standards, including accessibility and sustainability.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15" name=""/>
                <a:graphic>
                  <a:graphicData uri="http://schemas.microsoft.com/office/word/2010/wordprocessingShape">
                    <wps:wsp>
                      <wps:cNvSpPr/>
                      <wps:cNvPr id="11" name="Shape 11"/>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15"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255"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United States: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Building Code (IBC) is widely used, with states and cities often adding amendments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23" name=""/>
                <a:graphic>
                  <a:graphicData uri="http://schemas.microsoft.com/office/word/2010/wordprocessingShape">
                    <wps:wsp>
                      <wps:cNvSpPr/>
                      <wps:cNvPr id="19" name="Shape 19"/>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23"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Building Code of India (NBC) outlines comprehensive building design and construction guidelines.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16" name=""/>
                <a:graphic>
                  <a:graphicData uri="http://schemas.microsoft.com/office/word/2010/wordprocessingShape">
                    <wps:wsp>
                      <wps:cNvSpPr/>
                      <wps:cNvPr id="12" name="Shape 12"/>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16"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1150562</wp:posOffset>
            </wp:positionH>
            <wp:positionV relativeFrom="paragraph">
              <wp:posOffset>186723</wp:posOffset>
            </wp:positionV>
            <wp:extent cx="3981510" cy="2645664"/>
            <wp:effectExtent b="0" l="0" r="0" t="0"/>
            <wp:wrapTopAndBottom distB="0" distT="0"/>
            <wp:docPr id="25"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3981510" cy="2645664"/>
                    </a:xfrm>
                    <a:prstGeom prst="rect"/>
                    <a:ln/>
                  </pic:spPr>
                </pic:pic>
              </a:graphicData>
            </a:graphic>
          </wp:anchor>
        </w:drawing>
      </w:r>
    </w:p>
    <w:p w:rsidR="00000000" w:rsidDel="00000000" w:rsidP="00000000" w:rsidRDefault="00000000" w:rsidRPr="00000000" w14:paraId="0000001E">
      <w:pPr>
        <w:spacing w:before="89" w:lineRule="auto"/>
        <w:ind w:left="1593" w:right="0" w:firstLine="0"/>
        <w:jc w:val="left"/>
        <w:rPr>
          <w:sz w:val="20"/>
          <w:szCs w:val="20"/>
        </w:rPr>
      </w:pPr>
      <w:r w:rsidDel="00000000" w:rsidR="00000000" w:rsidRPr="00000000">
        <w:rPr>
          <w:sz w:val="20"/>
          <w:szCs w:val="20"/>
          <w:rtl w:val="0"/>
        </w:rPr>
        <w:t xml:space="preserve">Fig 2. Pexels (2024) People pointing out parts of the floor plan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numPr>
          <w:ilvl w:val="0"/>
          <w:numId w:val="2"/>
        </w:numPr>
        <w:tabs>
          <w:tab w:val="left" w:leader="none" w:pos="356"/>
        </w:tabs>
        <w:spacing w:after="0" w:before="53" w:line="240" w:lineRule="auto"/>
        <w:ind w:left="355" w:right="0" w:hanging="246"/>
        <w:jc w:val="left"/>
        <w:rPr/>
      </w:pPr>
      <w:r w:rsidDel="00000000" w:rsidR="00000000" w:rsidRPr="00000000">
        <w:rPr>
          <w:rtl w:val="0"/>
        </w:rPr>
        <w:t xml:space="preserve">Use Online Resources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governments and professional organisations provide free online access to codes and standards. Examples include: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71" w:lineRule="auto"/>
        <w:ind w:left="4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The National Fire Protection Association (NFPA) offers fire safety codes. European Union: EN standards cover areas like materials and energy performance.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38100" cy="38100"/>
                <wp:effectExtent b="0" l="0" r="0" t="0"/>
                <wp:wrapNone/>
                <wp:docPr id="21" name=""/>
                <a:graphic>
                  <a:graphicData uri="http://schemas.microsoft.com/office/word/2010/wordprocessingShape">
                    <wps:wsp>
                      <wps:cNvSpPr/>
                      <wps:cNvPr id="17" name="Shape 17"/>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38100" cy="38100"/>
                <wp:effectExtent b="0" l="0" r="0" t="0"/>
                <wp:wrapNone/>
                <wp:docPr id="21"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292100</wp:posOffset>
                </wp:positionV>
                <wp:extent cx="38100" cy="38100"/>
                <wp:effectExtent b="0" l="0" r="0" t="0"/>
                <wp:wrapNone/>
                <wp:docPr id="10" name=""/>
                <a:graphic>
                  <a:graphicData uri="http://schemas.microsoft.com/office/word/2010/wordprocessingShape">
                    <wps:wsp>
                      <wps:cNvSpPr/>
                      <wps:cNvPr id="6" name="Shape 6"/>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292100</wp:posOffset>
                </wp:positionV>
                <wp:extent cx="38100" cy="38100"/>
                <wp:effectExtent b="0" l="0" r="0" t="0"/>
                <wp:wrapNone/>
                <wp:docPr id="10"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84" w:right="1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The National Research Council provides access to the National Building Code of Canada (NBC).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14" name=""/>
                <a:graphic>
                  <a:graphicData uri="http://schemas.microsoft.com/office/word/2010/wordprocessingShape">
                    <wps:wsp>
                      <wps:cNvSpPr/>
                      <wps:cNvPr id="10" name="Shape 10"/>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14"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numPr>
          <w:ilvl w:val="0"/>
          <w:numId w:val="2"/>
        </w:numPr>
        <w:tabs>
          <w:tab w:val="left" w:leader="none" w:pos="356"/>
        </w:tabs>
        <w:spacing w:after="0" w:before="0" w:line="240" w:lineRule="auto"/>
        <w:ind w:left="355" w:right="0" w:hanging="246"/>
        <w:jc w:val="left"/>
        <w:rPr/>
      </w:pPr>
      <w:r w:rsidDel="00000000" w:rsidR="00000000" w:rsidRPr="00000000">
        <w:rPr>
          <w:rtl w:val="0"/>
        </w:rPr>
        <w:t xml:space="preserve">Consult Local Authorities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 w:right="255"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140" w:left="1080" w:right="100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precise guidance, reach out to local building departments, zoning boards, or planning commissions. They can clarify which regulations apply to your project and whether you need permits.</w:t>
      </w:r>
    </w:p>
    <w:p w:rsidR="00000000" w:rsidDel="00000000" w:rsidP="00000000" w:rsidRDefault="00000000" w:rsidRPr="00000000" w14:paraId="00000028">
      <w:pPr>
        <w:pStyle w:val="Heading2"/>
        <w:numPr>
          <w:ilvl w:val="0"/>
          <w:numId w:val="2"/>
        </w:numPr>
        <w:tabs>
          <w:tab w:val="left" w:leader="none" w:pos="356"/>
        </w:tabs>
        <w:spacing w:after="0" w:before="31" w:line="240" w:lineRule="auto"/>
        <w:ind w:left="355" w:right="0" w:hanging="246"/>
        <w:jc w:val="left"/>
        <w:rPr/>
      </w:pPr>
      <w:r w:rsidDel="00000000" w:rsidR="00000000" w:rsidRPr="00000000">
        <w:rPr>
          <w:rtl w:val="0"/>
        </w:rPr>
        <w:t xml:space="preserve">Join Professional Organisations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Membership in organisations such as the International Interior Design Association (IIDA) or the American Society of Interior Designers (ASID) can provide access to resources, updates, and guidance.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numPr>
          <w:ilvl w:val="0"/>
          <w:numId w:val="2"/>
        </w:numPr>
        <w:tabs>
          <w:tab w:val="left" w:leader="none" w:pos="356"/>
        </w:tabs>
        <w:spacing w:after="0" w:before="0" w:line="240" w:lineRule="auto"/>
        <w:ind w:left="355" w:right="0" w:hanging="246"/>
        <w:jc w:val="left"/>
        <w:rPr/>
      </w:pPr>
      <w:r w:rsidDel="00000000" w:rsidR="00000000" w:rsidRPr="00000000">
        <w:rPr>
          <w:rtl w:val="0"/>
        </w:rPr>
        <w:t xml:space="preserve">Collaborate with Experts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 w:right="1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architects, engineers, and consultants experienced in commercial projects can help you navigate complex regulations. They often have in-depth knowledge of compliance issues.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961775</wp:posOffset>
            </wp:positionH>
            <wp:positionV relativeFrom="paragraph">
              <wp:posOffset>189668</wp:posOffset>
            </wp:positionV>
            <wp:extent cx="4262632" cy="2844927"/>
            <wp:effectExtent b="0" l="0" r="0" t="0"/>
            <wp:wrapTopAndBottom distB="0" distT="0"/>
            <wp:docPr id="24"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4262632" cy="2844927"/>
                    </a:xfrm>
                    <a:prstGeom prst="rect"/>
                    <a:ln/>
                  </pic:spPr>
                </pic:pic>
              </a:graphicData>
            </a:graphic>
          </wp:anchor>
        </w:drawing>
      </w:r>
    </w:p>
    <w:p w:rsidR="00000000" w:rsidDel="00000000" w:rsidP="00000000" w:rsidRDefault="00000000" w:rsidRPr="00000000" w14:paraId="0000002E">
      <w:pPr>
        <w:spacing w:before="2" w:lineRule="auto"/>
        <w:ind w:left="1514" w:right="0" w:firstLine="0"/>
        <w:jc w:val="left"/>
        <w:rPr>
          <w:sz w:val="20"/>
          <w:szCs w:val="20"/>
        </w:rPr>
      </w:pPr>
      <w:r w:rsidDel="00000000" w:rsidR="00000000" w:rsidRPr="00000000">
        <w:rPr>
          <w:sz w:val="20"/>
          <w:szCs w:val="20"/>
          <w:rtl w:val="0"/>
        </w:rPr>
        <w:t xml:space="preserve">Fig 3. Pexels (nd) House seller and Clients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spacing w:line="550" w:lineRule="auto"/>
        <w:ind w:left="430" w:firstLine="0"/>
        <w:rPr/>
      </w:pPr>
      <w:r w:rsidDel="00000000" w:rsidR="00000000" w:rsidRPr="00000000">
        <w:rPr>
          <w:rtl w:val="0"/>
        </w:rPr>
        <w:t xml:space="preserve">Organising your Research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71" w:lineRule="auto"/>
        <w:ind w:left="430" w:right="1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Organising your research is crucial to ensure accuracy and efficiency. Consider the following steps: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numPr>
          <w:ilvl w:val="1"/>
          <w:numId w:val="2"/>
        </w:numPr>
        <w:tabs>
          <w:tab w:val="left" w:leader="none" w:pos="805"/>
        </w:tabs>
        <w:spacing w:after="0" w:before="53" w:line="240" w:lineRule="auto"/>
        <w:ind w:left="804" w:right="0" w:hanging="206"/>
        <w:jc w:val="left"/>
        <w:rPr>
          <w:b w:val="0"/>
        </w:rPr>
      </w:pPr>
      <w:r w:rsidDel="00000000" w:rsidR="00000000" w:rsidRPr="00000000">
        <w:rPr>
          <w:rtl w:val="0"/>
        </w:rPr>
        <w:t xml:space="preserve">Create a Visual Framework:</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804" w:right="1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mind maps, flowcharts, or visual organisers to outline key regulations and how they interconnect.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38100" cy="38100"/>
                <wp:effectExtent b="0" l="0" r="0" t="0"/>
                <wp:wrapNone/>
                <wp:docPr id="17" name=""/>
                <a:graphic>
                  <a:graphicData uri="http://schemas.microsoft.com/office/word/2010/wordprocessingShape">
                    <wps:wsp>
                      <wps:cNvSpPr/>
                      <wps:cNvPr id="13" name="Shape 13"/>
                      <wps:spPr>
                        <a:xfrm>
                          <a:off x="6017514" y="3765713"/>
                          <a:ext cx="28575" cy="28575"/>
                        </a:xfrm>
                        <a:custGeom>
                          <a:rect b="b" l="l" r="r" t="t"/>
                          <a:pathLst>
                            <a:path extrusionOk="0" h="28575" w="28575">
                              <a:moveTo>
                                <a:pt x="15875" y="28575"/>
                              </a:moveTo>
                              <a:lnTo>
                                <a:pt x="12065" y="28575"/>
                              </a:lnTo>
                              <a:lnTo>
                                <a:pt x="10795"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38100" cy="38100"/>
                <wp:effectExtent b="0" l="0" r="0" t="0"/>
                <wp:wrapNone/>
                <wp:docPr id="17"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Colour-code different categories of regulations (e.g., fire safety in red, accessibility in green) for easier identification.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76200</wp:posOffset>
                </wp:positionV>
                <wp:extent cx="38100" cy="38100"/>
                <wp:effectExtent b="0" l="0" r="0" t="0"/>
                <wp:wrapNone/>
                <wp:docPr id="19" name=""/>
                <a:graphic>
                  <a:graphicData uri="http://schemas.microsoft.com/office/word/2010/wordprocessingShape">
                    <wps:wsp>
                      <wps:cNvSpPr/>
                      <wps:cNvPr id="15" name="Shape 15"/>
                      <wps:spPr>
                        <a:xfrm>
                          <a:off x="6017514" y="3765713"/>
                          <a:ext cx="28575" cy="28575"/>
                        </a:xfrm>
                        <a:custGeom>
                          <a:rect b="b" l="l" r="r" t="t"/>
                          <a:pathLst>
                            <a:path extrusionOk="0" h="28575" w="28575">
                              <a:moveTo>
                                <a:pt x="15875" y="28575"/>
                              </a:moveTo>
                              <a:lnTo>
                                <a:pt x="12065" y="28575"/>
                              </a:lnTo>
                              <a:lnTo>
                                <a:pt x="10795"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76200</wp:posOffset>
                </wp:positionV>
                <wp:extent cx="38100" cy="38100"/>
                <wp:effectExtent b="0" l="0" r="0" t="0"/>
                <wp:wrapNone/>
                <wp:docPr id="19"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numPr>
          <w:ilvl w:val="1"/>
          <w:numId w:val="2"/>
        </w:numPr>
        <w:tabs>
          <w:tab w:val="left" w:leader="none" w:pos="676"/>
        </w:tabs>
        <w:spacing w:after="0" w:before="0" w:line="240" w:lineRule="auto"/>
        <w:ind w:left="675" w:right="0" w:hanging="246"/>
        <w:jc w:val="left"/>
        <w:rPr>
          <w:b w:val="0"/>
        </w:rPr>
      </w:pPr>
      <w:r w:rsidDel="00000000" w:rsidR="00000000" w:rsidRPr="00000000">
        <w:rPr>
          <w:rtl w:val="0"/>
        </w:rPr>
        <w:t xml:space="preserve">Break It Down:</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8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your research into manageable chunks, focusing on one area (e.g., fire safety) at a time to avoid overwhelm.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38100" cy="38100"/>
                <wp:effectExtent b="0" l="0" r="0" t="0"/>
                <wp:wrapNone/>
                <wp:docPr id="8" name=""/>
                <a:graphic>
                  <a:graphicData uri="http://schemas.microsoft.com/office/word/2010/wordprocessingShape">
                    <wps:wsp>
                      <wps:cNvSpPr/>
                      <wps:cNvPr id="4" name="Shape 4"/>
                      <wps:spPr>
                        <a:xfrm>
                          <a:off x="6017514" y="3765713"/>
                          <a:ext cx="28575" cy="28575"/>
                        </a:xfrm>
                        <a:custGeom>
                          <a:rect b="b" l="l" r="r" t="t"/>
                          <a:pathLst>
                            <a:path extrusionOk="0" h="28575" w="28575">
                              <a:moveTo>
                                <a:pt x="15875" y="28575"/>
                              </a:moveTo>
                              <a:lnTo>
                                <a:pt x="12065" y="28575"/>
                              </a:lnTo>
                              <a:lnTo>
                                <a:pt x="10795"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38100" cy="38100"/>
                <wp:effectExtent b="0" l="0" r="0" t="0"/>
                <wp:wrapNone/>
                <wp:docPr id="8"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8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bullet points or numbered lists to simplify information.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76200</wp:posOffset>
                </wp:positionV>
                <wp:extent cx="38100" cy="38100"/>
                <wp:effectExtent b="0" l="0" r="0" t="0"/>
                <wp:wrapNone/>
                <wp:docPr id="9" name=""/>
                <a:graphic>
                  <a:graphicData uri="http://schemas.microsoft.com/office/word/2010/wordprocessingShape">
                    <wps:wsp>
                      <wps:cNvSpPr/>
                      <wps:cNvPr id="5" name="Shape 5"/>
                      <wps:spPr>
                        <a:xfrm>
                          <a:off x="6017514" y="3765713"/>
                          <a:ext cx="28575" cy="28575"/>
                        </a:xfrm>
                        <a:custGeom>
                          <a:rect b="b" l="l" r="r" t="t"/>
                          <a:pathLst>
                            <a:path extrusionOk="0" h="28575" w="28575">
                              <a:moveTo>
                                <a:pt x="15875" y="28575"/>
                              </a:moveTo>
                              <a:lnTo>
                                <a:pt x="12065" y="28575"/>
                              </a:lnTo>
                              <a:lnTo>
                                <a:pt x="10795" y="27940"/>
                              </a:lnTo>
                              <a:lnTo>
                                <a:pt x="0" y="15875"/>
                              </a:lnTo>
                              <a:lnTo>
                                <a:pt x="0" y="12065"/>
                              </a:lnTo>
                              <a:lnTo>
                                <a:pt x="12065" y="0"/>
                              </a:lnTo>
                              <a:lnTo>
                                <a:pt x="15875" y="0"/>
                              </a:lnTo>
                              <a:lnTo>
                                <a:pt x="28575" y="13970"/>
                              </a:lnTo>
                              <a:lnTo>
                                <a:pt x="28575" y="15875"/>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76200</wp:posOffset>
                </wp:positionV>
                <wp:extent cx="38100" cy="38100"/>
                <wp:effectExtent b="0" l="0" r="0" t="0"/>
                <wp:wrapNone/>
                <wp:docPr id="9"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2"/>
        <w:numPr>
          <w:ilvl w:val="1"/>
          <w:numId w:val="2"/>
        </w:numPr>
        <w:tabs>
          <w:tab w:val="left" w:leader="none" w:pos="676"/>
        </w:tabs>
        <w:spacing w:after="0" w:before="0" w:line="240" w:lineRule="auto"/>
        <w:ind w:left="675" w:right="0" w:hanging="246"/>
        <w:jc w:val="left"/>
        <w:rPr>
          <w:b w:val="0"/>
        </w:rPr>
      </w:pPr>
      <w:r w:rsidDel="00000000" w:rsidR="00000000" w:rsidRPr="00000000">
        <w:rPr>
          <w:rtl w:val="0"/>
        </w:rPr>
        <w:t xml:space="preserve">Use Technology:</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8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Leverage apps like Trello, Evernote, or Microsoft OneNote to organise your notes and categorise information.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38100" cy="38100"/>
                <wp:effectExtent b="0" l="0" r="0" t="0"/>
                <wp:wrapNone/>
                <wp:docPr id="11" name=""/>
                <a:graphic>
                  <a:graphicData uri="http://schemas.microsoft.com/office/word/2010/wordprocessingShape">
                    <wps:wsp>
                      <wps:cNvSpPr/>
                      <wps:cNvPr id="7" name="Shape 7"/>
                      <wps:spPr>
                        <a:xfrm>
                          <a:off x="6017514" y="3765713"/>
                          <a:ext cx="28575" cy="28575"/>
                        </a:xfrm>
                        <a:custGeom>
                          <a:rect b="b" l="l" r="r" t="t"/>
                          <a:pathLst>
                            <a:path extrusionOk="0" h="28575" w="28575">
                              <a:moveTo>
                                <a:pt x="15875" y="28575"/>
                              </a:moveTo>
                              <a:lnTo>
                                <a:pt x="12065" y="28575"/>
                              </a:lnTo>
                              <a:lnTo>
                                <a:pt x="10795"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38100" cy="38100"/>
                <wp:effectExtent b="0" l="0" r="0" t="0"/>
                <wp:wrapNone/>
                <wp:docPr id="11"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804"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120" w:left="1080" w:right="100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speech-to-text tools for dictating notes if typing or writing is challenging.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76200</wp:posOffset>
                </wp:positionV>
                <wp:extent cx="38100" cy="38100"/>
                <wp:effectExtent b="0" l="0" r="0" t="0"/>
                <wp:wrapNone/>
                <wp:docPr id="6" name=""/>
                <a:graphic>
                  <a:graphicData uri="http://schemas.microsoft.com/office/word/2010/wordprocessingShape">
                    <wps:wsp>
                      <wps:cNvSpPr/>
                      <wps:cNvPr id="2" name="Shape 2"/>
                      <wps:spPr>
                        <a:xfrm>
                          <a:off x="6017514" y="3765713"/>
                          <a:ext cx="28575" cy="28575"/>
                        </a:xfrm>
                        <a:custGeom>
                          <a:rect b="b" l="l" r="r" t="t"/>
                          <a:pathLst>
                            <a:path extrusionOk="0" h="28575" w="28575">
                              <a:moveTo>
                                <a:pt x="15875" y="28575"/>
                              </a:moveTo>
                              <a:lnTo>
                                <a:pt x="12065" y="28575"/>
                              </a:lnTo>
                              <a:lnTo>
                                <a:pt x="10795" y="27940"/>
                              </a:lnTo>
                              <a:lnTo>
                                <a:pt x="0" y="15875"/>
                              </a:lnTo>
                              <a:lnTo>
                                <a:pt x="0" y="12065"/>
                              </a:lnTo>
                              <a:lnTo>
                                <a:pt x="12065" y="0"/>
                              </a:lnTo>
                              <a:lnTo>
                                <a:pt x="15875" y="0"/>
                              </a:lnTo>
                              <a:lnTo>
                                <a:pt x="28575" y="13970"/>
                              </a:lnTo>
                              <a:lnTo>
                                <a:pt x="28575" y="15875"/>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76200</wp:posOffset>
                </wp:positionV>
                <wp:extent cx="38100" cy="38100"/>
                <wp:effectExtent b="0" l="0" r="0" t="0"/>
                <wp:wrapNone/>
                <wp:docPr id="6"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0">
      <w:pPr>
        <w:pStyle w:val="Heading2"/>
        <w:numPr>
          <w:ilvl w:val="1"/>
          <w:numId w:val="2"/>
        </w:numPr>
        <w:tabs>
          <w:tab w:val="left" w:leader="none" w:pos="356"/>
        </w:tabs>
        <w:spacing w:after="0" w:before="31" w:line="240" w:lineRule="auto"/>
        <w:ind w:left="355" w:right="0" w:hanging="246"/>
        <w:jc w:val="left"/>
        <w:rPr/>
      </w:pPr>
      <w:r w:rsidDel="00000000" w:rsidR="00000000" w:rsidRPr="00000000">
        <w:rPr>
          <w:rtl w:val="0"/>
        </w:rPr>
        <w:t xml:space="preserve">Set Clear Goals: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a specific question or goal for each research session, such as "Find fire safety regulations for London."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101600</wp:posOffset>
                </wp:positionV>
                <wp:extent cx="38100" cy="38100"/>
                <wp:effectExtent b="0" l="0" r="0" t="0"/>
                <wp:wrapNone/>
                <wp:docPr id="13" name=""/>
                <a:graphic>
                  <a:graphicData uri="http://schemas.microsoft.com/office/word/2010/wordprocessingShape">
                    <wps:wsp>
                      <wps:cNvSpPr/>
                      <wps:cNvPr id="9" name="Shape 9"/>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101600</wp:posOffset>
                </wp:positionV>
                <wp:extent cx="38100" cy="38100"/>
                <wp:effectExtent b="0" l="0" r="0" t="0"/>
                <wp:wrapNone/>
                <wp:docPr id="13"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numPr>
          <w:ilvl w:val="0"/>
          <w:numId w:val="1"/>
        </w:numPr>
        <w:tabs>
          <w:tab w:val="left" w:leader="none" w:pos="356"/>
        </w:tabs>
        <w:spacing w:after="0" w:before="1" w:line="271" w:lineRule="auto"/>
        <w:ind w:left="110" w:right="553" w:firstLine="0"/>
        <w:jc w:val="left"/>
        <w:rPr/>
      </w:pPr>
      <w:r w:rsidDel="00000000" w:rsidR="00000000" w:rsidRPr="00000000">
        <w:rPr>
          <w:rtl w:val="0"/>
        </w:rPr>
        <w:t xml:space="preserve">Use Accessible Resources (should you require them, these should be made available upon request):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 for materials in accessible formats (e.g., audio guides, large print, or simplified language versions of codes).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18" name=""/>
                <a:graphic>
                  <a:graphicData uri="http://schemas.microsoft.com/office/word/2010/wordprocessingShape">
                    <wps:wsp>
                      <wps:cNvSpPr/>
                      <wps:cNvPr id="14" name="Shape 14"/>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18"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explanatory videos or attend webinars.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22" name=""/>
                <a:graphic>
                  <a:graphicData uri="http://schemas.microsoft.com/office/word/2010/wordprocessingShape">
                    <wps:wsp>
                      <wps:cNvSpPr/>
                      <wps:cNvPr id="18" name="Shape 18"/>
                      <wps:spPr>
                        <a:xfrm>
                          <a:off x="6017514" y="3765713"/>
                          <a:ext cx="28575" cy="28575"/>
                        </a:xfrm>
                        <a:custGeom>
                          <a:rect b="b" l="l" r="r" t="t"/>
                          <a:pathLst>
                            <a:path extrusionOk="0" h="28575" w="28575">
                              <a:moveTo>
                                <a:pt x="15875" y="28575"/>
                              </a:moveTo>
                              <a:lnTo>
                                <a:pt x="12065" y="28575"/>
                              </a:lnTo>
                              <a:lnTo>
                                <a:pt x="10160" y="27940"/>
                              </a:lnTo>
                              <a:lnTo>
                                <a:pt x="0" y="15875"/>
                              </a:lnTo>
                              <a:lnTo>
                                <a:pt x="0" y="12065"/>
                              </a:lnTo>
                              <a:lnTo>
                                <a:pt x="12065" y="0"/>
                              </a:lnTo>
                              <a:lnTo>
                                <a:pt x="15875" y="0"/>
                              </a:lnTo>
                              <a:lnTo>
                                <a:pt x="28575" y="13970"/>
                              </a:lnTo>
                              <a:lnTo>
                                <a:pt x="28575" y="15875"/>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22"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numPr>
          <w:ilvl w:val="0"/>
          <w:numId w:val="1"/>
        </w:numPr>
        <w:tabs>
          <w:tab w:val="left" w:leader="none" w:pos="356"/>
        </w:tabs>
        <w:spacing w:after="0" w:before="0" w:line="240" w:lineRule="auto"/>
        <w:ind w:left="355" w:right="0" w:hanging="246"/>
        <w:jc w:val="left"/>
        <w:rPr/>
      </w:pPr>
      <w:r w:rsidDel="00000000" w:rsidR="00000000" w:rsidRPr="00000000">
        <w:rPr>
          <w:rtl w:val="0"/>
        </w:rPr>
        <w:t xml:space="preserve">Create a Summary Document: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Condense your research into a clear, easy-to-read summary.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101600</wp:posOffset>
                </wp:positionV>
                <wp:extent cx="38100" cy="38100"/>
                <wp:effectExtent b="0" l="0" r="0" t="0"/>
                <wp:wrapNone/>
                <wp:docPr id="12" name=""/>
                <a:graphic>
                  <a:graphicData uri="http://schemas.microsoft.com/office/word/2010/wordprocessingShape">
                    <wps:wsp>
                      <wps:cNvSpPr/>
                      <wps:cNvPr id="8" name="Shape 8"/>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101600</wp:posOffset>
                </wp:positionV>
                <wp:extent cx="38100" cy="38100"/>
                <wp:effectExtent b="0" l="0" r="0" t="0"/>
                <wp:wrapNone/>
                <wp:docPr id="12"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headings, subheadings, and highlights to make it visually appealing and user-friendly.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101600</wp:posOffset>
                </wp:positionV>
                <wp:extent cx="38100" cy="38100"/>
                <wp:effectExtent b="0" l="0" r="0" t="0"/>
                <wp:wrapNone/>
                <wp:docPr id="20" name=""/>
                <a:graphic>
                  <a:graphicData uri="http://schemas.microsoft.com/office/word/2010/wordprocessingShape">
                    <wps:wsp>
                      <wps:cNvSpPr/>
                      <wps:cNvPr id="16" name="Shape 16"/>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101600</wp:posOffset>
                </wp:positionV>
                <wp:extent cx="38100" cy="38100"/>
                <wp:effectExtent b="0" l="0" r="0" t="0"/>
                <wp:wrapNone/>
                <wp:docPr id="20"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Researching rules and regulations in interior design may seem daunting, but with a systematic approach, it becomes a manageable and rewarding task. As a designer, your ability to create stunning and compliant spaces will set you apart in the competitive world of commercial interior design. Whether you’re working on a retail store in London, a restaurant in New York City, or an office in Sydney, mastering the art of regulatory research is an indispensable skill that will elevate your career.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ind w:firstLine="110"/>
        <w:rPr/>
      </w:pPr>
      <w:r w:rsidDel="00000000" w:rsidR="00000000" w:rsidRPr="00000000">
        <w:rPr>
          <w:rtl w:val="0"/>
        </w:rPr>
        <w:t xml:space="preserve">Case Study Examples</w:t>
      </w:r>
    </w:p>
    <w:p w:rsidR="00000000" w:rsidDel="00000000" w:rsidP="00000000" w:rsidRDefault="00000000" w:rsidRPr="00000000" w14:paraId="0000004F">
      <w:pPr>
        <w:pStyle w:val="Heading2"/>
        <w:spacing w:before="345" w:lineRule="auto"/>
        <w:ind w:left="110" w:firstLine="0"/>
        <w:rPr/>
      </w:pPr>
      <w:r w:rsidDel="00000000" w:rsidR="00000000" w:rsidRPr="00000000">
        <w:rPr>
          <w:rtl w:val="0"/>
        </w:rPr>
        <w:t xml:space="preserve">Example 1: Fire Safety in London, United Kingdom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 w:right="2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interior designers must comply with the Building Regulations Part B, which outlines fire safety requirements. This includes ensuring that all materials meet fire-resistance standards, that evacuation routes are well-lit and unobstructed, and that proper signage and fire extinguishers are in place.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ind w:left="110" w:firstLine="0"/>
        <w:rPr/>
      </w:pPr>
      <w:r w:rsidDel="00000000" w:rsidR="00000000" w:rsidRPr="00000000">
        <w:rPr>
          <w:rtl w:val="0"/>
        </w:rPr>
        <w:t xml:space="preserve">Example 2: Accessibility in New York City, United States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 w:right="2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City, commercial interior designs must comply with the Americans with Disabilities Act (ADA) and local building codes. This involves providing wheelchair-accessible entrances, compliant bathroom facilities, and clear signage for visually impaired individuals.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ind w:left="110" w:firstLine="0"/>
        <w:rPr/>
      </w:pPr>
      <w:r w:rsidDel="00000000" w:rsidR="00000000" w:rsidRPr="00000000">
        <w:rPr>
          <w:rtl w:val="0"/>
        </w:rPr>
        <w:t xml:space="preserve">Example 3: Sustainability in Sydney, Australia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 w:right="1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Sydney’s commitment to sustainability is reflected in the National Construction Code’s energy efficiency provisions. Designers often incorporate features such as energy-efficient HVAC systems, LED lighting, and sustainable building materials to meet these standards.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 w:right="165"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 w:right="165" w:firstLine="0"/>
        <w:jc w:val="left"/>
        <w:rPr/>
      </w:pPr>
      <w:r w:rsidDel="00000000" w:rsidR="00000000" w:rsidRPr="00000000">
        <w:rPr>
          <w:rtl w:val="0"/>
        </w:rPr>
        <w:t xml:space="preserve">Understanding and adhering to building regulations is crucial for successful interior design. It ensures safe, functional, and compliant spaces, fostering creativity within a necessary framework and ultimately leading to projects that are both beautiful and beneficial for all users.</w:t>
      </w:r>
    </w:p>
    <w:sectPr>
      <w:type w:val="nextPage"/>
      <w:pgSz w:h="16850" w:w="11910" w:orient="portrait"/>
      <w:pgMar w:bottom="280" w:top="1120" w:left="1080" w:right="10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110" w:hanging="245"/>
      </w:pPr>
      <w:rPr>
        <w:rFonts w:ascii="Arial" w:cs="Arial" w:eastAsia="Arial" w:hAnsi="Arial"/>
        <w:b w:val="1"/>
        <w:i w:val="0"/>
        <w:sz w:val="22"/>
        <w:szCs w:val="22"/>
      </w:rPr>
    </w:lvl>
    <w:lvl w:ilvl="1">
      <w:start w:val="0"/>
      <w:numFmt w:val="bullet"/>
      <w:lvlText w:val="•"/>
      <w:lvlJc w:val="left"/>
      <w:pPr>
        <w:ind w:left="1091" w:hanging="245"/>
      </w:pPr>
      <w:rPr/>
    </w:lvl>
    <w:lvl w:ilvl="2">
      <w:start w:val="0"/>
      <w:numFmt w:val="bullet"/>
      <w:lvlText w:val="•"/>
      <w:lvlJc w:val="left"/>
      <w:pPr>
        <w:ind w:left="2062" w:hanging="245"/>
      </w:pPr>
      <w:rPr/>
    </w:lvl>
    <w:lvl w:ilvl="3">
      <w:start w:val="0"/>
      <w:numFmt w:val="bullet"/>
      <w:lvlText w:val="•"/>
      <w:lvlJc w:val="left"/>
      <w:pPr>
        <w:ind w:left="3033" w:hanging="245"/>
      </w:pPr>
      <w:rPr/>
    </w:lvl>
    <w:lvl w:ilvl="4">
      <w:start w:val="0"/>
      <w:numFmt w:val="bullet"/>
      <w:lvlText w:val="•"/>
      <w:lvlJc w:val="left"/>
      <w:pPr>
        <w:ind w:left="4004" w:hanging="245"/>
      </w:pPr>
      <w:rPr/>
    </w:lvl>
    <w:lvl w:ilvl="5">
      <w:start w:val="0"/>
      <w:numFmt w:val="bullet"/>
      <w:lvlText w:val="•"/>
      <w:lvlJc w:val="left"/>
      <w:pPr>
        <w:ind w:left="4975" w:hanging="245"/>
      </w:pPr>
      <w:rPr/>
    </w:lvl>
    <w:lvl w:ilvl="6">
      <w:start w:val="0"/>
      <w:numFmt w:val="bullet"/>
      <w:lvlText w:val="•"/>
      <w:lvlJc w:val="left"/>
      <w:pPr>
        <w:ind w:left="5946" w:hanging="245"/>
      </w:pPr>
      <w:rPr/>
    </w:lvl>
    <w:lvl w:ilvl="7">
      <w:start w:val="0"/>
      <w:numFmt w:val="bullet"/>
      <w:lvlText w:val="•"/>
      <w:lvlJc w:val="left"/>
      <w:pPr>
        <w:ind w:left="6917" w:hanging="245"/>
      </w:pPr>
      <w:rPr/>
    </w:lvl>
    <w:lvl w:ilvl="8">
      <w:start w:val="0"/>
      <w:numFmt w:val="bullet"/>
      <w:lvlText w:val="•"/>
      <w:lvlJc w:val="left"/>
      <w:pPr>
        <w:ind w:left="7888" w:hanging="245"/>
      </w:pPr>
      <w:rPr/>
    </w:lvl>
  </w:abstractNum>
  <w:abstractNum w:abstractNumId="2">
    <w:lvl w:ilvl="0">
      <w:start w:val="1"/>
      <w:numFmt w:val="decimal"/>
      <w:lvlText w:val="%1."/>
      <w:lvlJc w:val="left"/>
      <w:pPr>
        <w:ind w:left="355" w:hanging="245"/>
      </w:pPr>
      <w:rPr>
        <w:rFonts w:ascii="Arial" w:cs="Arial" w:eastAsia="Arial" w:hAnsi="Arial"/>
        <w:b w:val="1"/>
        <w:i w:val="0"/>
        <w:sz w:val="22"/>
        <w:szCs w:val="22"/>
      </w:rPr>
    </w:lvl>
    <w:lvl w:ilvl="1">
      <w:start w:val="1"/>
      <w:numFmt w:val="decimal"/>
      <w:lvlText w:val="%2."/>
      <w:lvlJc w:val="left"/>
      <w:pPr>
        <w:ind w:left="804" w:hanging="206"/>
      </w:pPr>
      <w:rPr/>
    </w:lvl>
    <w:lvl w:ilvl="2">
      <w:start w:val="0"/>
      <w:numFmt w:val="bullet"/>
      <w:lvlText w:val="•"/>
      <w:lvlJc w:val="left"/>
      <w:pPr>
        <w:ind w:left="1803" w:hanging="205.99999999999977"/>
      </w:pPr>
      <w:rPr/>
    </w:lvl>
    <w:lvl w:ilvl="3">
      <w:start w:val="0"/>
      <w:numFmt w:val="bullet"/>
      <w:lvlText w:val="•"/>
      <w:lvlJc w:val="left"/>
      <w:pPr>
        <w:ind w:left="2806" w:hanging="206"/>
      </w:pPr>
      <w:rPr/>
    </w:lvl>
    <w:lvl w:ilvl="4">
      <w:start w:val="0"/>
      <w:numFmt w:val="bullet"/>
      <w:lvlText w:val="•"/>
      <w:lvlJc w:val="left"/>
      <w:pPr>
        <w:ind w:left="3810" w:hanging="206"/>
      </w:pPr>
      <w:rPr/>
    </w:lvl>
    <w:lvl w:ilvl="5">
      <w:start w:val="0"/>
      <w:numFmt w:val="bullet"/>
      <w:lvlText w:val="•"/>
      <w:lvlJc w:val="left"/>
      <w:pPr>
        <w:ind w:left="4813" w:hanging="206"/>
      </w:pPr>
      <w:rPr/>
    </w:lvl>
    <w:lvl w:ilvl="6">
      <w:start w:val="0"/>
      <w:numFmt w:val="bullet"/>
      <w:lvlText w:val="•"/>
      <w:lvlJc w:val="left"/>
      <w:pPr>
        <w:ind w:left="5816" w:hanging="206"/>
      </w:pPr>
      <w:rPr/>
    </w:lvl>
    <w:lvl w:ilvl="7">
      <w:start w:val="0"/>
      <w:numFmt w:val="bullet"/>
      <w:lvlText w:val="•"/>
      <w:lvlJc w:val="left"/>
      <w:pPr>
        <w:ind w:left="6820" w:hanging="206"/>
      </w:pPr>
      <w:rPr/>
    </w:lvl>
    <w:lvl w:ilvl="8">
      <w:start w:val="0"/>
      <w:numFmt w:val="bullet"/>
      <w:lvlText w:val="•"/>
      <w:lvlJc w:val="left"/>
      <w:pPr>
        <w:ind w:left="7823" w:hanging="206.0000000000009"/>
      </w:pPr>
      <w:rPr/>
    </w:lvl>
  </w:abstractNum>
  <w:abstractNum w:abstractNumId="3">
    <w:lvl w:ilvl="0">
      <w:start w:val="1"/>
      <w:numFmt w:val="decimal"/>
      <w:lvlText w:val="%1."/>
      <w:lvlJc w:val="left"/>
      <w:pPr>
        <w:ind w:left="484" w:hanging="206"/>
      </w:pPr>
      <w:rPr>
        <w:rFonts w:ascii="Arial" w:cs="Arial" w:eastAsia="Arial" w:hAnsi="Arial"/>
        <w:b w:val="0"/>
        <w:i w:val="0"/>
        <w:sz w:val="22"/>
        <w:szCs w:val="22"/>
      </w:rPr>
    </w:lvl>
    <w:lvl w:ilvl="1">
      <w:start w:val="0"/>
      <w:numFmt w:val="bullet"/>
      <w:lvlText w:val="•"/>
      <w:lvlJc w:val="left"/>
      <w:pPr>
        <w:ind w:left="1415" w:hanging="206"/>
      </w:pPr>
      <w:rPr/>
    </w:lvl>
    <w:lvl w:ilvl="2">
      <w:start w:val="0"/>
      <w:numFmt w:val="bullet"/>
      <w:lvlText w:val="•"/>
      <w:lvlJc w:val="left"/>
      <w:pPr>
        <w:ind w:left="2350" w:hanging="206"/>
      </w:pPr>
      <w:rPr/>
    </w:lvl>
    <w:lvl w:ilvl="3">
      <w:start w:val="0"/>
      <w:numFmt w:val="bullet"/>
      <w:lvlText w:val="•"/>
      <w:lvlJc w:val="left"/>
      <w:pPr>
        <w:ind w:left="3285" w:hanging="206"/>
      </w:pPr>
      <w:rPr/>
    </w:lvl>
    <w:lvl w:ilvl="4">
      <w:start w:val="0"/>
      <w:numFmt w:val="bullet"/>
      <w:lvlText w:val="•"/>
      <w:lvlJc w:val="left"/>
      <w:pPr>
        <w:ind w:left="4220" w:hanging="206"/>
      </w:pPr>
      <w:rPr/>
    </w:lvl>
    <w:lvl w:ilvl="5">
      <w:start w:val="0"/>
      <w:numFmt w:val="bullet"/>
      <w:lvlText w:val="•"/>
      <w:lvlJc w:val="left"/>
      <w:pPr>
        <w:ind w:left="5155" w:hanging="206"/>
      </w:pPr>
      <w:rPr/>
    </w:lvl>
    <w:lvl w:ilvl="6">
      <w:start w:val="0"/>
      <w:numFmt w:val="bullet"/>
      <w:lvlText w:val="•"/>
      <w:lvlJc w:val="left"/>
      <w:pPr>
        <w:ind w:left="6090" w:hanging="206"/>
      </w:pPr>
      <w:rPr/>
    </w:lvl>
    <w:lvl w:ilvl="7">
      <w:start w:val="0"/>
      <w:numFmt w:val="bullet"/>
      <w:lvlText w:val="•"/>
      <w:lvlJc w:val="left"/>
      <w:pPr>
        <w:ind w:left="7025" w:hanging="206"/>
      </w:pPr>
      <w:rPr/>
    </w:lvl>
    <w:lvl w:ilvl="8">
      <w:start w:val="0"/>
      <w:numFmt w:val="bullet"/>
      <w:lvlText w:val="•"/>
      <w:lvlJc w:val="left"/>
      <w:pPr>
        <w:ind w:left="7960" w:hanging="206"/>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0"/>
    </w:pPr>
    <w:rPr>
      <w:rFonts w:ascii="Arial" w:cs="Arial" w:eastAsia="Arial" w:hAnsi="Arial"/>
      <w:sz w:val="48"/>
      <w:szCs w:val="48"/>
    </w:rPr>
  </w:style>
  <w:style w:type="paragraph" w:styleId="Heading2">
    <w:name w:val="heading 2"/>
    <w:basedOn w:val="Normal"/>
    <w:next w:val="Normal"/>
    <w:pPr>
      <w:ind w:left="355" w:hanging="246"/>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741" w:lineRule="auto"/>
      <w:ind w:left="110"/>
    </w:pPr>
    <w:rPr>
      <w:rFonts w:ascii="Arial" w:cs="Arial" w:eastAsia="Arial" w:hAnsi="Arial"/>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2"/>
      <w:szCs w:val="22"/>
      <w:lang w:bidi="ar-SA" w:eastAsia="en-US" w:val="en-US"/>
    </w:rPr>
  </w:style>
  <w:style w:type="paragraph" w:styleId="Heading1">
    <w:name w:val="Heading 1"/>
    <w:basedOn w:val="Normal"/>
    <w:uiPriority w:val="1"/>
    <w:qFormat w:val="1"/>
    <w:pPr>
      <w:ind w:left="110"/>
      <w:outlineLvl w:val="1"/>
    </w:pPr>
    <w:rPr>
      <w:rFonts w:ascii="Arial" w:cs="Arial" w:eastAsia="Arial" w:hAnsi="Arial"/>
      <w:sz w:val="48"/>
      <w:szCs w:val="48"/>
      <w:lang w:bidi="ar-SA" w:eastAsia="en-US" w:val="en-US"/>
    </w:rPr>
  </w:style>
  <w:style w:type="paragraph" w:styleId="Heading2">
    <w:name w:val="Heading 2"/>
    <w:basedOn w:val="Normal"/>
    <w:uiPriority w:val="1"/>
    <w:qFormat w:val="1"/>
    <w:pPr>
      <w:ind w:left="355" w:hanging="246"/>
      <w:outlineLvl w:val="2"/>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line="741" w:lineRule="exact"/>
      <w:ind w:left="110"/>
    </w:pPr>
    <w:rPr>
      <w:rFonts w:ascii="Arial" w:cs="Arial" w:eastAsia="Arial" w:hAnsi="Arial"/>
      <w:sz w:val="72"/>
      <w:szCs w:val="72"/>
      <w:lang w:bidi="ar-SA" w:eastAsia="en-US" w:val="en-US"/>
    </w:rPr>
  </w:style>
  <w:style w:type="paragraph" w:styleId="ListParagraph">
    <w:name w:val="List Paragraph"/>
    <w:basedOn w:val="Normal"/>
    <w:uiPriority w:val="1"/>
    <w:qFormat w:val="1"/>
    <w:pPr>
      <w:ind w:left="355" w:hanging="246"/>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png"/><Relationship Id="rId21" Type="http://schemas.openxmlformats.org/officeDocument/2006/relationships/image" Target="media/image8.png"/><Relationship Id="rId24" Type="http://schemas.openxmlformats.org/officeDocument/2006/relationships/image" Target="media/image1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9.png"/><Relationship Id="rId25" Type="http://schemas.openxmlformats.org/officeDocument/2006/relationships/image" Target="media/image20.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3.png"/><Relationship Id="rId11" Type="http://schemas.openxmlformats.org/officeDocument/2006/relationships/image" Target="media/image14.png"/><Relationship Id="rId10" Type="http://schemas.openxmlformats.org/officeDocument/2006/relationships/image" Target="media/image21.png"/><Relationship Id="rId13" Type="http://schemas.openxmlformats.org/officeDocument/2006/relationships/image" Target="media/image19.png"/><Relationship Id="rId12" Type="http://schemas.openxmlformats.org/officeDocument/2006/relationships/image" Target="media/image10.jp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5.png"/><Relationship Id="rId16" Type="http://schemas.openxmlformats.org/officeDocument/2006/relationships/image" Target="media/image1.jpg"/><Relationship Id="rId19" Type="http://schemas.openxmlformats.org/officeDocument/2006/relationships/image" Target="media/image4.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QFFkia0GPyJpn39jJRAc6zfGZQ==">CgMxLjAyDmguaHM5djNxY3hxajFjOAByITFDaWhyaFA3T19mS0ZrdjRjUFhIbWdVS1VvYXVHZTA4ag==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2025-01-13T07:42:52Z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Canva</vt:lpwstr>
  </property>
  <property fmtid="{D5CDD505-2E9C-101B-9397-08002B2CF9AE}" pid="4" name="LastSaved">
    <vt:filetime>2025-01-13T00:00:00Z</vt:filetime>
  </property>
  <property fmtid="{D5CDD505-2E9C-101B-9397-08002B2CF9AE}" pid="5" name="Producer">
    <vt:lpwstr>Canva</vt:lpwstr>
  </property>
</Properties>
</file>