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gross a steady $7K a month across two homes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does.</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gross $7K a month across two homes as the steady, conservative number. Their first home, a $275K house in Greenville, South Carolina, grossed about $100K in under seven months, and this summer they’re pacing past $20K a month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 Get the guest’s consent on the splash page and honor unsubscribes; email marketing laws apply to hosts.</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numPr>
          <w:ilvl w:val="0"/>
          <w:numId w:val="1146"/>
        </w:numPr>
        <w:pStyle w:val="Compact"/>
      </w:pPr>
      <w:r>
        <w:t xml:space="preserve">Whether your service level keeps you on Schedule E or pushes you onto Schedule C with self-employment tax.</w:t>
      </w:r>
    </w:p>
    <w:p>
      <w:pPr>
        <w:numPr>
          <w:ilvl w:val="0"/>
          <w:numId w:val="1146"/>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at the residential rate; a short-stay rental may sit on the slower 39-year schedule, so treat this as the high end.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roughly $4,000 to $7,000 per property per year. One nuance your CPA will settle: a rental where guests average a week or less usually depreciates on the slower 39-year commercial schedule, not the 27.5-year residential one. I use a range so the model survives either answer.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under the 2025 tax law, 100% bonus depreciation is back and permanent, so a cost-segregated first year can run several times my $12K figure. I’d rather you be surprised in that direction. A deduction is not a dollar, though. The model counts each year’s deductions at their cash value at a 32% bracket, meaning 32 cents per dollar of face value, or $46,560 across the five years. Your bracket sets your number. There is one string attached. Those 32 cents arrive this year only if you pass the material participation test from Chapter 15, and the more of this business you delegate, the harder that test gets. Fail it and the deductions don’t disappear; they wait for a year with rental profit or for the sale.</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t xml:space="preserve">What follows is a hypothetical model, not a projection of your results. It assumes every purchase, refinance, and stabilization lands on schedule; in real life many will not, results vary widely, and some investors lose money. Nothing here is a promise of income.</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 One more line for the closing table. The depreciation you deducted along the way gets partly recaptured when you sell, at rates your CPA will estimate before you list. The write-offs were a loan from the IRS with great terms, not a gift.</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at the time of the sale (45 days to identify the new property, 180 days to close, per IRS rules). The tax is deferred, not erased; it travels with you into the new property, and goes away only if you hold until the basis step-up at death or keep rolling.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my free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2026-07-07T05:20:30Z</dcterms:created>
  <dcterms:modified xsi:type="dcterms:W3CDTF">2026-07-07T05:20:30Z</dcterms:modified>
</cp:coreProperties>
</file>

<file path=docProps/custom.xml><?xml version="1.0" encoding="utf-8"?>
<Properties xmlns="http://schemas.openxmlformats.org/officeDocument/2006/custom-properties" xmlns:vt="http://schemas.openxmlformats.org/officeDocument/2006/docPropsVTypes"/>
</file>