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b55a1abf8300235286fa5458bc4c85cfe644ef"/>
    <w:p>
      <w:pPr>
        <w:pStyle w:val="Heading1"/>
      </w:pPr>
      <w:r>
        <w:t xml:space="preserve">5 Steps to Buying Your First Rental Property in 3 Months</w:t>
      </w:r>
    </w:p>
    <w:p>
      <w:pPr>
        <w:pStyle w:val="FirstParagraph"/>
      </w:pPr>
      <w:r>
        <w:t xml:space="preserve">The whole RURAL Method as a month-by-month buying roadmap. Five steps, one rule: follow them in order, every time. Most first deals die from doing the right steps in the wrong order. My business partner Ryu ran this exact sequence in twelve weeks, spreadsheet to launch, and Lookout Lodge grossed $83,937.81 in its first year live. The book’s own deal timeline runs the same way: 45 days to close, 30 days of light renovation if needed, guests within 90 days.</w:t>
      </w:r>
    </w:p>
    <w:p>
      <w:pPr>
        <w:pStyle w:val="BodyText"/>
      </w:pPr>
      <w:r>
        <w:t xml:space="preserve">Three months is the aggressive-but-real pace, not a stunt. Steps overlap where the roadmap shows they do. If your timeline slips a couple of weeks, nothing breaks; if you skip a step, everything does.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Weeks</w:t>
            </w:r>
          </w:p>
        </w:tc>
        <w:tc>
          <w:tcPr/>
          <w:p>
            <w:pPr>
              <w:pStyle w:val="Compact"/>
              <w:jc w:val="left"/>
            </w:pPr>
            <w:r>
              <w:t xml:space="preserve">Step</w:t>
            </w:r>
          </w:p>
        </w:tc>
        <w:tc>
          <w:tcPr/>
          <w:p>
            <w:pPr>
              <w:pStyle w:val="Compact"/>
              <w:jc w:val="left"/>
            </w:pPr>
            <w:r>
              <w:t xml:space="preserve">Letter</w:t>
            </w:r>
          </w:p>
        </w:tc>
      </w:tr>
      <w:tr>
        <w:tc>
          <w:tcPr/>
          <w:p>
            <w:pPr>
              <w:pStyle w:val="Compact"/>
              <w:jc w:val="left"/>
            </w:pPr>
            <w:r>
              <w:t xml:space="preserve">1</w:t>
            </w:r>
          </w:p>
        </w:tc>
        <w:tc>
          <w:tcPr/>
          <w:p>
            <w:pPr>
              <w:pStyle w:val="Compact"/>
              <w:jc w:val="left"/>
            </w:pPr>
            <w:r>
              <w:t xml:space="preserve">1–4</w:t>
            </w:r>
          </w:p>
        </w:tc>
        <w:tc>
          <w:tcPr/>
          <w:p>
            <w:pPr>
              <w:pStyle w:val="Compact"/>
              <w:jc w:val="left"/>
            </w:pPr>
            <w:r>
              <w:t xml:space="preserve">1. Pick the market</w:t>
            </w:r>
          </w:p>
        </w:tc>
        <w:tc>
          <w:tcPr/>
          <w:p>
            <w:pPr>
              <w:pStyle w:val="Compact"/>
              <w:jc w:val="left"/>
            </w:pPr>
            <w:r>
              <w:t xml:space="preserve">R — Right Market First</w:t>
            </w:r>
          </w:p>
        </w:tc>
      </w:tr>
      <w:tr>
        <w:tc>
          <w:tcPr/>
          <w:p>
            <w:pPr>
              <w:pStyle w:val="Compact"/>
              <w:jc w:val="left"/>
            </w:pPr>
            <w:r>
              <w:t xml:space="preserve">1</w:t>
            </w:r>
          </w:p>
        </w:tc>
        <w:tc>
          <w:tcPr/>
          <w:p>
            <w:pPr>
              <w:pStyle w:val="Compact"/>
              <w:jc w:val="left"/>
            </w:pPr>
            <w:r>
              <w:t xml:space="preserve">2–4</w:t>
            </w:r>
          </w:p>
        </w:tc>
        <w:tc>
          <w:tcPr/>
          <w:p>
            <w:pPr>
              <w:pStyle w:val="Compact"/>
              <w:jc w:val="left"/>
            </w:pPr>
            <w:r>
              <w:t xml:space="preserve">2. Line up the money (in parallel)</w:t>
            </w:r>
          </w:p>
        </w:tc>
        <w:tc>
          <w:tcPr/>
          <w:p>
            <w:pPr>
              <w:pStyle w:val="Compact"/>
              <w:jc w:val="left"/>
            </w:pPr>
            <w:r>
              <w:t xml:space="preserve">U — Under Budget</w:t>
            </w:r>
          </w:p>
        </w:tc>
      </w:tr>
      <w:tr>
        <w:tc>
          <w:tcPr/>
          <w:p>
            <w:pPr>
              <w:pStyle w:val="Compact"/>
              <w:jc w:val="left"/>
            </w:pPr>
            <w:r>
              <w:t xml:space="preserve">2</w:t>
            </w:r>
          </w:p>
        </w:tc>
        <w:tc>
          <w:tcPr/>
          <w:p>
            <w:pPr>
              <w:pStyle w:val="Compact"/>
              <w:jc w:val="left"/>
            </w:pPr>
            <w:r>
              <w:t xml:space="preserve">5–8</w:t>
            </w:r>
          </w:p>
        </w:tc>
        <w:tc>
          <w:tcPr/>
          <w:p>
            <w:pPr>
              <w:pStyle w:val="Compact"/>
              <w:jc w:val="left"/>
            </w:pPr>
            <w:r>
              <w:t xml:space="preserve">3. Find the house and negotiate</w:t>
            </w:r>
          </w:p>
        </w:tc>
        <w:tc>
          <w:tcPr/>
          <w:p>
            <w:pPr>
              <w:pStyle w:val="Compact"/>
              <w:jc w:val="left"/>
            </w:pPr>
            <w:r>
              <w:t xml:space="preserve">R — Room for Everyone</w:t>
            </w:r>
          </w:p>
        </w:tc>
      </w:tr>
      <w:tr>
        <w:tc>
          <w:tcPr/>
          <w:p>
            <w:pPr>
              <w:pStyle w:val="Compact"/>
              <w:jc w:val="left"/>
            </w:pPr>
            <w:r>
              <w:t xml:space="preserve">2–3</w:t>
            </w:r>
          </w:p>
        </w:tc>
        <w:tc>
          <w:tcPr/>
          <w:p>
            <w:pPr>
              <w:pStyle w:val="Compact"/>
              <w:jc w:val="left"/>
            </w:pPr>
            <w:r>
              <w:t xml:space="preserve">6–9</w:t>
            </w:r>
          </w:p>
        </w:tc>
        <w:tc>
          <w:tcPr/>
          <w:p>
            <w:pPr>
              <w:pStyle w:val="Compact"/>
              <w:jc w:val="left"/>
            </w:pPr>
            <w:r>
              <w:t xml:space="preserve">4. Verify and close remotely</w:t>
            </w:r>
          </w:p>
        </w:tc>
        <w:tc>
          <w:tcPr/>
          <w:p>
            <w:pPr>
              <w:pStyle w:val="Compact"/>
              <w:jc w:val="left"/>
            </w:pPr>
            <w:r>
              <w:t xml:space="preserve">(Chapter 6)</w:t>
            </w:r>
          </w:p>
        </w:tc>
      </w:tr>
      <w:tr>
        <w:tc>
          <w:tcPr/>
          <w:p>
            <w:pPr>
              <w:pStyle w:val="Compact"/>
              <w:jc w:val="left"/>
            </w:pPr>
            <w:r>
              <w:t xml:space="preserve">3</w:t>
            </w:r>
          </w:p>
        </w:tc>
        <w:tc>
          <w:tcPr/>
          <w:p>
            <w:pPr>
              <w:pStyle w:val="Compact"/>
              <w:jc w:val="left"/>
            </w:pPr>
            <w:r>
              <w:t xml:space="preserve">9–12</w:t>
            </w:r>
          </w:p>
        </w:tc>
        <w:tc>
          <w:tcPr/>
          <w:p>
            <w:pPr>
              <w:pStyle w:val="Compact"/>
              <w:jc w:val="left"/>
            </w:pPr>
            <w:r>
              <w:t xml:space="preserve">5. Set up, list, launch</w:t>
            </w:r>
          </w:p>
        </w:tc>
        <w:tc>
          <w:tcPr/>
          <w:p>
            <w:pPr>
              <w:pStyle w:val="Compact"/>
              <w:jc w:val="left"/>
            </w:pPr>
            <w:r>
              <w:t xml:space="preserve">A + L</w:t>
            </w:r>
          </w:p>
        </w:tc>
      </w:tr>
    </w:tbl>
    <w:bookmarkStart w:id="20" w:name="step-1-pick-the-market-weeks-14-r"/>
    <w:p>
      <w:pPr>
        <w:pStyle w:val="Heading2"/>
      </w:pPr>
      <w:r>
        <w:t xml:space="preserve">Step 1 — Pick the Market (Weeks 1–4) · R</w:t>
      </w:r>
    </w:p>
    <w:p>
      <w:pPr>
        <w:pStyle w:val="FirstParagraph"/>
      </w:pPr>
      <w:r>
        <w:rPr>
          <w:iCs/>
          <w:i/>
        </w:rPr>
        <w:t xml:space="preserve">Chapters 4–5. The market is 50% of the result.</w:t>
      </w:r>
    </w:p>
    <w:p>
      <w:pPr>
        <w:numPr>
          <w:ilvl w:val="0"/>
          <w:numId w:val="1001"/>
        </w:numPr>
        <w:pStyle w:val="Compact"/>
      </w:pPr>
      <w:r>
        <w:t xml:space="preserve">☐ Run the NPS Arbitrage on 5–8 anchors and shortlist the biggest supply gaps (Ryu ran 8 parks down to 3)</w:t>
      </w:r>
    </w:p>
    <w:p>
      <w:pPr>
        <w:numPr>
          <w:ilvl w:val="0"/>
          <w:numId w:val="1001"/>
        </w:numPr>
        <w:pStyle w:val="Compact"/>
      </w:pPr>
      <w:r>
        <w:t xml:space="preserve">☐ Research the nearby towns; narrow to 2</w:t>
      </w:r>
    </w:p>
    <w:p>
      <w:pPr>
        <w:numPr>
          <w:ilvl w:val="0"/>
          <w:numId w:val="1001"/>
        </w:numPr>
        <w:pStyle w:val="Compact"/>
      </w:pPr>
      <w:r>
        <w:t xml:space="preserve">☐ Track occupancy and ADR for 20+ listings in each; map both onto the Saturation Curve; pick the earlier one</w:t>
      </w:r>
    </w:p>
    <w:p>
      <w:pPr>
        <w:numPr>
          <w:ilvl w:val="0"/>
          <w:numId w:val="1001"/>
        </w:numPr>
        <w:pStyle w:val="Compact"/>
      </w:pPr>
      <w:r>
        <w:t xml:space="preserve">☐ Score it on the Market Scoring Matrix: 3.5+ or keep looking (use the Market Research Cheat Sheet in this pack)</w:t>
      </w:r>
    </w:p>
    <w:p>
      <w:pPr>
        <w:pStyle w:val="FirstParagraph"/>
      </w:pPr>
      <w:r>
        <w:rPr>
          <w:bCs/>
          <w:b/>
        </w:rPr>
        <w:t xml:space="preserve">The rule:</w:t>
      </w:r>
      <w:r>
        <w:t xml:space="preserve"> </w:t>
      </w:r>
      <w:r>
        <w:t xml:space="preserve">anchor demand within 30 minutes. No anchor, no deal.</w:t>
      </w:r>
      <w:r>
        <w:t xml:space="preserve"> </w:t>
      </w:r>
      <w:r>
        <w:rPr>
          <w:bCs/>
          <w:b/>
        </w:rPr>
        <w:t xml:space="preserve">Walk away if:</w:t>
      </w:r>
      <w:r>
        <w:t xml:space="preserve"> </w:t>
      </w:r>
      <w:r>
        <w:t xml:space="preserve">the matrix scores below 3.0, or the market only pencils at 80%+ occupancy.</w:t>
      </w:r>
    </w:p>
    <w:bookmarkEnd w:id="20"/>
    <w:bookmarkStart w:id="21" w:name="Xffe296dea0ed05ca67554bf274bfcefa00ada52"/>
    <w:p>
      <w:pPr>
        <w:pStyle w:val="Heading2"/>
      </w:pPr>
      <w:r>
        <w:t xml:space="preserve">Step 2 — Line Up the Money (Weeks 2–4, in parallel) · U</w:t>
      </w:r>
    </w:p>
    <w:p>
      <w:pPr>
        <w:pStyle w:val="FirstParagraph"/>
      </w:pPr>
      <w:r>
        <w:rPr>
          <w:iCs/>
          <w:i/>
        </w:rPr>
        <w:t xml:space="preserve">Chapters 7 and 9. Money isn’t the obstacle. Strategy is.</w:t>
      </w:r>
    </w:p>
    <w:p>
      <w:pPr>
        <w:numPr>
          <w:ilvl w:val="0"/>
          <w:numId w:val="1002"/>
        </w:numPr>
        <w:pStyle w:val="Compact"/>
      </w:pPr>
      <w:r>
        <w:t xml:space="preserve">☐ Pick your funding path: vacation-home loan (typically 10% down), seller financing, DSCR (15% down, approval rides on the property’s projected income), private money, or 0% business cards for the setup bill</w:t>
      </w:r>
    </w:p>
    <w:p>
      <w:pPr>
        <w:numPr>
          <w:ilvl w:val="0"/>
          <w:numId w:val="1002"/>
        </w:numPr>
        <w:pStyle w:val="Compact"/>
      </w:pPr>
      <w:r>
        <w:t xml:space="preserve">☐ Get pre-approved or line up your lender now, not after you find the house</w:t>
      </w:r>
    </w:p>
    <w:p>
      <w:pPr>
        <w:numPr>
          <w:ilvl w:val="0"/>
          <w:numId w:val="1002"/>
        </w:numPr>
        <w:pStyle w:val="Compact"/>
      </w:pPr>
      <w:r>
        <w:t xml:space="preserve">☐ Sketch the capital stack: your down payment, the mortgage, 0% cards for furniture and setup, seller credits against closing costs</w:t>
      </w:r>
    </w:p>
    <w:p>
      <w:pPr>
        <w:numPr>
          <w:ilvl w:val="0"/>
          <w:numId w:val="1002"/>
        </w:numPr>
        <w:pStyle w:val="Compact"/>
      </w:pPr>
      <w:r>
        <w:t xml:space="preserve">☐ Confirm reserves: six months of PITI on top of the down payment, or wait</w:t>
      </w:r>
    </w:p>
    <w:p>
      <w:pPr>
        <w:pStyle w:val="FirstParagraph"/>
      </w:pPr>
      <w:r>
        <w:rPr>
          <w:bCs/>
          <w:b/>
        </w:rPr>
        <w:t xml:space="preserve">The rule:</w:t>
      </w:r>
      <w:r>
        <w:t xml:space="preserve"> </w:t>
      </w:r>
      <w:r>
        <w:t xml:space="preserve">amateurs chase revenue. Pros guard the payment.</w:t>
      </w:r>
      <w:r>
        <w:t xml:space="preserve"> </w:t>
      </w:r>
      <w:r>
        <w:rPr>
          <w:bCs/>
          <w:b/>
        </w:rPr>
        <w:t xml:space="preserve">Walk away if:</w:t>
      </w:r>
      <w:r>
        <w:t xml:space="preserve"> </w:t>
      </w:r>
      <w:r>
        <w:t xml:space="preserve">closing would leave you below six months of PITI in reserves. (And underwrite the typical seller carry, about 10% down, 6–7% interest, five-year balloon. Ryu’s 0% note is a top-1% outcome, not the template.)</w:t>
      </w:r>
    </w:p>
    <w:bookmarkEnd w:id="21"/>
    <w:bookmarkStart w:id="22" w:name="X1aad5d6f8cdf857ed5b871820d8ed792424cf84"/>
    <w:p>
      <w:pPr>
        <w:pStyle w:val="Heading2"/>
      </w:pPr>
      <w:r>
        <w:t xml:space="preserve">Step 3 — Find the House and Negotiate (Weeks 5–8) · R</w:t>
      </w:r>
    </w:p>
    <w:p>
      <w:pPr>
        <w:pStyle w:val="FirstParagraph"/>
      </w:pPr>
      <w:r>
        <w:rPr>
          <w:iCs/>
          <w:i/>
        </w:rPr>
        <w:t xml:space="preserve">Chapters 8–10. Income follows sleeping capacity.</w:t>
      </w:r>
    </w:p>
    <w:p>
      <w:pPr>
        <w:numPr>
          <w:ilvl w:val="0"/>
          <w:numId w:val="1003"/>
        </w:numPr>
        <w:pStyle w:val="Compact"/>
      </w:pPr>
      <w:r>
        <w:t xml:space="preserve">☐ Hunt the spec: 4 bed, 3 bath, 2,000+ square feet at $250K–$350K; never smaller than 3 bed, 2 bath, 1,500 square feet</w:t>
      </w:r>
    </w:p>
    <w:p>
      <w:pPr>
        <w:numPr>
          <w:ilvl w:val="0"/>
          <w:numId w:val="1003"/>
        </w:numPr>
        <w:pStyle w:val="Compact"/>
      </w:pPr>
      <w:r>
        <w:t xml:space="preserve">☐ Aim near one sleeper per 100 square feet; plan bunks, trundles, and pull-outs to get there</w:t>
      </w:r>
    </w:p>
    <w:p>
      <w:pPr>
        <w:numPr>
          <w:ilvl w:val="0"/>
          <w:numId w:val="1003"/>
        </w:numPr>
        <w:pStyle w:val="Compact"/>
      </w:pPr>
      <w:r>
        <w:t xml:space="preserve">☐ Run the full numbers (Deal Analysis Calculator and Real Estate Numbers Cheat Sheet, both in this pack)</w:t>
      </w:r>
    </w:p>
    <w:p>
      <w:pPr>
        <w:numPr>
          <w:ilvl w:val="0"/>
          <w:numId w:val="1003"/>
        </w:numPr>
        <w:pStyle w:val="Compact"/>
      </w:pPr>
      <w:r>
        <w:t xml:space="preserve">☐ Make three offers, not one: cash + speed, mid-range + seller financing, highest price + full seller carry. Let the seller choose.</w:t>
      </w:r>
    </w:p>
    <w:p>
      <w:pPr>
        <w:numPr>
          <w:ilvl w:val="0"/>
          <w:numId w:val="1003"/>
        </w:numPr>
        <w:pStyle w:val="Compact"/>
      </w:pPr>
      <w:r>
        <w:t xml:space="preserve">☐ Take credits, not repairs. Every $5K you don’t spend at closing is $5K for the next deal.</w:t>
      </w:r>
    </w:p>
    <w:p>
      <w:pPr>
        <w:pStyle w:val="FirstParagraph"/>
      </w:pPr>
      <w:r>
        <w:rPr>
          <w:bCs/>
          <w:b/>
        </w:rPr>
        <w:t xml:space="preserve">The rule:</w:t>
      </w:r>
      <w:r>
        <w:t xml:space="preserve"> </w:t>
      </w:r>
      <w:r>
        <w:t xml:space="preserve">buy the house that sleeps the group. You can’t sleep twelve and seat four.</w:t>
      </w:r>
      <w:r>
        <w:t xml:space="preserve"> </w:t>
      </w:r>
      <w:r>
        <w:rPr>
          <w:bCs/>
          <w:b/>
        </w:rPr>
        <w:t xml:space="preserve">Walk away if:</w:t>
      </w:r>
      <w:r>
        <w:t xml:space="preserve"> </w:t>
      </w:r>
      <w:r>
        <w:t xml:space="preserve">cash-on-cash at the moderate projection is under 30%, the deal doesn’t still cash flow at the 25th percentile, or market long-term rent wouldn’t cover at least about 80% of your payment.</w:t>
      </w:r>
    </w:p>
    <w:bookmarkEnd w:id="22"/>
    <w:bookmarkStart w:id="23" w:name="X0ac87962f064dd5b2f82e0ee2a1c36b3f5b14c7"/>
    <w:p>
      <w:pPr>
        <w:pStyle w:val="Heading2"/>
      </w:pPr>
      <w:r>
        <w:t xml:space="preserve">Step 4 — Verify and Close Remotely (Weeks 6–9)</w:t>
      </w:r>
    </w:p>
    <w:p>
      <w:pPr>
        <w:pStyle w:val="FirstParagraph"/>
      </w:pPr>
      <w:r>
        <w:rPr>
          <w:iCs/>
          <w:i/>
        </w:rPr>
        <w:t xml:space="preserve">Chapter 6. Trust is not a strategy. Verification is.</w:t>
      </w:r>
    </w:p>
    <w:p>
      <w:pPr>
        <w:numPr>
          <w:ilvl w:val="0"/>
          <w:numId w:val="1004"/>
        </w:numPr>
        <w:pStyle w:val="Compact"/>
      </w:pPr>
      <w:r>
        <w:t xml:space="preserve">☐ Run the 3-Touch Due Diligence: data, visual (video walkthrough, not photos), human (local agent, handyman, other hosts). All three align, proceed. Any layer disagrees, dig deeper.</w:t>
      </w:r>
    </w:p>
    <w:p>
      <w:pPr>
        <w:numPr>
          <w:ilvl w:val="0"/>
          <w:numId w:val="1004"/>
        </w:numPr>
        <w:pStyle w:val="Compact"/>
      </w:pPr>
      <w:r>
        <w:t xml:space="preserve">☐ Independent inspections, $500–$1,200. Non-negotiable when buying remotely. Findings become credits.</w:t>
      </w:r>
    </w:p>
    <w:p>
      <w:pPr>
        <w:numPr>
          <w:ilvl w:val="0"/>
          <w:numId w:val="1004"/>
        </w:numPr>
        <w:pStyle w:val="Compact"/>
      </w:pPr>
      <w:r>
        <w:t xml:space="preserve">☐ Bindable STR insurance quote before the inspection contingency expires (rural cabins with hot tubs and wood stoves commonly quote $2,500–$6,000 a year)</w:t>
      </w:r>
    </w:p>
    <w:p>
      <w:pPr>
        <w:numPr>
          <w:ilvl w:val="0"/>
          <w:numId w:val="1004"/>
        </w:numPr>
        <w:pStyle w:val="Compact"/>
      </w:pPr>
      <w:r>
        <w:t xml:space="preserve">☐ Hire the local team before you close: cleaner (the MVP), handyman, STR-savvy realtor, backup contacts</w:t>
      </w:r>
    </w:p>
    <w:p>
      <w:pPr>
        <w:numPr>
          <w:ilvl w:val="0"/>
          <w:numId w:val="1004"/>
        </w:numPr>
        <w:pStyle w:val="Compact"/>
      </w:pPr>
      <w:r>
        <w:t xml:space="preserve">☐ Confirm WiFi speed, delivery availability, furniture access, guest parking</w:t>
      </w:r>
    </w:p>
    <w:p>
      <w:pPr>
        <w:numPr>
          <w:ilvl w:val="0"/>
          <w:numId w:val="1004"/>
        </w:numPr>
        <w:pStyle w:val="Compact"/>
      </w:pPr>
      <w:r>
        <w:t xml:space="preserve">☐ Ask the Final Question:</w:t>
      </w:r>
      <w:r>
        <w:t xml:space="preserve"> </w:t>
      </w:r>
      <w:r>
        <w:t xml:space="preserve">“</w:t>
      </w:r>
      <w:r>
        <w:t xml:space="preserve">If I never saw this property in person for a year, would I still feel good about this deal?</w:t>
      </w:r>
      <w:r>
        <w:t xml:space="preserve">”</w:t>
      </w:r>
    </w:p>
    <w:p>
      <w:pPr>
        <w:pStyle w:val="FirstParagraph"/>
      </w:pPr>
      <w:r>
        <w:rPr>
          <w:bCs/>
          <w:b/>
        </w:rPr>
        <w:t xml:space="preserve">The rule:</w:t>
      </w:r>
      <w:r>
        <w:t xml:space="preserve"> </w:t>
      </w:r>
      <w:r>
        <w:t xml:space="preserve">three independent verification layers replace being there.</w:t>
      </w:r>
      <w:r>
        <w:t xml:space="preserve"> </w:t>
      </w:r>
      <w:r>
        <w:rPr>
          <w:bCs/>
          <w:b/>
        </w:rPr>
        <w:t xml:space="preserve">Walk away if:</w:t>
      </w:r>
      <w:r>
        <w:t xml:space="preserve"> </w:t>
      </w:r>
      <w:r>
        <w:t xml:space="preserve">the answer to the Final Question is no.</w:t>
      </w:r>
    </w:p>
    <w:bookmarkEnd w:id="23"/>
    <w:bookmarkStart w:id="24" w:name="step-5-set-up-list-launch-weeks-912-a-l"/>
    <w:p>
      <w:pPr>
        <w:pStyle w:val="Heading2"/>
      </w:pPr>
      <w:r>
        <w:t xml:space="preserve">Step 5 — Set Up, List, Launch (Weeks 9–12) · A + L</w:t>
      </w:r>
    </w:p>
    <w:p>
      <w:pPr>
        <w:pStyle w:val="FirstParagraph"/>
      </w:pPr>
      <w:r>
        <w:rPr>
          <w:iCs/>
          <w:i/>
        </w:rPr>
        <w:t xml:space="preserve">Chapters 11–15. Guests decide in 3 seconds, and the asset should run without you.</w:t>
      </w:r>
    </w:p>
    <w:p>
      <w:pPr>
        <w:numPr>
          <w:ilvl w:val="0"/>
          <w:numId w:val="1005"/>
        </w:numPr>
        <w:pStyle w:val="Compact"/>
      </w:pPr>
      <w:r>
        <w:t xml:space="preserve">☐ Order major furniture the day you close (carts loaded during escrow, nothing ordered before)</w:t>
      </w:r>
    </w:p>
    <w:p>
      <w:pPr>
        <w:numPr>
          <w:ilvl w:val="0"/>
          <w:numId w:val="1005"/>
        </w:numPr>
        <w:pStyle w:val="Compact"/>
      </w:pPr>
      <w:r>
        <w:t xml:space="preserve">☐ Run the launch plan: Six-Week Launch Checklist, Design Plan Timeline, and 7-Day Setup Workflow, all in this pack</w:t>
      </w:r>
    </w:p>
    <w:p>
      <w:pPr>
        <w:numPr>
          <w:ilvl w:val="0"/>
          <w:numId w:val="1005"/>
        </w:numPr>
        <w:pStyle w:val="Compact"/>
      </w:pPr>
      <w:r>
        <w:t xml:space="preserve">☐ Professional photos in week 3 or 4; the shoot is the gate for everything downstream</w:t>
      </w:r>
    </w:p>
    <w:p>
      <w:pPr>
        <w:numPr>
          <w:ilvl w:val="0"/>
          <w:numId w:val="1005"/>
        </w:numPr>
        <w:pStyle w:val="Compact"/>
      </w:pPr>
      <w:r>
        <w:t xml:space="preserve">☐ Systems on from day one: automated messaging, smart pricing, smart lock, exterior camera. About $100 a month runs the machine.</w:t>
      </w:r>
    </w:p>
    <w:p>
      <w:pPr>
        <w:numPr>
          <w:ilvl w:val="0"/>
          <w:numId w:val="1005"/>
        </w:numPr>
        <w:pStyle w:val="Compact"/>
      </w:pPr>
      <w:r>
        <w:t xml:space="preserve">☐ Launch 15–20% below comps and climb the Pricing Ladder as reviews land</w:t>
      </w:r>
    </w:p>
    <w:p>
      <w:pPr>
        <w:pStyle w:val="FirstParagraph"/>
      </w:pPr>
      <w:r>
        <w:rPr>
          <w:bCs/>
          <w:b/>
        </w:rPr>
        <w:t xml:space="preserve">The rule:</w:t>
      </w:r>
      <w:r>
        <w:t xml:space="preserve"> </w:t>
      </w:r>
      <w:r>
        <w:t xml:space="preserve">your first five photos do the selling, and delegation is not abdication. Review weekly.</w:t>
      </w:r>
      <w:r>
        <w:t xml:space="preserve"> </w:t>
      </w:r>
      <w:r>
        <w:rPr>
          <w:bCs/>
          <w:b/>
        </w:rPr>
        <w:t xml:space="preserve">Walk away from:</w:t>
      </w:r>
      <w:r>
        <w:t xml:space="preserve"> </w:t>
      </w:r>
      <w:r>
        <w:t xml:space="preserve">perfectionism. Speed eliminates your biggest cost, empty nights. Perception beats perfection.</w:t>
      </w:r>
    </w:p>
    <w:p>
      <w:r>
        <w:pict>
          <v:rect style="width:0;height:1.5pt" o:hralign="center" o:hrstd="t" o:hr="t"/>
        </w:pict>
      </w:r>
    </w:p>
    <w:p>
      <w:pPr>
        <w:pStyle w:val="FirstParagraph"/>
      </w:pPr>
      <w:r>
        <w:t xml:space="preserve">By the time you make an offer, the market is proven, the payment is safe, the capacity is right, the design plan exists, and the systems are waiting. The deal works on paper before it ever works in real life. That’s the whole trick. Not more effort. Better order.</w:t>
      </w:r>
    </w:p>
    <w:p>
      <w:r>
        <w:pict>
          <v:rect style="width:0;height:1.5pt" o:hralign="center" o:hrstd="t" o:hr="t"/>
        </w:pict>
      </w:r>
    </w:p>
    <w:p>
      <w:pPr>
        <w:pStyle w:val="FirstParagraph"/>
      </w:pPr>
      <w:r>
        <w:rPr>
          <w:iCs/>
          <w:i/>
        </w:rPr>
        <w:t xml:space="preserve">From the RURAL Method — teeco.co/bookbonus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2026-07-07T06:23:18Z</dcterms:created>
  <dcterms:modified xsi:type="dcterms:W3CDTF">2026-07-07T06:23:18Z</dcterms:modified>
</cp:coreProperties>
</file>

<file path=docProps/custom.xml><?xml version="1.0" encoding="utf-8"?>
<Properties xmlns="http://schemas.openxmlformats.org/officeDocument/2006/custom-properties" xmlns:vt="http://schemas.openxmlformats.org/officeDocument/2006/docPropsVTypes"/>
</file>