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did something the others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pencils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~$20K down</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you’ll meet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Joshua Tree house grossed about $80K in year one; my $170K West Virginia cabin did $72K. Nearly the same revenue, but the cabin won: half the purchase price, a payment about $700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grossed $7K a month across two homes in their first stretch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(occupancy is the share of nights a listing actually gets booked),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The Distance Advantage is simple. Distance forces systems, because you can’t be there to do the work yourself. And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West Virginia cabin from Chapter 2 that I bought with seller financing (the seller acted as the bank, and I paid them directly),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does.</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$700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gross $7K a month across two homes as the steady, conservative number. Their first home, a $275K house in Greenville, South Carolina, grossed about $100K in under seven months, and this summer they’re pacing past $20K a month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 Roughly a year after that,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depending on the size of the house and how much you outsource.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 principal, interest, taxes, insurance)</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operating income, seven months</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starts lower than the headline number would.</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shed furniture, and all. What that chapter didn’t cover is the part of the story the deal numbers don’t explain.</w:t>
      </w:r>
    </w:p>
    <w:p>
      <w:pPr>
        <w:pStyle w:val="BodyText"/>
      </w:pPr>
      <w:r>
        <w:t xml:space="preserve">Through the whole ordeal, she refused to compromise on the finish. The schedule blew up, the budget followed,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photo sets where every image had a different tint,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What matters more is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The guests were celebrating a holiday their family observes without using electricity, and a young guest took the rule very literally and draped a towel over a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taking a rule literally.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(the go-to list, the matrix, the fast-reply playbook, the sensors, the fund)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If you materially participated in the property (roughly, you put in real hours running it yourself), you may qualify for bonus depreciation.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w:t>
      </w:r>
    </w:p>
    <w:p>
      <w:pPr>
        <w:pStyle w:val="BodyText"/>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and counts it at cash value; here I’m counting only the building’s depreciation line, so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(27.5-year schedule): ~$7,000 per property per year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a deduction is not a dollar. The model counts each year’s deductions at their cash value at a 32% bracket, meaning 32 cents per dollar of face value, or $46,560 across the five years. Your bracket sets your number.</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$925K ($850K of purchases plus the $76K of appreciation), roughly $215K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~$925K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the free Airbnb Anywhere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Airbnb Anywhere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2026-07-04T06:00:16Z</dcterms:created>
  <dcterms:modified xsi:type="dcterms:W3CDTF">2026-07-04T06:00:16Z</dcterms:modified>
</cp:coreProperties>
</file>

<file path=docProps/custom.xml><?xml version="1.0" encoding="utf-8"?>
<Properties xmlns="http://schemas.openxmlformats.org/officeDocument/2006/custom-properties" xmlns:vt="http://schemas.openxmlformats.org/officeDocument/2006/docPropsVTypes"/>
</file>