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From the RURAL Method — teeco.co/bookbonus</w:t>
      </w:r>
    </w:p>
    <w:bookmarkStart w:id="29" w:name="market-scoring-template"/>
    <w:p>
      <w:pPr>
        <w:pStyle w:val="Heading1"/>
      </w:pPr>
      <w:r>
        <w:t xml:space="preserve">Market Scoring Template</w:t>
      </w:r>
    </w:p>
    <w:p>
      <w:pPr>
        <w:pStyle w:val="FirstParagraph"/>
      </w:pPr>
      <w:r>
        <w:t xml:space="preserve">Score the market before you shop houses. Markets move, so pull the data yourself, the week you’re deciding, and trust nothing older than a season.</w:t>
      </w:r>
    </w:p>
    <w:p>
      <w:pPr>
        <w:pStyle w:val="BodyText"/>
      </w:pPr>
      <w:r>
        <w:rPr>
          <w:bCs/>
          <w:b/>
        </w:rPr>
        <w:t xml:space="preserve">Market / town:</w:t>
      </w:r>
      <w:r>
        <w:t xml:space="preserve"> </w:t>
      </w:r>
      <w:r>
        <w:t xml:space="preserve">____________________</w:t>
      </w:r>
      <w:r>
        <w:t xml:space="preserve"> </w:t>
      </w:r>
      <w:r>
        <w:rPr>
          <w:bCs/>
          <w:b/>
        </w:rPr>
        <w:t xml:space="preserve">State:</w:t>
      </w:r>
      <w:r>
        <w:t xml:space="preserve"> </w:t>
      </w:r>
      <w:r>
        <w:t xml:space="preserve">______</w:t>
      </w:r>
      <w:r>
        <w:t xml:space="preserve"> </w:t>
      </w:r>
      <w:r>
        <w:rPr>
          <w:bCs/>
          <w:b/>
        </w:rPr>
        <w:t xml:space="preserve">Date scored:</w:t>
      </w:r>
      <w:r>
        <w:t xml:space="preserve"> </w:t>
      </w:r>
      <w:r>
        <w:t xml:space="preserve">____________</w:t>
      </w:r>
    </w:p>
    <w:p>
      <w:pPr>
        <w:pStyle w:val="BodyText"/>
      </w:pPr>
      <w:r>
        <w:rPr>
          <w:bCs/>
          <w:b/>
        </w:rPr>
        <w:t xml:space="preserve">Anchor (park, forest, lake, base, college, hospital):</w:t>
      </w:r>
      <w:r>
        <w:t xml:space="preserve"> </w:t>
      </w:r>
      <w:r>
        <w:t xml:space="preserve">____________________</w:t>
      </w:r>
      <w:r>
        <w:t xml:space="preserve"> </w:t>
      </w:r>
      <w:r>
        <w:rPr>
          <w:bCs/>
          <w:b/>
        </w:rPr>
        <w:t xml:space="preserve">Drive time from town:</w:t>
      </w:r>
      <w:r>
        <w:t xml:space="preserve"> </w:t>
      </w:r>
      <w:r>
        <w:t xml:space="preserve">______ min</w:t>
      </w:r>
    </w:p>
    <w:p>
      <w:r>
        <w:pict>
          <v:rect style="width:0;height:1.5pt" o:hralign="center" o:hrstd="t" o:hr="t"/>
        </w:pict>
      </w:r>
    </w:p>
    <w:bookmarkStart w:id="20" w:name="the-power-triangle"/>
    <w:p>
      <w:pPr>
        <w:pStyle w:val="Heading2"/>
      </w:pPr>
      <w:r>
        <w:t xml:space="preserve">1. The Power Triangle</w:t>
      </w:r>
    </w:p>
    <w:p>
      <w:pPr>
        <w:pStyle w:val="FirstParagraph"/>
      </w:pPr>
      <w:r>
        <w:t xml:space="preserve">Every winning rural market shares three traits. All three legs must hold.</w:t>
      </w:r>
    </w:p>
    <w:p>
      <w:pPr>
        <w:numPr>
          <w:ilvl w:val="0"/>
          <w:numId w:val="1001"/>
        </w:numPr>
        <w:pStyle w:val="Compact"/>
      </w:pPr>
      <w:r>
        <w:t xml:space="preserve">☐</w:t>
      </w:r>
      <w:r>
        <w:t xml:space="preserve"> </w:t>
      </w:r>
      <w:r>
        <w:rPr>
          <w:bCs/>
          <w:b/>
        </w:rPr>
        <w:t xml:space="preserve">Nature-based demand.</w:t>
      </w:r>
      <w:r>
        <w:t xml:space="preserve"> </w:t>
      </w:r>
      <w:r>
        <w:t xml:space="preserve">National parks, state forests, lakes, ski slopes, fall foliage, trails, small-town festivals. Demand powered by nature, rest, and adventure, not conferences.</w:t>
      </w:r>
    </w:p>
    <w:p>
      <w:pPr>
        <w:numPr>
          <w:ilvl w:val="0"/>
          <w:numId w:val="1001"/>
        </w:numPr>
        <w:pStyle w:val="Compact"/>
      </w:pPr>
      <w:r>
        <w:t xml:space="preserve">☐</w:t>
      </w:r>
      <w:r>
        <w:t xml:space="preserve"> </w:t>
      </w:r>
      <w:r>
        <w:rPr>
          <w:bCs/>
          <w:b/>
        </w:rPr>
        <w:t xml:space="preserve">Low acquisition cost.</w:t>
      </w:r>
      <w:r>
        <w:t xml:space="preserve"> </w:t>
      </w:r>
      <w:r>
        <w:t xml:space="preserve">A quality 4 bed / 3 bath with 2,000+ square feet and good bones, mostly $250K–$350K. Minimum spec: 3 bed / 2 bath, 1,500 square feet, never smaller.</w:t>
      </w:r>
    </w:p>
    <w:p>
      <w:pPr>
        <w:numPr>
          <w:ilvl w:val="0"/>
          <w:numId w:val="1001"/>
        </w:numPr>
        <w:pStyle w:val="Compact"/>
      </w:pPr>
      <w:r>
        <w:t xml:space="preserve">☐</w:t>
      </w:r>
      <w:r>
        <w:t xml:space="preserve"> </w:t>
      </w:r>
      <w:r>
        <w:rPr>
          <w:bCs/>
          <w:b/>
        </w:rPr>
        <w:t xml:space="preserve">Little to no competition.</w:t>
      </w:r>
      <w:r>
        <w:t xml:space="preserve"> </w:t>
      </w:r>
      <w:r>
        <w:t xml:space="preserve">Fewer than 100 listings total, and only a handful of truly great ones.</w:t>
      </w:r>
    </w:p>
    <w:bookmarkEnd w:id="20"/>
    <w:bookmarkStart w:id="21" w:name="demand-vs.-supply-the-nps-arbitrage"/>
    <w:p>
      <w:pPr>
        <w:pStyle w:val="Heading2"/>
      </w:pPr>
      <w:r>
        <w:t xml:space="preserve">2. Demand vs. Supply (the NPS Arbitrage)</w:t>
      </w:r>
    </w:p>
    <w:p>
      <w:pPr>
        <w:pStyle w:val="FirstParagraph"/>
      </w:pPr>
      <w:r>
        <w:t xml:space="preserve">Every year the National Park Service publishes a Visitor Spending Effects report for each park. Free and public. Take the park’s annual lodging spend and divide it by $70K, what a well-run rural STR should gross in a year. The result is roughly how many quality listings that demand can feed. Compare it to active listings from a market-data tool like AirDNA. (No NPS report, as with Forest Service land like Red River Gorge? Use agency visit estimates plus state or county tourism spending instead. The method is the point, not the source.)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Your market</w:t>
            </w:r>
          </w:p>
        </w:tc>
        <w:tc>
          <w:tcPr/>
          <w:p>
            <w:pPr>
              <w:pStyle w:val="Compact"/>
              <w:jc w:val="left"/>
            </w:pPr>
            <w:r>
              <w:t xml:space="preserve">Worked example: Mammoth Cave, KY (mid-2026 pull, rounded)</w:t>
            </w:r>
          </w:p>
        </w:tc>
      </w:tr>
      <w:tr>
        <w:tc>
          <w:tcPr/>
          <w:p>
            <w:pPr>
              <w:pStyle w:val="Compact"/>
              <w:jc w:val="left"/>
            </w:pPr>
            <w:r>
              <w:t xml:space="preserve">Annual visits</w:t>
            </w:r>
          </w:p>
        </w:tc>
        <w:tc>
          <w:tcPr/>
          <w:p>
            <w:pPr>
              <w:pStyle w:val="Compact"/>
            </w:pPr>
          </w:p>
        </w:tc>
        <w:tc>
          <w:tcPr/>
          <w:p>
            <w:pPr>
              <w:pStyle w:val="Compact"/>
              <w:jc w:val="left"/>
            </w:pPr>
            <w:r>
              <w:t xml:space="preserve">About 747,000 visits (2024)</w:t>
            </w:r>
          </w:p>
        </w:tc>
      </w:tr>
      <w:tr>
        <w:tc>
          <w:tcPr/>
          <w:p>
            <w:pPr>
              <w:pStyle w:val="Compact"/>
              <w:jc w:val="left"/>
            </w:pPr>
            <w:r>
              <w:t xml:space="preserve">Total visitor spending</w:t>
            </w:r>
          </w:p>
        </w:tc>
        <w:tc>
          <w:tcPr/>
          <w:p>
            <w:pPr>
              <w:pStyle w:val="Compact"/>
            </w:pPr>
          </w:p>
        </w:tc>
        <w:tc>
          <w:tcPr/>
          <w:p>
            <w:pPr>
              <w:pStyle w:val="Compact"/>
              <w:jc w:val="left"/>
            </w:pPr>
            <w:r>
              <w:t xml:space="preserve">$73 million</w:t>
            </w:r>
          </w:p>
        </w:tc>
      </w:tr>
      <w:tr>
        <w:tc>
          <w:tcPr/>
          <w:p>
            <w:pPr>
              <w:pStyle w:val="Compact"/>
              <w:jc w:val="left"/>
            </w:pPr>
            <w:r>
              <w:t xml:space="preserve">Lodging spend</w:t>
            </w:r>
          </w:p>
        </w:tc>
        <w:tc>
          <w:tcPr/>
          <w:p>
            <w:pPr>
              <w:pStyle w:val="Compact"/>
            </w:pPr>
          </w:p>
        </w:tc>
        <w:tc>
          <w:tcPr/>
          <w:p>
            <w:pPr>
              <w:pStyle w:val="Compact"/>
              <w:jc w:val="left"/>
            </w:pPr>
            <w:r>
              <w:t xml:space="preserve">$28.6 million</w:t>
            </w:r>
          </w:p>
        </w:tc>
      </w:tr>
      <w:tr>
        <w:tc>
          <w:tcPr/>
          <w:p>
            <w:pPr>
              <w:pStyle w:val="Compact"/>
              <w:jc w:val="left"/>
            </w:pPr>
            <w:r>
              <w:t xml:space="preserve">Lodging spend ÷ $70K = listings demand can feed</w:t>
            </w:r>
          </w:p>
        </w:tc>
        <w:tc>
          <w:tcPr/>
          <w:p>
            <w:pPr>
              <w:pStyle w:val="Compact"/>
            </w:pPr>
          </w:p>
        </w:tc>
        <w:tc>
          <w:tcPr/>
          <w:p>
            <w:pPr>
              <w:pStyle w:val="Compact"/>
              <w:jc w:val="left"/>
            </w:pPr>
            <w:r>
              <w:t xml:space="preserve">Roughly 400 quality listings</w:t>
            </w:r>
          </w:p>
        </w:tc>
      </w:tr>
      <w:tr>
        <w:tc>
          <w:tcPr/>
          <w:p>
            <w:pPr>
              <w:pStyle w:val="Compact"/>
              <w:jc w:val="left"/>
            </w:pPr>
            <w:r>
              <w:t xml:space="preserve">Active listings in the market</w:t>
            </w:r>
          </w:p>
        </w:tc>
        <w:tc>
          <w:tcPr/>
          <w:p>
            <w:pPr>
              <w:pStyle w:val="Compact"/>
            </w:pPr>
          </w:p>
        </w:tc>
        <w:tc>
          <w:tcPr/>
          <w:p>
            <w:pPr>
              <w:pStyle w:val="Compact"/>
              <w:jc w:val="left"/>
            </w:pPr>
            <w:r>
              <w:t xml:space="preserve">90–150, depending on whose count you trust (Cave City, Park City, Brownsville, Horse Cave)</w:t>
            </w:r>
          </w:p>
        </w:tc>
      </w:tr>
      <w:tr>
        <w:tc>
          <w:tcPr/>
          <w:p>
            <w:pPr>
              <w:pStyle w:val="Compact"/>
              <w:jc w:val="left"/>
            </w:pPr>
            <w:r>
              <w:t xml:space="preserve">Verdict</w:t>
            </w:r>
          </w:p>
        </w:tc>
        <w:tc>
          <w:tcPr/>
          <w:p>
            <w:pPr>
              <w:pStyle w:val="Compact"/>
            </w:pPr>
          </w:p>
        </w:tc>
        <w:tc>
          <w:tcPr/>
          <w:p>
            <w:pPr>
              <w:pStyle w:val="Compact"/>
              <w:jc w:val="left"/>
            </w:pPr>
            <w:r>
              <w:t xml:space="preserve">A market feeding less than half its capacity. Undersupplied.</w:t>
            </w:r>
          </w:p>
        </w:tc>
      </w:tr>
    </w:tbl>
    <w:p>
      <w:pPr>
        <w:numPr>
          <w:ilvl w:val="0"/>
          <w:numId w:val="1002"/>
        </w:numPr>
        <w:pStyle w:val="Compact"/>
      </w:pPr>
      <w:r>
        <w:t xml:space="preserve">☐</w:t>
      </w:r>
      <w:r>
        <w:t xml:space="preserve"> </w:t>
      </w:r>
      <w:r>
        <w:rPr>
          <w:bCs/>
          <w:b/>
        </w:rPr>
        <w:t xml:space="preserve">Visitor-to-listing screen.</w:t>
      </w:r>
      <w:r>
        <w:t xml:space="preserve"> </w:t>
      </w:r>
      <w:r>
        <w:t xml:space="preserve">A million-plus visitors a year and fewer than a hundred places to stay, or the same proportions at a smaller scale. Visitors ____________ ÷ listings ______ = ____________</w:t>
      </w:r>
    </w:p>
    <w:p>
      <w:pPr>
        <w:numPr>
          <w:ilvl w:val="0"/>
          <w:numId w:val="1002"/>
        </w:numPr>
        <w:pStyle w:val="Compact"/>
      </w:pPr>
      <w:r>
        <w:t xml:space="preserve">☐</w:t>
      </w:r>
      <w:r>
        <w:t xml:space="preserve"> </w:t>
      </w:r>
      <w:r>
        <w:rPr>
          <w:bCs/>
          <w:b/>
        </w:rPr>
        <w:t xml:space="preserve">Supply gap confirmed.</w:t>
      </w:r>
      <w:r>
        <w:t xml:space="preserve"> </w:t>
      </w:r>
      <w:r>
        <w:t xml:space="preserve">Far fewer listings than the demand can feed means undersupply. At or above that number, you’re playing musical chairs.</w:t>
      </w:r>
    </w:p>
    <w:bookmarkEnd w:id="21"/>
    <w:bookmarkStart w:id="22" w:name="where-on-the-saturation-curve"/>
    <w:p>
      <w:pPr>
        <w:pStyle w:val="Heading2"/>
      </w:pPr>
      <w:r>
        <w:t xml:space="preserve">3. Where on the Saturation Curve?</w:t>
      </w:r>
    </w:p>
    <w:p>
      <w:pPr>
        <w:pStyle w:val="FirstParagraph"/>
      </w:pPr>
      <w:r>
        <w:t xml:space="preserve">Mark the stage. Judge by supply relative to the demand math above, not raw listing counts; the counts below describe a typical small rural market and are proportions, not laws. Markets can also stall at any stage after a regulation change or an economic shock.</w:t>
      </w:r>
    </w:p>
    <w:p>
      <w:pPr>
        <w:numPr>
          <w:ilvl w:val="0"/>
          <w:numId w:val="1003"/>
        </w:numPr>
        <w:pStyle w:val="Compact"/>
      </w:pPr>
      <w:r>
        <w:t xml:space="preserve">☐</w:t>
      </w:r>
      <w:r>
        <w:t xml:space="preserve"> </w:t>
      </w:r>
      <w:r>
        <w:rPr>
          <w:bCs/>
          <w:b/>
        </w:rPr>
        <w:t xml:space="preserve">Stage 1: Undiscovered (Tier 4).</w:t>
      </w:r>
      <w:r>
        <w:t xml:space="preserve"> </w:t>
      </w:r>
      <w:r>
        <w:t xml:space="preserve">Few STR listings; demand exists but runs on word of mouth. Signals: unpredictable occupancy, reviews slow to accumulate. Mostly locals dabbling. Demands the most due diligence; 2–3x returns are possible if you get it right.</w:t>
      </w:r>
    </w:p>
    <w:p>
      <w:pPr>
        <w:numPr>
          <w:ilvl w:val="0"/>
          <w:numId w:val="1003"/>
        </w:numPr>
        <w:pStyle w:val="Compact"/>
      </w:pPr>
      <w:r>
        <w:t xml:space="preserve">☐</w:t>
      </w:r>
      <w:r>
        <w:t xml:space="preserve"> </w:t>
      </w:r>
      <w:r>
        <w:rPr>
          <w:bCs/>
          <w:b/>
        </w:rPr>
        <w:t xml:space="preserve">Stage 2: Emerging (Tier 3, the sweet spot).</w:t>
      </w:r>
      <w:r>
        <w:t xml:space="preserve"> </w:t>
      </w:r>
      <w:r>
        <w:t xml:space="preserve">A growing base of listings, still well below what demand can feed (in a small market, maybe 40–100). Signals: occupancy improving year over year (trending from 45% toward 55%+), ADR stable or rising, more guests arriving via search. Smart money moving in, maybe two or three new investor-owned properties a quarter. Buy here.</w:t>
      </w:r>
    </w:p>
    <w:p>
      <w:pPr>
        <w:numPr>
          <w:ilvl w:val="0"/>
          <w:numId w:val="1003"/>
        </w:numPr>
        <w:pStyle w:val="Compact"/>
      </w:pPr>
      <w:r>
        <w:t xml:space="preserve">☐</w:t>
      </w:r>
      <w:r>
        <w:t xml:space="preserve"> </w:t>
      </w:r>
      <w:r>
        <w:rPr>
          <w:bCs/>
          <w:b/>
        </w:rPr>
        <w:t xml:space="preserve">Stage 3: Discovered (Tier 2).</w:t>
      </w:r>
      <w:r>
        <w:t xml:space="preserve"> </w:t>
      </w:r>
      <w:r>
        <w:t xml:space="preserve">Supply has multiplied toward capacity. Travel blogs, podcasts, social media; institutional money arriving; prices rising fast. Occupancy still strong (55–65%+) but plateauing. Upside lower: 15–25% cash-on-cash.</w:t>
      </w:r>
    </w:p>
    <w:p>
      <w:pPr>
        <w:numPr>
          <w:ilvl w:val="0"/>
          <w:numId w:val="1003"/>
        </w:numPr>
        <w:pStyle w:val="Compact"/>
      </w:pPr>
      <w:r>
        <w:t xml:space="preserve">☐</w:t>
      </w:r>
      <w:r>
        <w:t xml:space="preserve"> </w:t>
      </w:r>
      <w:r>
        <w:rPr>
          <w:bCs/>
          <w:b/>
        </w:rPr>
        <w:t xml:space="preserve">Stage 4: Saturated (Tier 1).</w:t>
      </w:r>
      <w:r>
        <w:t xml:space="preserve"> </w:t>
      </w:r>
      <w:r>
        <w:t xml:space="preserve">More listings than the demand math can feed. Occupancy stalling or falling below 50%, ADR dropping to hold bookings, price wars, a proliferation of</w:t>
      </w:r>
      <w:r>
        <w:t xml:space="preserve"> </w:t>
      </w:r>
      <w:r>
        <w:t xml:space="preserve">“</w:t>
      </w:r>
      <w:r>
        <w:t xml:space="preserve">value</w:t>
      </w:r>
      <w:r>
        <w:t xml:space="preserve">”</w:t>
      </w:r>
      <w:r>
        <w:t xml:space="preserve"> </w:t>
      </w:r>
      <w:r>
        <w:t xml:space="preserve">listings. Upside limited: 5–10% returns, with operational excellence required just to stay profitable.</w:t>
      </w:r>
    </w:p>
    <w:p>
      <w:pPr>
        <w:pStyle w:val="FirstParagraph"/>
      </w:pPr>
      <w:r>
        <w:rPr>
          <w:bCs/>
          <w:b/>
        </w:rPr>
        <w:t xml:space="preserve">Three metrics that place you on the curve: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Your reading</w:t>
            </w:r>
          </w:p>
        </w:tc>
        <w:tc>
          <w:tcPr/>
          <w:p>
            <w:pPr>
              <w:pStyle w:val="Compact"/>
              <w:jc w:val="left"/>
            </w:pPr>
            <w:r>
              <w:t xml:space="preserve">How to read it</w:t>
            </w:r>
          </w:p>
        </w:tc>
      </w:tr>
      <w:tr>
        <w:tc>
          <w:tcPr/>
          <w:p>
            <w:pPr>
              <w:pStyle w:val="Compact"/>
              <w:jc w:val="left"/>
            </w:pPr>
            <w:r>
              <w:t xml:space="preserve">Active listings growth rate</w:t>
            </w:r>
          </w:p>
        </w:tc>
        <w:tc>
          <w:tcPr/>
          <w:p>
            <w:pPr>
              <w:pStyle w:val="Compact"/>
              <w:jc w:val="left"/>
            </w:pPr>
            <w:r>
              <w:t xml:space="preserve">______% per year</w:t>
            </w:r>
          </w:p>
        </w:tc>
        <w:tc>
          <w:tcPr/>
          <w:p>
            <w:pPr>
              <w:pStyle w:val="Compact"/>
              <w:jc w:val="left"/>
            </w:pPr>
            <w:r>
              <w:t xml:space="preserve">20%+ a year: accelerating. 5–10%: steady maturation. Flat or declining: saturation or pullback.</w:t>
            </w:r>
          </w:p>
        </w:tc>
      </w:tr>
      <w:tr>
        <w:tc>
          <w:tcPr/>
          <w:p>
            <w:pPr>
              <w:pStyle w:val="Compact"/>
              <w:jc w:val="left"/>
            </w:pPr>
            <w:r>
              <w:t xml:space="preserve">ADR trend over 12 months</w:t>
            </w:r>
          </w:p>
        </w:tc>
        <w:tc>
          <w:tcPr/>
          <w:p>
            <w:pPr>
              <w:pStyle w:val="Compact"/>
              <w:jc w:val="left"/>
            </w:pPr>
            <w:r>
              <w:t xml:space="preserve">rising / flat / falling</w:t>
            </w:r>
          </w:p>
        </w:tc>
        <w:tc>
          <w:tcPr/>
          <w:p>
            <w:pPr>
              <w:pStyle w:val="Compact"/>
              <w:jc w:val="left"/>
            </w:pPr>
            <w:r>
              <w:t xml:space="preserve">Rising despite more listings: demand outpacing supply, good sign. Flat or falling despite more listings: warning sign.</w:t>
            </w:r>
          </w:p>
        </w:tc>
      </w:tr>
      <w:tr>
        <w:tc>
          <w:tcPr/>
          <w:p>
            <w:pPr>
              <w:pStyle w:val="Compact"/>
              <w:jc w:val="left"/>
            </w:pPr>
            <w:r>
              <w:t xml:space="preserve">Occupancy trend (median, across similar listings)</w:t>
            </w:r>
          </w:p>
        </w:tc>
        <w:tc>
          <w:tcPr/>
          <w:p>
            <w:pPr>
              <w:pStyle w:val="Compact"/>
              <w:jc w:val="left"/>
            </w:pPr>
            <w:r>
              <w:t xml:space="preserve">rising / stable / falling</w:t>
            </w:r>
          </w:p>
        </w:tc>
        <w:tc>
          <w:tcPr/>
          <w:p>
            <w:pPr>
              <w:pStyle w:val="Compact"/>
              <w:jc w:val="left"/>
            </w:pPr>
            <w:r>
              <w:t xml:space="preserve">Stable or rising: healthy. Declining: oversupply biting or seasonality worsening. Both bad.</w:t>
            </w:r>
          </w:p>
        </w:tc>
      </w:tr>
    </w:tbl>
    <w:bookmarkEnd w:id="22"/>
    <w:bookmarkStart w:id="23" w:name="the-market-scoring-matrix"/>
    <w:p>
      <w:pPr>
        <w:pStyle w:val="Heading2"/>
      </w:pPr>
      <w:r>
        <w:t xml:space="preserve">4. The Market Scoring Matrix</w:t>
      </w:r>
    </w:p>
    <w:p>
      <w:pPr>
        <w:pStyle w:val="FirstParagraph"/>
      </w:pPr>
      <w:r>
        <w:t xml:space="preserve">Rate each line 1–5 (1 = poor, 5 = excellent), multiply by the weight, add it up. Minimum target: 3.5 out of 5.0.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Score (1–5)</w:t>
            </w:r>
          </w:p>
        </w:tc>
        <w:tc>
          <w:tcPr/>
          <w:p>
            <w:pPr>
              <w:pStyle w:val="Compact"/>
              <w:jc w:val="left"/>
            </w:pPr>
            <w:r>
              <w:t xml:space="preserve">Weighted</w:t>
            </w:r>
          </w:p>
        </w:tc>
        <w:tc>
          <w:tcPr/>
          <w:p>
            <w:pPr>
              <w:pStyle w:val="Compact"/>
              <w:jc w:val="left"/>
            </w:pPr>
            <w:r>
              <w:t xml:space="preserve">Scoring anchors</w:t>
            </w:r>
          </w:p>
        </w:tc>
      </w:tr>
      <w:tr>
        <w:tc>
          <w:tcPr/>
          <w:p>
            <w:pPr>
              <w:pStyle w:val="Compact"/>
              <w:jc w:val="left"/>
            </w:pPr>
            <w:r>
              <w:t xml:space="preserve">Tourism Demand</w:t>
            </w:r>
          </w:p>
        </w:tc>
        <w:tc>
          <w:tcPr/>
          <w:p>
            <w:pPr>
              <w:pStyle w:val="Compact"/>
              <w:jc w:val="left"/>
            </w:pPr>
            <w:r>
              <w:t xml:space="preserve">30%</w:t>
            </w:r>
          </w:p>
        </w:tc>
        <w:tc>
          <w:tcPr/>
          <w:p>
            <w:pPr>
              <w:pStyle w:val="Compact"/>
            </w:pPr>
          </w:p>
        </w:tc>
        <w:tc>
          <w:tcPr/>
          <w:p>
            <w:pPr>
              <w:pStyle w:val="Compact"/>
            </w:pPr>
          </w:p>
        </w:tc>
        <w:tc>
          <w:tcPr/>
          <w:p>
            <w:pPr>
              <w:pStyle w:val="Compact"/>
              <w:jc w:val="left"/>
            </w:pPr>
            <w:r>
              <w:t xml:space="preserve">5 = major park (3M+ annual visitors) or true destination. 4 = strong park or lake (1–3M) with growing interest. 3 = emerging destination (500K–1M), room to grow. 2 = weak demand, seasonal only. 1 = no meaningful tourism.</w:t>
            </w:r>
          </w:p>
        </w:tc>
      </w:tr>
      <w:tr>
        <w:tc>
          <w:tcPr/>
          <w:p>
            <w:pPr>
              <w:pStyle w:val="Compact"/>
              <w:jc w:val="left"/>
            </w:pPr>
            <w:r>
              <w:t xml:space="preserve">Acquisition Cost</w:t>
            </w:r>
          </w:p>
        </w:tc>
        <w:tc>
          <w:tcPr/>
          <w:p>
            <w:pPr>
              <w:pStyle w:val="Compact"/>
              <w:jc w:val="left"/>
            </w:pPr>
            <w:r>
              <w:t xml:space="preserve">25%</w:t>
            </w:r>
          </w:p>
        </w:tc>
        <w:tc>
          <w:tcPr/>
          <w:p>
            <w:pPr>
              <w:pStyle w:val="Compact"/>
            </w:pPr>
          </w:p>
        </w:tc>
        <w:tc>
          <w:tcPr/>
          <w:p>
            <w:pPr>
              <w:pStyle w:val="Compact"/>
            </w:pPr>
          </w:p>
        </w:tc>
        <w:tc>
          <w:tcPr/>
          <w:p>
            <w:pPr>
              <w:pStyle w:val="Compact"/>
              <w:jc w:val="left"/>
            </w:pPr>
            <w:r>
              <w:t xml:space="preserve">5 = under $250K for a quality 4 bed / 3 bath. 4 = $250K–$300K, strong numbers. 3 = $300K–$350K, workable but tighter. 2 = $350K–$450K, near-perfect execution required. 1 = over $450K, not Emerging Rural economics.</w:t>
            </w:r>
          </w:p>
        </w:tc>
      </w:tr>
      <w:tr>
        <w:tc>
          <w:tcPr/>
          <w:p>
            <w:pPr>
              <w:pStyle w:val="Compact"/>
              <w:jc w:val="left"/>
            </w:pPr>
            <w:r>
              <w:t xml:space="preserve">Competition Level</w:t>
            </w:r>
          </w:p>
        </w:tc>
        <w:tc>
          <w:tcPr/>
          <w:p>
            <w:pPr>
              <w:pStyle w:val="Compact"/>
              <w:jc w:val="left"/>
            </w:pPr>
            <w:r>
              <w:t xml:space="preserve">20%</w:t>
            </w:r>
          </w:p>
        </w:tc>
        <w:tc>
          <w:tcPr/>
          <w:p>
            <w:pPr>
              <w:pStyle w:val="Compact"/>
            </w:pPr>
          </w:p>
        </w:tc>
        <w:tc>
          <w:tcPr/>
          <w:p>
            <w:pPr>
              <w:pStyle w:val="Compact"/>
            </w:pPr>
          </w:p>
        </w:tc>
        <w:tc>
          <w:tcPr/>
          <w:p>
            <w:pPr>
              <w:pStyle w:val="Compact"/>
              <w:jc w:val="left"/>
            </w:pPr>
            <w:r>
              <w:t xml:space="preserve">5 = under 30 active listings. 4 = 30–60, space to differentiate. 3 = 60–100, moderately competitive. 2 = 100–150, crowded but survivable. 1 = over 150, likely saturated.</w:t>
            </w:r>
          </w:p>
        </w:tc>
      </w:tr>
      <w:tr>
        <w:tc>
          <w:tcPr/>
          <w:p>
            <w:pPr>
              <w:pStyle w:val="Compact"/>
              <w:jc w:val="left"/>
            </w:pPr>
            <w:r>
              <w:t xml:space="preserve">Regulatory Environment</w:t>
            </w:r>
          </w:p>
        </w:tc>
        <w:tc>
          <w:tcPr/>
          <w:p>
            <w:pPr>
              <w:pStyle w:val="Compact"/>
              <w:jc w:val="left"/>
            </w:pPr>
            <w:r>
              <w:t xml:space="preserve">15%</w:t>
            </w:r>
          </w:p>
        </w:tc>
        <w:tc>
          <w:tcPr/>
          <w:p>
            <w:pPr>
              <w:pStyle w:val="Compact"/>
            </w:pPr>
          </w:p>
        </w:tc>
        <w:tc>
          <w:tcPr/>
          <w:p>
            <w:pPr>
              <w:pStyle w:val="Compact"/>
            </w:pPr>
          </w:p>
        </w:tc>
        <w:tc>
          <w:tcPr/>
          <w:p>
            <w:pPr>
              <w:pStyle w:val="Compact"/>
              <w:jc w:val="left"/>
            </w:pPr>
            <w:r>
              <w:t xml:space="preserve">5 = STRs warmly welcomed, minimal regulations. 4 = allowed with light requirements. 3 = allowed with some restrictions (license, days-per-year limits). 2 = heavily regulated or restricted. 1 = banned or effectively banned.</w:t>
            </w:r>
          </w:p>
        </w:tc>
      </w:tr>
      <w:tr>
        <w:tc>
          <w:tcPr/>
          <w:p>
            <w:pPr>
              <w:pStyle w:val="Compact"/>
              <w:jc w:val="left"/>
            </w:pPr>
            <w:r>
              <w:t xml:space="preserve">Seasonality</w:t>
            </w:r>
          </w:p>
        </w:tc>
        <w:tc>
          <w:tcPr/>
          <w:p>
            <w:pPr>
              <w:pStyle w:val="Compact"/>
              <w:jc w:val="left"/>
            </w:pPr>
            <w:r>
              <w:t xml:space="preserve">10%</w:t>
            </w:r>
          </w:p>
        </w:tc>
        <w:tc>
          <w:tcPr/>
          <w:p>
            <w:pPr>
              <w:pStyle w:val="Compact"/>
            </w:pPr>
          </w:p>
        </w:tc>
        <w:tc>
          <w:tcPr/>
          <w:p>
            <w:pPr>
              <w:pStyle w:val="Compact"/>
            </w:pPr>
          </w:p>
        </w:tc>
        <w:tc>
          <w:tcPr/>
          <w:p>
            <w:pPr>
              <w:pStyle w:val="Compact"/>
              <w:jc w:val="left"/>
            </w:pPr>
            <w:r>
              <w:t xml:space="preserve">5 = multiple seasons or year-round demand. 4 = two strong seasons, decent shoulders. 3 = one dominant season, weak shoulders. 2 = one season only, brutal dead months. 1 = a 3–4 month peak, then silence.</w:t>
            </w:r>
          </w:p>
        </w:tc>
      </w:tr>
      <w:tr>
        <w:tc>
          <w:tcPr/>
          <w:p>
            <w:pPr>
              <w:pStyle w:val="Compact"/>
              <w:jc w:val="left"/>
            </w:pPr>
            <w:r>
              <w:rPr>
                <w:bCs/>
                <w:b/>
              </w:rPr>
              <w:t xml:space="preserve">Total</w:t>
            </w:r>
          </w:p>
        </w:tc>
        <w:tc>
          <w:tcPr/>
          <w:p>
            <w:pPr>
              <w:pStyle w:val="Compact"/>
              <w:jc w:val="left"/>
            </w:pPr>
            <w:r>
              <w:t xml:space="preserve">100%</w:t>
            </w:r>
          </w:p>
        </w:tc>
        <w:tc>
          <w:tcPr/>
          <w:p>
            <w:pPr>
              <w:pStyle w:val="Compact"/>
            </w:pPr>
          </w:p>
        </w:tc>
        <w:tc>
          <w:tcPr/>
          <w:p>
            <w:pPr>
              <w:pStyle w:val="Compact"/>
              <w:jc w:val="left"/>
            </w:pPr>
            <w:r>
              <w:rPr>
                <w:bCs/>
                <w:b/>
              </w:rPr>
              <w:t xml:space="preserve">______ / 5.0</w:t>
            </w:r>
          </w:p>
        </w:tc>
        <w:tc>
          <w:tcPr/>
          <w:p>
            <w:pPr>
              <w:pStyle w:val="Compact"/>
            </w:pPr>
          </w:p>
        </w:tc>
      </w:tr>
    </w:tbl>
    <w:p>
      <w:pPr>
        <w:pStyle w:val="BodyText"/>
      </w:pPr>
      <w:r>
        <w:rPr>
          <w:bCs/>
          <w:b/>
        </w:rPr>
        <w:t xml:space="preserve">Decision rule:</w:t>
      </w:r>
      <w:r>
        <w:t xml:space="preserve"> </w:t>
      </w:r>
      <w:r>
        <w:t xml:space="preserve">below 3.0, pass. Between 3.0 and 3.5, dig deeper. At 3.5 or above, you’ve found something worth serious investigation.</w:t>
      </w:r>
    </w:p>
    <w:p>
      <w:pPr>
        <w:pStyle w:val="BodyText"/>
      </w:pPr>
      <w:r>
        <w:rPr>
          <w:bCs/>
          <w:b/>
        </w:rPr>
        <w:t xml:space="preserve">Book example (New River Gorge, WV, scored the way it looked when we were buying):</w:t>
      </w:r>
      <w:r>
        <w:t xml:space="preserve"> </w:t>
      </w:r>
      <w:r>
        <w:t xml:space="preserve">Tourism 4 × 30% = 1.2. Acquisition 4 × 25% = 1.0. Competition 4 × 20% = 0.8. Regulations 5 × 15% = 0.75. Seasonality 4 × 10% = 0.4.</w:t>
      </w:r>
      <w:r>
        <w:t xml:space="preserve"> </w:t>
      </w:r>
      <w:r>
        <w:rPr>
          <w:bCs/>
          <w:b/>
        </w:rPr>
        <w:t xml:space="preserve">Total: 4.15 out of 5.0.</w:t>
      </w:r>
      <w:r>
        <w:t xml:space="preserve"> </w:t>
      </w:r>
      <w:r>
        <w:t xml:space="preserve">One caution: competition moves fastest. A jump past 150 listings drags that line to 0.2 and the total to 3.55. Score from this month’s listing count, never from a book.</w:t>
      </w:r>
    </w:p>
    <w:bookmarkEnd w:id="23"/>
    <w:bookmarkStart w:id="24" w:name="revenue-check-underwrite-conservative"/>
    <w:p>
      <w:pPr>
        <w:pStyle w:val="Heading2"/>
      </w:pPr>
      <w:r>
        <w:t xml:space="preserve">5. Revenue Check (underwrite conservative)</w:t>
      </w:r>
    </w:p>
    <w:p>
      <w:pPr>
        <w:numPr>
          <w:ilvl w:val="0"/>
          <w:numId w:val="1004"/>
        </w:numPr>
        <w:pStyle w:val="Compact"/>
      </w:pPr>
      <w:r>
        <w:t xml:space="preserve">☐</w:t>
      </w:r>
      <w:r>
        <w:t xml:space="preserve"> </w:t>
      </w:r>
      <w:r>
        <w:rPr>
          <w:bCs/>
          <w:b/>
        </w:rPr>
        <w:t xml:space="preserve">Trailing-twelve-month comps only,</w:t>
      </w:r>
      <w:r>
        <w:t xml:space="preserve"> </w:t>
      </w:r>
      <w:r>
        <w:t xml:space="preserve">meaning what similar listings actually earned over the past twelve months.</w:t>
      </w:r>
    </w:p>
    <w:p>
      <w:pPr>
        <w:numPr>
          <w:ilvl w:val="0"/>
          <w:numId w:val="1004"/>
        </w:numPr>
        <w:pStyle w:val="Compact"/>
      </w:pPr>
      <w:r>
        <w:t xml:space="preserve">☐</w:t>
      </w:r>
      <w:r>
        <w:t xml:space="preserve"> </w:t>
      </w:r>
      <w:r>
        <w:rPr>
          <w:bCs/>
          <w:b/>
        </w:rPr>
        <w:t xml:space="preserve">Haircut any revenue-tool projection by 10–15%.</w:t>
      </w:r>
    </w:p>
    <w:p>
      <w:pPr>
        <w:numPr>
          <w:ilvl w:val="0"/>
          <w:numId w:val="1004"/>
        </w:numPr>
        <w:pStyle w:val="Compact"/>
      </w:pPr>
      <w:r>
        <w:t xml:space="preserve">☐</w:t>
      </w:r>
      <w:r>
        <w:t xml:space="preserve"> </w:t>
      </w:r>
      <w:r>
        <w:rPr>
          <w:bCs/>
          <w:b/>
        </w:rPr>
        <w:t xml:space="preserve">Plan around the 25th percentile,</w:t>
      </w:r>
      <w:r>
        <w:t xml:space="preserve"> </w:t>
      </w:r>
      <w:r>
        <w:t xml:space="preserve">what the weaker quarter of comparable listings actually earn. 25th-percentile revenue: $____________ per year</w:t>
      </w:r>
    </w:p>
    <w:p>
      <w:pPr>
        <w:numPr>
          <w:ilvl w:val="0"/>
          <w:numId w:val="1004"/>
        </w:numPr>
        <w:pStyle w:val="Compact"/>
      </w:pPr>
      <w:r>
        <w:t xml:space="preserve">☐</w:t>
      </w:r>
      <w:r>
        <w:t xml:space="preserve"> </w:t>
      </w:r>
      <w:r>
        <w:rPr>
          <w:bCs/>
          <w:b/>
        </w:rPr>
        <w:t xml:space="preserve">Pencils to $70K a year or better at 60–70% occupancy.</w:t>
      </w:r>
      <w:r>
        <w:t xml:space="preserve"> </w:t>
      </w:r>
      <w:r>
        <w:t xml:space="preserve">If it only works at 80%+ occupancy, skip it. You’re buying stress.</w:t>
      </w:r>
    </w:p>
    <w:bookmarkEnd w:id="24"/>
    <w:bookmarkStart w:id="25" w:name="price-to-revenue-ratio"/>
    <w:p>
      <w:pPr>
        <w:pStyle w:val="Heading2"/>
      </w:pPr>
      <w:r>
        <w:t xml:space="preserve">6. Price-to-Revenue Ratio</w:t>
      </w:r>
    </w:p>
    <w:p>
      <w:pPr>
        <w:pStyle w:val="FirstParagraph"/>
      </w:pPr>
      <w:r>
        <w:t xml:space="preserve">Prices drift, so anchor to the ratio, not the sticker.</w:t>
      </w:r>
    </w:p>
    <w:p>
      <w:pPr>
        <w:pStyle w:val="BodyText"/>
      </w:pPr>
      <w:r>
        <w:t xml:space="preserve">Median quality 4 bed / 3 bath price: $____________ vs. expected annual gross: $____________</w:t>
      </w:r>
    </w:p>
    <w:p>
      <w:pPr>
        <w:pStyle w:val="BodyText"/>
      </w:pPr>
      <w:r>
        <w:t xml:space="preserve">Book benchmark: a $170K cabin that grossed $72K its first year. When a year of bookings covers a big slice of the purchase price, you’ve found the right tier, whatever the sticker says.</w:t>
      </w:r>
    </w:p>
    <w:bookmarkEnd w:id="25"/>
    <w:bookmarkStart w:id="26" w:name="regulation-check"/>
    <w:p>
      <w:pPr>
        <w:pStyle w:val="Heading2"/>
      </w:pPr>
      <w:r>
        <w:t xml:space="preserve">7. Regulation Check</w:t>
      </w:r>
    </w:p>
    <w:p>
      <w:pPr>
        <w:numPr>
          <w:ilvl w:val="0"/>
          <w:numId w:val="1005"/>
        </w:numPr>
        <w:pStyle w:val="Compact"/>
      </w:pPr>
      <w:r>
        <w:t xml:space="preserve">☐ STRs allowed or even welcomed. Minimal red tape.</w:t>
      </w:r>
    </w:p>
    <w:p>
      <w:pPr>
        <w:numPr>
          <w:ilvl w:val="0"/>
          <w:numId w:val="1005"/>
        </w:numPr>
        <w:pStyle w:val="Compact"/>
      </w:pPr>
      <w:r>
        <w:t xml:space="preserve">☐ No complex licensing, day limits, or owner-occupancy requirements.</w:t>
      </w:r>
    </w:p>
    <w:p>
      <w:pPr>
        <w:numPr>
          <w:ilvl w:val="0"/>
          <w:numId w:val="1005"/>
        </w:numPr>
        <w:pStyle w:val="Compact"/>
      </w:pPr>
      <w:r>
        <w:t xml:space="preserve">☐ The city or county is embracing STRs, not restricting them.</w:t>
      </w:r>
    </w:p>
    <w:bookmarkEnd w:id="26"/>
    <w:bookmarkStart w:id="27" w:name="seasonality"/>
    <w:p>
      <w:pPr>
        <w:pStyle w:val="Heading2"/>
      </w:pPr>
      <w:r>
        <w:t xml:space="preserve">8. Seasonality</w:t>
      </w:r>
    </w:p>
    <w:p>
      <w:pPr>
        <w:pStyle w:val="FirstParagraph"/>
      </w:pPr>
      <w:r>
        <w:t xml:space="preserve">Seasons with real demand (circle all that apply): summer / fall foliage / winter / spring / year-round</w:t>
      </w:r>
    </w:p>
    <w:p>
      <w:pPr>
        <w:numPr>
          <w:ilvl w:val="0"/>
          <w:numId w:val="1006"/>
        </w:numPr>
        <w:pStyle w:val="Compact"/>
      </w:pPr>
      <w:r>
        <w:t xml:space="preserve">☐ Multiple seasons of demand, or one long peak with decent shoulders. One frantic month is not a market.</w:t>
      </w:r>
    </w:p>
    <w:bookmarkEnd w:id="27"/>
    <w:bookmarkStart w:id="28" w:name="resilience-flags"/>
    <w:p>
      <w:pPr>
        <w:pStyle w:val="Heading2"/>
      </w:pPr>
      <w:r>
        <w:t xml:space="preserve">9. Resilience Flags</w:t>
      </w:r>
    </w:p>
    <w:p>
      <w:pPr>
        <w:pStyle w:val="FirstParagraph"/>
      </w:pPr>
      <w:r>
        <w:rPr>
          <w:bCs/>
          <w:b/>
        </w:rPr>
        <w:t xml:space="preserve">Look for:</w:t>
      </w:r>
      <w:r>
        <w:t xml:space="preserve"> </w:t>
      </w:r>
      <w:r>
        <w:t xml:space="preserve">multiple seasons of demand; park infrastructure investment (new trails, visitor centers, expanded promotion); local business growth (new cafes, festivals, breweries, outdoor shops, restaurants); STR-friendly regulations; population stability or growth (check the census data).</w:t>
      </w:r>
    </w:p>
    <w:p>
      <w:pPr>
        <w:pStyle w:val="BodyText"/>
      </w:pPr>
      <w:r>
        <w:rPr>
          <w:bCs/>
          <w:b/>
        </w:rPr>
        <w:t xml:space="preserve">Avoid:</w:t>
      </w:r>
      <w:r>
        <w:t xml:space="preserve"> </w:t>
      </w:r>
      <w:r>
        <w:t xml:space="preserve">one-trick-pony towns (summer only, dead nine months); overregulated counties; major chain hotels breaking ground (Marriott or IHG building means saturation is near); declining population; single-employer towns.</w:t>
      </w:r>
    </w:p>
    <w:p>
      <w:r>
        <w:pict>
          <v:rect style="width:0;height:1.5pt" o:hralign="center" o:hrstd="t" o:hr="t"/>
        </w:pict>
      </w:r>
    </w:p>
    <w:p>
      <w:pPr>
        <w:pStyle w:val="FirstParagraph"/>
      </w:pPr>
      <w:r>
        <w:rPr>
          <w:bCs/>
          <w:b/>
        </w:rPr>
        <w:t xml:space="preserve">Verdict:</w:t>
      </w:r>
      <w:r>
        <w:t xml:space="preserve"> </w:t>
      </w:r>
      <w:r>
        <w:t xml:space="preserve">Matrix score ______ / 5.0 · Saturation stage ______ · Pass / Dig deeper / Investigate seriously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2026-07-07T04:44:58Z</dcterms:created>
  <dcterms:modified xsi:type="dcterms:W3CDTF">2026-07-07T04:44:58Z</dcterms:modified>
</cp:coreProperties>
</file>

<file path=docProps/custom.xml><?xml version="1.0" encoding="utf-8"?>
<Properties xmlns="http://schemas.openxmlformats.org/officeDocument/2006/custom-properties" xmlns:vt="http://schemas.openxmlformats.org/officeDocument/2006/docPropsVTypes"/>
</file>