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Heartland Polymers: Strategic Development Plan</w:t>
      </w:r>
    </w:p>
    <w:p>
      <w:r>
        <w:t>Effective Date: 2026-01-08. Next Review: 2026-05-08. Plan Owner: Supplier Relationship Manager, Crestview Industries.</w:t>
      </w:r>
    </w:p>
    <w:p>
      <w:pPr>
        <w:pStyle w:val="Heading2"/>
      </w:pPr>
      <w:r>
        <w:t>Background</w:t>
      </w:r>
    </w:p>
    <w:p>
      <w:r>
        <w:t>Heartland Polymers is a strategic supplier in the raw materials category, with annual spend of $3.8M. Performance has been strong, with overall scores consistently above 87. This development plan tracks three growth targets agreed at the January 2026 strategic review.</w:t>
      </w:r>
    </w:p>
    <w:p>
      <w:pPr>
        <w:pStyle w:val="Heading2"/>
      </w:pPr>
      <w:r>
        <w:t>Improvement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  <w:tr>
        <w:tc>
          <w:tcPr>
            <w:tcW w:type="dxa" w:w="2880"/>
          </w:tcPr>
          <w:p>
            <w:r>
              <w:t>Delivery on-time rate</w:t>
            </w:r>
          </w:p>
        </w:tc>
        <w:tc>
          <w:tcPr>
            <w:tcW w:type="dxa" w:w="2880"/>
          </w:tcPr>
          <w:p>
            <w:r>
              <w:t>Increase from 87% to 94%</w:t>
            </w:r>
          </w:p>
        </w:tc>
        <w:tc>
          <w:tcPr>
            <w:tcW w:type="dxa" w:w="2880"/>
          </w:tcPr>
          <w:p>
            <w:r>
              <w:t>2026-06-30</w:t>
            </w:r>
          </w:p>
        </w:tc>
      </w:tr>
      <w:tr>
        <w:tc>
          <w:tcPr>
            <w:tcW w:type="dxa" w:w="2880"/>
          </w:tcPr>
          <w:p>
            <w:r>
              <w:t>Defect rate</w:t>
            </w:r>
          </w:p>
        </w:tc>
        <w:tc>
          <w:tcPr>
            <w:tcW w:type="dxa" w:w="2880"/>
          </w:tcPr>
          <w:p>
            <w:r>
              <w:t>Reduce from 2.1% to below 1.0%</w:t>
            </w:r>
          </w:p>
        </w:tc>
        <w:tc>
          <w:tcPr>
            <w:tcW w:type="dxa" w:w="2880"/>
          </w:tcPr>
          <w:p>
            <w:r>
              <w:t>2026-09-30</w:t>
            </w:r>
          </w:p>
        </w:tc>
      </w:tr>
      <w:tr>
        <w:tc>
          <w:tcPr>
            <w:tcW w:type="dxa" w:w="2880"/>
          </w:tcPr>
          <w:p>
            <w:r>
              <w:t>Supplier portal adoption</w:t>
            </w:r>
          </w:p>
        </w:tc>
        <w:tc>
          <w:tcPr>
            <w:tcW w:type="dxa" w:w="2880"/>
          </w:tcPr>
          <w:p>
            <w:r>
              <w:t>Increase from 40% to 100%</w:t>
            </w:r>
          </w:p>
        </w:tc>
        <w:tc>
          <w:tcPr>
            <w:tcW w:type="dxa" w:w="2880"/>
          </w:tcPr>
          <w:p>
            <w:r>
              <w:t>2026-09-30</w:t>
            </w:r>
          </w:p>
        </w:tc>
      </w:tr>
    </w:tbl>
    <w:p>
      <w:pPr>
        <w:pStyle w:val="Heading2"/>
      </w:pPr>
      <w:r>
        <w:t>Milestones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Joint quality review and root cause workshop</w:t>
            </w:r>
          </w:p>
        </w:tc>
        <w:tc>
          <w:tcPr>
            <w:tcW w:type="dxa" w:w="2880"/>
          </w:tcPr>
          <w:p>
            <w:r>
              <w:t>2026-02-15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Portal training for 100% of Heartland sales staff</w:t>
            </w:r>
          </w:p>
        </w:tc>
        <w:tc>
          <w:tcPr>
            <w:tcW w:type="dxa" w:w="2880"/>
          </w:tcPr>
          <w:p>
            <w:r>
              <w:t>2026-04-01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Mid-year review</w:t>
            </w:r>
          </w:p>
        </w:tc>
        <w:tc>
          <w:tcPr>
            <w:tcW w:type="dxa" w:w="2880"/>
          </w:tcPr>
          <w:p>
            <w:r>
              <w:t>2026-05-08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Defect rate validation in incoming inspection</w:t>
            </w:r>
          </w:p>
        </w:tc>
        <w:tc>
          <w:tcPr>
            <w:tcW w:type="dxa" w:w="2880"/>
          </w:tcPr>
          <w:p>
            <w:r>
              <w:t>2026-08-01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>
      <w:pPr>
        <w:pStyle w:val="Heading2"/>
      </w:pPr>
      <w:r>
        <w:t>Quarterly Check-In Notes</w:t>
      </w:r>
    </w:p>
    <w:p>
      <w:r>
        <w:t>Q4 2025: Delivery on-time rate at 91%. Defect rate at 1.6%. Portal adoption at 55%.</w:t>
      </w:r>
    </w:p>
    <w:p>
      <w:r>
        <w:t>Q1 2026: Delivery on-time rate at 93%. Defect rate at 1.4%. Portal adoption at 72%.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