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MASTER SERVICE AGREEMENT</w:t>
      </w:r>
    </w:p>
    <w:p>
      <w:pPr>
        <w:spacing w:after="300"/>
        <w:jc w:val="center"/>
      </w:pPr>
      <w:r>
        <w:rPr>
          <w:i/>
          <w:iCs/>
          <w:sz w:val="22"/>
          <w:szCs w:val="22"/>
        </w:rPr>
        <w:t xml:space="preserve">Corporate Travel Management Services</w:t>
      </w:r>
    </w:p>
    <w:p>
      <w:pPr>
        <w:spacing w:after="140" w:line="276"/>
        <w:jc w:val="both"/>
      </w:pPr>
      <w:r>
        <w:rPr>
          <w:b w:val="false"/>
          <w:bCs w:val="false"/>
          <w:i w:val="false"/>
          <w:iCs w:val="false"/>
          <w:sz w:val="22"/>
          <w:szCs w:val="22"/>
        </w:rPr>
        <w:t xml:space="preserve">This Master Service Agreement (the </w:t>
      </w:r>
      <w:r>
        <w:rPr>
          <w:b/>
          <w:bCs/>
          <w:i w:val="false"/>
          <w:iCs w:val="false"/>
          <w:sz w:val="22"/>
          <w:szCs w:val="22"/>
        </w:rPr>
        <w:t xml:space="preserve">"Agreement"</w:t>
      </w:r>
      <w:r>
        <w:rPr>
          <w:b w:val="false"/>
          <w:bCs w:val="false"/>
          <w:i w:val="false"/>
          <w:iCs w:val="false"/>
          <w:sz w:val="22"/>
          <w:szCs w:val="22"/>
        </w:rPr>
        <w:t xml:space="preserve">) is made and entered into on this ______ day of ____________, 20____ (the </w:t>
      </w:r>
      <w:r>
        <w:rPr>
          <w:b/>
          <w:bCs/>
          <w:i w:val="false"/>
          <w:iCs w:val="false"/>
          <w:sz w:val="22"/>
          <w:szCs w:val="22"/>
        </w:rPr>
        <w:t xml:space="preserve">"Effective Date"</w:t>
      </w:r>
      <w:r>
        <w:rPr>
          <w:b w:val="false"/>
          <w:bCs w:val="false"/>
          <w:i w:val="false"/>
          <w:iCs w:val="false"/>
          <w:sz w:val="22"/>
          <w:szCs w:val="22"/>
        </w:rPr>
        <w:t xml:space="preserve">) </w:t>
      </w:r>
      <w:r>
        <w:rPr>
          <w:b/>
          <w:bCs/>
          <w:i w:val="false"/>
          <w:iCs w:val="false"/>
          <w:sz w:val="22"/>
          <w:szCs w:val="22"/>
        </w:rPr>
        <w:t xml:space="preserve">BY AND BETWEEN</w:t>
      </w:r>
      <w:r>
        <w:rPr>
          <w:b w:val="false"/>
          <w:bCs w:val="false"/>
          <w:i w:val="false"/>
          <w:iCs w:val="false"/>
          <w:sz w:val="22"/>
          <w:szCs w:val="22"/>
        </w:rPr>
        <w:t xml:space="preserve">:</w:t>
      </w:r>
    </w:p>
    <w:p>
      <w:pPr>
        <w:spacing w:after="140" w:line="276"/>
        <w:jc w:val="both"/>
      </w:pPr>
      <w:r>
        <w:rPr>
          <w:b/>
          <w:bCs/>
          <w:i w:val="false"/>
          <w:iCs w:val="false"/>
          <w:sz w:val="22"/>
          <w:szCs w:val="22"/>
        </w:rPr>
        <w:t xml:space="preserve">Peachmint Trips and Planners Pvt. Ltd.</w:t>
      </w:r>
      <w:r>
        <w:rPr>
          <w:b w:val="false"/>
          <w:bCs w:val="false"/>
          <w:i w:val="false"/>
          <w:iCs w:val="false"/>
          <w:sz w:val="22"/>
          <w:szCs w:val="22"/>
        </w:rPr>
        <w:t xml:space="preserve">, a company duly incorporated and existing under the laws of India (CIN: U56210HR2024PTC123583), having its registered office at </w:t>
      </w:r>
      <w:r>
        <w:rPr>
          <w:b/>
          <w:bCs/>
          <w:i w:val="false"/>
          <w:iCs w:val="false"/>
          <w:sz w:val="22"/>
          <w:szCs w:val="22"/>
        </w:rPr>
        <w:t xml:space="preserve">Vatika Business Park, 12th Floor, Tower B, Sohna Road, Gurgaon, Haryana 122001, India</w:t>
      </w:r>
      <w:r>
        <w:rPr>
          <w:b w:val="false"/>
          <w:bCs w:val="false"/>
          <w:i w:val="false"/>
          <w:iCs w:val="false"/>
          <w:sz w:val="22"/>
          <w:szCs w:val="22"/>
        </w:rPr>
        <w:t xml:space="preserve">, and operating its B2B corporate travel platform under the brands </w:t>
      </w:r>
      <w:r>
        <w:rPr>
          <w:b/>
          <w:bCs/>
          <w:i w:val="false"/>
          <w:iCs w:val="false"/>
          <w:sz w:val="22"/>
          <w:szCs w:val="22"/>
        </w:rPr>
        <w:t xml:space="preserve">"Plumtrips.com"</w:t>
      </w:r>
      <w:r>
        <w:rPr>
          <w:b w:val="false"/>
          <w:bCs w:val="false"/>
          <w:i w:val="false"/>
          <w:iCs w:val="false"/>
          <w:sz w:val="22"/>
          <w:szCs w:val="22"/>
        </w:rPr>
        <w:t xml:space="preserve"> and </w:t>
      </w:r>
      <w:r>
        <w:rPr>
          <w:b/>
          <w:bCs/>
          <w:i w:val="false"/>
          <w:iCs w:val="false"/>
          <w:sz w:val="22"/>
          <w:szCs w:val="22"/>
        </w:rPr>
        <w:t xml:space="preserve">"Helloviza.com"</w:t>
      </w:r>
      <w:r>
        <w:rPr>
          <w:b w:val="false"/>
          <w:bCs w:val="false"/>
          <w:i w:val="false"/>
          <w:iCs w:val="false"/>
          <w:sz w:val="22"/>
          <w:szCs w:val="22"/>
        </w:rPr>
        <w:t xml:space="preserve">, hereinafter referred to as the </w:t>
      </w:r>
      <w:r>
        <w:rPr>
          <w:b/>
          <w:bCs/>
          <w:i w:val="false"/>
          <w:iCs w:val="false"/>
          <w:sz w:val="22"/>
          <w:szCs w:val="22"/>
        </w:rPr>
        <w:t xml:space="preserve">"Service Provider"</w:t>
      </w:r>
      <w:r>
        <w:rPr>
          <w:b w:val="false"/>
          <w:bCs w:val="false"/>
          <w:i w:val="false"/>
          <w:iCs w:val="false"/>
          <w:sz w:val="22"/>
          <w:szCs w:val="22"/>
        </w:rPr>
        <w:t xml:space="preserve"> (which expression shall, unless repugnant to the context, include its successors and permitted assigns) of the </w:t>
      </w:r>
      <w:r>
        <w:rPr>
          <w:b/>
          <w:bCs/>
          <w:i w:val="false"/>
          <w:iCs w:val="false"/>
          <w:sz w:val="22"/>
          <w:szCs w:val="22"/>
        </w:rPr>
        <w:t xml:space="preserve">ONE PART</w:t>
      </w:r>
      <w:r>
        <w:rPr>
          <w:b w:val="false"/>
          <w:bCs w:val="false"/>
          <w:i w:val="false"/>
          <w:iCs w:val="false"/>
          <w:sz w:val="22"/>
          <w:szCs w:val="22"/>
        </w:rPr>
        <w:t xml:space="preserve">;</w:t>
      </w:r>
    </w:p>
    <w:p>
      <w:pPr>
        <w:spacing w:after="140" w:line="276"/>
        <w:jc w:val="center"/>
      </w:pPr>
      <w:r>
        <w:rPr>
          <w:b/>
          <w:bCs/>
          <w:i w:val="false"/>
          <w:iCs w:val="false"/>
          <w:sz w:val="22"/>
          <w:szCs w:val="22"/>
        </w:rPr>
        <w:t xml:space="preserve">AND</w:t>
      </w:r>
    </w:p>
    <w:p>
      <w:pPr>
        <w:spacing w:after="140" w:line="276"/>
        <w:jc w:val="both"/>
      </w:pPr>
      <w:r>
        <w:rPr>
          <w:b/>
          <w:bCs/>
          <w:i w:val="false"/>
          <w:iCs w:val="false"/>
          <w:sz w:val="22"/>
          <w:szCs w:val="22"/>
        </w:rPr>
        <w:t xml:space="preserve">{client_name}</w:t>
      </w:r>
      <w:r>
        <w:rPr>
          <w:b w:val="false"/>
          <w:bCs w:val="false"/>
          <w:i w:val="false"/>
          <w:iCs w:val="false"/>
          <w:sz w:val="22"/>
          <w:szCs w:val="22"/>
        </w:rPr>
        <w:t xml:space="preserve">, a company duly incorporated and existing under the laws of India (CIN: {client_cin}), having its registered office at </w:t>
      </w:r>
      <w:r>
        <w:rPr>
          <w:b/>
          <w:bCs/>
          <w:i w:val="false"/>
          <w:iCs w:val="false"/>
          <w:sz w:val="22"/>
          <w:szCs w:val="22"/>
        </w:rPr>
        <w:t xml:space="preserve">{client_address}</w:t>
      </w:r>
      <w:r>
        <w:rPr>
          <w:b w:val="false"/>
          <w:bCs w:val="false"/>
          <w:i w:val="false"/>
          <w:iCs w:val="false"/>
          <w:sz w:val="22"/>
          <w:szCs w:val="22"/>
        </w:rPr>
        <w:t xml:space="preserve">, hereinafter referred to as the </w:t>
      </w:r>
      <w:r>
        <w:rPr>
          <w:b/>
          <w:bCs/>
          <w:i w:val="false"/>
          <w:iCs w:val="false"/>
          <w:sz w:val="22"/>
          <w:szCs w:val="22"/>
        </w:rPr>
        <w:t xml:space="preserve">"Client"</w:t>
      </w:r>
      <w:r>
        <w:rPr>
          <w:b w:val="false"/>
          <w:bCs w:val="false"/>
          <w:i w:val="false"/>
          <w:iCs w:val="false"/>
          <w:sz w:val="22"/>
          <w:szCs w:val="22"/>
        </w:rPr>
        <w:t xml:space="preserve"> (which expression shall, unless repugnant to the context, include its successors and permitted assigns) of the </w:t>
      </w:r>
      <w:r>
        <w:rPr>
          <w:b/>
          <w:bCs/>
          <w:i w:val="false"/>
          <w:iCs w:val="false"/>
          <w:sz w:val="22"/>
          <w:szCs w:val="22"/>
        </w:rPr>
        <w:t xml:space="preserve">OTHER PART</w:t>
      </w:r>
      <w:r>
        <w:rPr>
          <w:b w:val="false"/>
          <w:bCs w:val="false"/>
          <w:i w:val="false"/>
          <w:iCs w:val="false"/>
          <w:sz w:val="22"/>
          <w:szCs w:val="22"/>
        </w:rPr>
        <w:t xml:space="preserve">.</w:t>
      </w:r>
    </w:p>
    <w:p>
      <w:pPr>
        <w:spacing w:after="140" w:line="276"/>
        <w:jc w:val="both"/>
      </w:pPr>
      <w:r>
        <w:rPr>
          <w:b w:val="false"/>
          <w:bCs w:val="false"/>
          <w:i w:val="false"/>
          <w:iCs w:val="false"/>
          <w:sz w:val="22"/>
          <w:szCs w:val="22"/>
        </w:rPr>
        <w:t xml:space="preserve">The Service Provider and the Client are hereinafter individually referred to as a </w:t>
      </w:r>
      <w:r>
        <w:rPr>
          <w:b/>
          <w:bCs/>
          <w:i w:val="false"/>
          <w:iCs w:val="false"/>
          <w:sz w:val="22"/>
          <w:szCs w:val="22"/>
        </w:rPr>
        <w:t xml:space="preserve">"Party"</w:t>
      </w:r>
      <w:r>
        <w:rPr>
          <w:b w:val="false"/>
          <w:bCs w:val="false"/>
          <w:i w:val="false"/>
          <w:iCs w:val="false"/>
          <w:sz w:val="22"/>
          <w:szCs w:val="22"/>
        </w:rPr>
        <w:t xml:space="preserve"> and collectively as the </w:t>
      </w:r>
      <w:r>
        <w:rPr>
          <w:b/>
          <w:bCs/>
          <w:i w:val="false"/>
          <w:iCs w:val="false"/>
          <w:sz w:val="22"/>
          <w:szCs w:val="22"/>
        </w:rPr>
        <w:t xml:space="preserve">"Parties"</w:t>
      </w:r>
      <w:r>
        <w:rPr>
          <w:b w:val="false"/>
          <w:bCs w:val="false"/>
          <w:i w:val="false"/>
          <w:iCs w:val="false"/>
          <w:sz w:val="22"/>
          <w:szCs w:val="22"/>
        </w:rPr>
        <w:t xml:space="preserve">.</w:t>
      </w:r>
    </w:p>
    <w:p>
      <w:pPr>
        <w:spacing w:after="140" w:line="276"/>
        <w:jc w:val="both"/>
      </w:pPr>
      <w:r>
        <w:rPr>
          <w:b/>
          <w:bCs/>
          <w:i w:val="false"/>
          <w:iCs w:val="false"/>
          <w:sz w:val="22"/>
          <w:szCs w:val="22"/>
        </w:rPr>
        <w:t xml:space="preserve">WHEREAS:</w:t>
      </w:r>
    </w:p>
    <w:p>
      <w:pPr>
        <w:spacing w:after="140" w:line="276"/>
        <w:jc w:val="both"/>
      </w:pPr>
      <w:r>
        <w:rPr>
          <w:b/>
          <w:bCs/>
          <w:i w:val="false"/>
          <w:iCs w:val="false"/>
          <w:sz w:val="22"/>
          <w:szCs w:val="22"/>
        </w:rPr>
        <w:t xml:space="preserve">A.</w:t>
      </w:r>
      <w:r>
        <w:rPr>
          <w:b w:val="false"/>
          <w:bCs w:val="false"/>
          <w:i w:val="false"/>
          <w:iCs w:val="false"/>
          <w:sz w:val="22"/>
          <w:szCs w:val="22"/>
        </w:rPr>
        <w:t xml:space="preserve"> The Service Provider is engaged in the business of providing B2B corporate travel management products and services, including online self-booking technology, offline concierge-assisted booking, flights, hotels, visas, ground transfers, foreign exchange, eSIM, group bookings, and ancillary services, through its proprietary platforms operated under the brands Plumtrips.com and Helloviza.com.</w:t>
      </w:r>
    </w:p>
    <w:p>
      <w:pPr>
        <w:spacing w:after="140" w:line="276"/>
        <w:jc w:val="both"/>
      </w:pPr>
      <w:r>
        <w:rPr>
          <w:b/>
          <w:bCs/>
          <w:i w:val="false"/>
          <w:iCs w:val="false"/>
          <w:sz w:val="22"/>
          <w:szCs w:val="22"/>
        </w:rPr>
        <w:t xml:space="preserve">B.</w:t>
      </w:r>
      <w:r>
        <w:rPr>
          <w:b w:val="false"/>
          <w:bCs w:val="false"/>
          <w:i w:val="false"/>
          <w:iCs w:val="false"/>
          <w:sz w:val="22"/>
          <w:szCs w:val="22"/>
        </w:rPr>
        <w:t xml:space="preserve"> The Client is a company engaged in the business of {client_business}, and desires to engage the Service Provider to avail the Services on the terms and conditions set out herein.</w:t>
      </w:r>
    </w:p>
    <w:p>
      <w:pPr>
        <w:spacing w:after="140" w:line="276"/>
        <w:jc w:val="both"/>
      </w:pPr>
      <w:r>
        <w:rPr>
          <w:b/>
          <w:bCs/>
          <w:i w:val="false"/>
          <w:iCs w:val="false"/>
          <w:sz w:val="22"/>
          <w:szCs w:val="22"/>
        </w:rPr>
        <w:t xml:space="preserve">C.</w:t>
      </w:r>
      <w:r>
        <w:rPr>
          <w:b w:val="false"/>
          <w:bCs w:val="false"/>
          <w:i w:val="false"/>
          <w:iCs w:val="false"/>
          <w:sz w:val="22"/>
          <w:szCs w:val="22"/>
        </w:rPr>
        <w:t xml:space="preserve"> The Parties have agreed that the Services shall be delivered through two Booking Channels, namely (i) online self-service booking through the Service Provider’s Self-Booking Tool, and (ii) offline, human-assisted booking through the Service Provider’s Concierge Desk, as more particularly set out in Clause 2 and </w:t>
      </w:r>
      <w:r>
        <w:rPr>
          <w:b/>
          <w:bCs/>
          <w:i w:val="false"/>
          <w:iCs w:val="false"/>
          <w:sz w:val="22"/>
          <w:szCs w:val="22"/>
        </w:rPr>
        <w:t xml:space="preserve">Annexure II</w:t>
      </w:r>
      <w:r>
        <w:rPr>
          <w:b w:val="false"/>
          <w:bCs w:val="false"/>
          <w:i w:val="false"/>
          <w:iCs w:val="false"/>
          <w:sz w:val="22"/>
          <w:szCs w:val="22"/>
        </w:rPr>
        <w:t xml:space="preserve"> hereto.</w:t>
      </w:r>
    </w:p>
    <w:p>
      <w:pPr>
        <w:spacing w:after="140" w:line="276"/>
        <w:jc w:val="both"/>
      </w:pPr>
      <w:r>
        <w:rPr>
          <w:b/>
          <w:bCs/>
          <w:i w:val="false"/>
          <w:iCs w:val="false"/>
          <w:sz w:val="22"/>
          <w:szCs w:val="22"/>
        </w:rPr>
        <w:t xml:space="preserve">D.</w:t>
      </w:r>
      <w:r>
        <w:rPr>
          <w:b w:val="false"/>
          <w:bCs w:val="false"/>
          <w:i w:val="false"/>
          <w:iCs w:val="false"/>
          <w:sz w:val="22"/>
          <w:szCs w:val="22"/>
        </w:rPr>
        <w:t xml:space="preserve"> The Parties have further agreed that the Services shall be availed under two Payment Modes, namely (i) the prepaid </w:t>
      </w:r>
      <w:r>
        <w:rPr>
          <w:b/>
          <w:bCs/>
          <w:i w:val="false"/>
          <w:iCs w:val="false"/>
          <w:sz w:val="22"/>
          <w:szCs w:val="22"/>
        </w:rPr>
        <w:t xml:space="preserve">Wallet Model</w:t>
      </w:r>
      <w:r>
        <w:rPr>
          <w:b w:val="false"/>
          <w:bCs w:val="false"/>
          <w:i w:val="false"/>
          <w:iCs w:val="false"/>
          <w:sz w:val="22"/>
          <w:szCs w:val="22"/>
        </w:rPr>
        <w:t xml:space="preserve"> and (ii) the post-paid </w:t>
      </w:r>
      <w:r>
        <w:rPr>
          <w:b/>
          <w:bCs/>
          <w:i w:val="false"/>
          <w:iCs w:val="false"/>
          <w:sz w:val="22"/>
          <w:szCs w:val="22"/>
        </w:rPr>
        <w:t xml:space="preserve">Invoice Model</w:t>
      </w:r>
      <w:r>
        <w:rPr>
          <w:b w:val="false"/>
          <w:bCs w:val="false"/>
          <w:i w:val="false"/>
          <w:iCs w:val="false"/>
          <w:sz w:val="22"/>
          <w:szCs w:val="22"/>
        </w:rPr>
        <w:t xml:space="preserve">, with wallet mechanics, credit limits, payment terms, and operational mechanics as set out in this Agreement and </w:t>
      </w:r>
      <w:r>
        <w:rPr>
          <w:b/>
          <w:bCs/>
          <w:i w:val="false"/>
          <w:iCs w:val="false"/>
          <w:sz w:val="22"/>
          <w:szCs w:val="22"/>
        </w:rPr>
        <w:t xml:space="preserve">Annexure I</w:t>
      </w:r>
      <w:r>
        <w:rPr>
          <w:b w:val="false"/>
          <w:bCs w:val="false"/>
          <w:i w:val="false"/>
          <w:iCs w:val="false"/>
          <w:sz w:val="22"/>
          <w:szCs w:val="22"/>
        </w:rPr>
        <w:t xml:space="preserve"> hereto.</w:t>
      </w:r>
    </w:p>
    <w:p>
      <w:pPr>
        <w:spacing w:after="140" w:line="276"/>
        <w:jc w:val="both"/>
      </w:pPr>
      <w:r>
        <w:rPr>
          <w:b/>
          <w:bCs/>
          <w:i w:val="false"/>
          <w:iCs w:val="false"/>
          <w:sz w:val="22"/>
          <w:szCs w:val="22"/>
        </w:rPr>
        <w:t xml:space="preserve">E.</w:t>
      </w:r>
      <w:r>
        <w:rPr>
          <w:b w:val="false"/>
          <w:bCs w:val="false"/>
          <w:i w:val="false"/>
          <w:iCs w:val="false"/>
          <w:sz w:val="22"/>
          <w:szCs w:val="22"/>
        </w:rPr>
        <w:t xml:space="preserve"> The commercial offering extended by the Service Provider to the Client, including the service fee waiver and the loyalty benefits, is set out in </w:t>
      </w:r>
      <w:r>
        <w:rPr>
          <w:b/>
          <w:bCs/>
          <w:i w:val="false"/>
          <w:iCs w:val="false"/>
          <w:sz w:val="22"/>
          <w:szCs w:val="22"/>
        </w:rPr>
        <w:t xml:space="preserve">Annexure III</w:t>
      </w:r>
      <w:r>
        <w:rPr>
          <w:b w:val="false"/>
          <w:bCs w:val="false"/>
          <w:i w:val="false"/>
          <w:iCs w:val="false"/>
          <w:sz w:val="22"/>
          <w:szCs w:val="22"/>
        </w:rPr>
        <w:t xml:space="preserve"> hereto.</w:t>
      </w:r>
    </w:p>
    <w:p>
      <w:pPr>
        <w:spacing w:after="140" w:line="276"/>
        <w:jc w:val="both"/>
      </w:pPr>
      <w:r>
        <w:rPr>
          <w:b/>
          <w:bCs/>
          <w:i w:val="false"/>
          <w:iCs w:val="false"/>
          <w:sz w:val="22"/>
          <w:szCs w:val="22"/>
        </w:rPr>
        <w:t xml:space="preserve">F.</w:t>
      </w:r>
      <w:r>
        <w:rPr>
          <w:b w:val="false"/>
          <w:bCs w:val="false"/>
          <w:i w:val="false"/>
          <w:iCs w:val="false"/>
          <w:sz w:val="22"/>
          <w:szCs w:val="22"/>
        </w:rPr>
        <w:t xml:space="preserve"> The Service Provider, relying on the representations and creditworthiness of the Client, has agreed to provide the Services on the terms and conditions set out in this Agreement.</w:t>
      </w:r>
    </w:p>
    <w:p>
      <w:pPr>
        <w:spacing w:after="140" w:line="276"/>
        <w:jc w:val="both"/>
      </w:pPr>
      <w:r>
        <w:rPr>
          <w:b/>
          <w:bCs/>
          <w:i w:val="false"/>
          <w:iCs w:val="false"/>
          <w:sz w:val="22"/>
          <w:szCs w:val="22"/>
        </w:rPr>
        <w:t xml:space="preserve">NOW, THEREFORE</w:t>
      </w:r>
      <w:r>
        <w:rPr>
          <w:b w:val="false"/>
          <w:bCs w:val="false"/>
          <w:i w:val="false"/>
          <w:iCs w:val="false"/>
          <w:sz w:val="22"/>
          <w:szCs w:val="22"/>
        </w:rPr>
        <w:t xml:space="preserve">, in consideration of the mutual covenants, representations, and obligations contained herein, and for other good and valuable consideration the receipt and sufficiency of which is hereby acknowledged, the Parties hereby agree as follows:</w:t>
      </w:r>
    </w:p>
    <w:p>
      <w:pPr>
        <w:pStyle w:val="Heading1"/>
        <w:spacing w:after="160" w:before="260"/>
      </w:pPr>
      <w:r>
        <w:rPr>
          <w:b/>
          <w:bCs/>
          <w:sz w:val="24"/>
          <w:szCs w:val="24"/>
        </w:rPr>
        <w:t xml:space="preserve">1. DEFINITIONS AND INTERPRETATION</w:t>
      </w:r>
    </w:p>
    <w:p>
      <w:pPr>
        <w:spacing w:after="140" w:line="276"/>
        <w:jc w:val="both"/>
      </w:pPr>
      <w:r>
        <w:rPr>
          <w:b/>
          <w:bCs/>
          <w:i w:val="false"/>
          <w:iCs w:val="false"/>
          <w:sz w:val="22"/>
          <w:szCs w:val="22"/>
        </w:rPr>
        <w:t xml:space="preserve">1.1</w:t>
      </w:r>
      <w:r>
        <w:rPr>
          <w:b w:val="false"/>
          <w:bCs w:val="false"/>
          <w:i w:val="false"/>
          <w:iCs w:val="false"/>
          <w:sz w:val="22"/>
          <w:szCs w:val="22"/>
        </w:rPr>
        <w:t xml:space="preserve"> In this Agreement, unless the context otherwise requires, the following capitalised terms shall have the meanings ascribed to them below:</w:t>
      </w:r>
    </w:p>
    <w:p>
      <w:pPr>
        <w:spacing w:after="110" w:line="276"/>
        <w:jc w:val="both"/>
      </w:pPr>
      <w:r>
        <w:rPr>
          <w:b/>
          <w:bCs/>
          <w:i w:val="false"/>
          <w:iCs w:val="false"/>
          <w:sz w:val="22"/>
          <w:szCs w:val="22"/>
        </w:rPr>
        <w:t xml:space="preserve">"Agreement"</w:t>
      </w:r>
      <w:r>
        <w:rPr>
          <w:b w:val="false"/>
          <w:bCs w:val="false"/>
          <w:i w:val="false"/>
          <w:iCs w:val="false"/>
          <w:sz w:val="22"/>
          <w:szCs w:val="22"/>
        </w:rPr>
        <w:t xml:space="preserve"> means this Master Service Agreement together with all schedules, annexures, addenda, and amendments executed in writing by the Parties from time to time.</w:t>
      </w:r>
    </w:p>
    <w:p>
      <w:pPr>
        <w:spacing w:after="110" w:line="276"/>
        <w:jc w:val="both"/>
      </w:pPr>
      <w:r>
        <w:rPr>
          <w:b/>
          <w:bCs/>
          <w:i w:val="false"/>
          <w:iCs w:val="false"/>
          <w:sz w:val="22"/>
          <w:szCs w:val="22"/>
        </w:rPr>
        <w:t xml:space="preserve">"Authorised Representative"</w:t>
      </w:r>
      <w:r>
        <w:rPr>
          <w:b w:val="false"/>
          <w:bCs w:val="false"/>
          <w:i w:val="false"/>
          <w:iCs w:val="false"/>
          <w:sz w:val="22"/>
          <w:szCs w:val="22"/>
        </w:rPr>
        <w:t xml:space="preserve"> means, in respect of each Party, the person(s) designated by such Party in writing (including by email) as authorised to issue instructions, raise requests, approve credit limits, and bind the Party in respect of operational matters under this Agreement, as set out in Annexure I.</w:t>
      </w:r>
    </w:p>
    <w:p>
      <w:pPr>
        <w:spacing w:after="110" w:line="276"/>
        <w:jc w:val="both"/>
      </w:pPr>
      <w:r>
        <w:rPr>
          <w:b/>
          <w:bCs/>
          <w:i w:val="false"/>
          <w:iCs w:val="false"/>
          <w:sz w:val="22"/>
          <w:szCs w:val="22"/>
        </w:rPr>
        <w:t xml:space="preserve">"Authorised User"</w:t>
      </w:r>
      <w:r>
        <w:rPr>
          <w:b w:val="false"/>
          <w:bCs w:val="false"/>
          <w:i w:val="false"/>
          <w:iCs w:val="false"/>
          <w:sz w:val="22"/>
          <w:szCs w:val="22"/>
        </w:rPr>
        <w:t xml:space="preserve"> means any employee, officer, director, or other personnel of the Client to whom the Client grants access credentials to the SBT, and any traveller on whose behalf a Booking is made by the Client through either Booking Channel.</w:t>
      </w:r>
    </w:p>
    <w:p>
      <w:pPr>
        <w:spacing w:after="110" w:line="276"/>
        <w:jc w:val="both"/>
      </w:pPr>
      <w:r>
        <w:rPr>
          <w:b/>
          <w:bCs/>
          <w:i w:val="false"/>
          <w:iCs w:val="false"/>
          <w:sz w:val="22"/>
          <w:szCs w:val="22"/>
        </w:rPr>
        <w:t xml:space="preserve">"Booking"</w:t>
      </w:r>
      <w:r>
        <w:rPr>
          <w:b w:val="false"/>
          <w:bCs w:val="false"/>
          <w:i w:val="false"/>
          <w:iCs w:val="false"/>
          <w:sz w:val="22"/>
          <w:szCs w:val="22"/>
        </w:rPr>
        <w:t xml:space="preserve"> means any travel-related reservation, ticket, voucher, or service confirmation issued by the Service Provider to the Client or its travellers pursuant to this Agreement, whether made through the SBT or the Concierge Desk.</w:t>
      </w:r>
    </w:p>
    <w:p>
      <w:pPr>
        <w:spacing w:after="110" w:line="276"/>
        <w:jc w:val="both"/>
      </w:pPr>
      <w:r>
        <w:rPr>
          <w:b/>
          <w:bCs/>
          <w:i w:val="false"/>
          <w:iCs w:val="false"/>
          <w:sz w:val="22"/>
          <w:szCs w:val="22"/>
        </w:rPr>
        <w:t xml:space="preserve">"Booking Channel"</w:t>
      </w:r>
      <w:r>
        <w:rPr>
          <w:b w:val="false"/>
          <w:bCs w:val="false"/>
          <w:i w:val="false"/>
          <w:iCs w:val="false"/>
          <w:sz w:val="22"/>
          <w:szCs w:val="22"/>
        </w:rPr>
        <w:t xml:space="preserve"> means either the SBT or the Concierge Desk, and </w:t>
      </w:r>
      <w:r>
        <w:rPr>
          <w:b/>
          <w:bCs/>
          <w:i w:val="false"/>
          <w:iCs w:val="false"/>
          <w:sz w:val="22"/>
          <w:szCs w:val="22"/>
        </w:rPr>
        <w:t xml:space="preserve">"Booking Channels"</w:t>
      </w:r>
      <w:r>
        <w:rPr>
          <w:b w:val="false"/>
          <w:bCs w:val="false"/>
          <w:i w:val="false"/>
          <w:iCs w:val="false"/>
          <w:sz w:val="22"/>
          <w:szCs w:val="22"/>
        </w:rPr>
        <w:t xml:space="preserve"> means both of them.</w:t>
      </w:r>
    </w:p>
    <w:p>
      <w:pPr>
        <w:spacing w:after="110" w:line="276"/>
        <w:jc w:val="both"/>
      </w:pPr>
      <w:r>
        <w:rPr>
          <w:b/>
          <w:bCs/>
          <w:i w:val="false"/>
          <w:iCs w:val="false"/>
          <w:sz w:val="22"/>
          <w:szCs w:val="22"/>
        </w:rPr>
        <w:t xml:space="preserve">"Concierge Desk"</w:t>
      </w:r>
      <w:r>
        <w:rPr>
          <w:b w:val="false"/>
          <w:bCs w:val="false"/>
          <w:i w:val="false"/>
          <w:iCs w:val="false"/>
          <w:sz w:val="22"/>
          <w:szCs w:val="22"/>
        </w:rPr>
        <w:t xml:space="preserve"> means the Service Provider’s offline, human-assisted corporate travel servicing team, accessible to the Client by dedicated email, telephone, and messaging channels, providing the services described in Clause 2.3 and Annexure II.</w:t>
      </w:r>
    </w:p>
    <w:p>
      <w:pPr>
        <w:spacing w:after="110" w:line="276"/>
        <w:jc w:val="both"/>
      </w:pPr>
      <w:r>
        <w:rPr>
          <w:b/>
          <w:bCs/>
          <w:i w:val="false"/>
          <w:iCs w:val="false"/>
          <w:sz w:val="22"/>
          <w:szCs w:val="22"/>
        </w:rPr>
        <w:t xml:space="preserve">"Confidential Information"</w:t>
      </w:r>
      <w:r>
        <w:rPr>
          <w:b w:val="false"/>
          <w:bCs w:val="false"/>
          <w:i w:val="false"/>
          <w:iCs w:val="false"/>
          <w:sz w:val="22"/>
          <w:szCs w:val="22"/>
        </w:rPr>
        <w:t xml:space="preserve"> means any non-public information, in any form, disclosed by one Party (the "Disclosing Party") to the other Party (the "Receiving Party"), whether marked confidential or not, including without limitation business plans, customer and traveller data, financial information, pricing, technology, source code, and supplier information; but excluding information that (i) is or becomes publicly available without breach of this Agreement, (ii) was already lawfully known to the Receiving Party prior to disclosure, (iii) is independently developed by the Receiving Party without reference to the Disclosing Party’s information, or (iv) is required to be disclosed under applicable law or by order of a competent authority.</w:t>
      </w:r>
    </w:p>
    <w:p>
      <w:pPr>
        <w:spacing w:after="110" w:line="276"/>
        <w:jc w:val="both"/>
      </w:pPr>
      <w:r>
        <w:rPr>
          <w:b/>
          <w:bCs/>
          <w:i w:val="false"/>
          <w:iCs w:val="false"/>
          <w:sz w:val="22"/>
          <w:szCs w:val="22"/>
        </w:rPr>
        <w:t xml:space="preserve">"Credit Limit"</w:t>
      </w:r>
      <w:r>
        <w:rPr>
          <w:b w:val="false"/>
          <w:bCs w:val="false"/>
          <w:i w:val="false"/>
          <w:iCs w:val="false"/>
          <w:sz w:val="22"/>
          <w:szCs w:val="22"/>
        </w:rPr>
        <w:t xml:space="preserve"> means the maximum aggregate value of unpaid Invoices (whether or not yet due) that the Service Provider may have outstanding from the Client at any point in time, as set out in Annexure I, as may be revised from time to time in accordance with this Agreement.</w:t>
      </w:r>
    </w:p>
    <w:p>
      <w:pPr>
        <w:spacing w:after="110" w:line="276"/>
        <w:jc w:val="both"/>
      </w:pPr>
      <w:r>
        <w:rPr>
          <w:b/>
          <w:bCs/>
          <w:i w:val="false"/>
          <w:iCs w:val="false"/>
          <w:sz w:val="22"/>
          <w:szCs w:val="22"/>
        </w:rPr>
        <w:t xml:space="preserve">"DPDP Act"</w:t>
      </w:r>
      <w:r>
        <w:rPr>
          <w:b w:val="false"/>
          <w:bCs w:val="false"/>
          <w:i w:val="false"/>
          <w:iCs w:val="false"/>
          <w:sz w:val="22"/>
          <w:szCs w:val="22"/>
        </w:rPr>
        <w:t xml:space="preserve"> means the Digital Personal Data Protection Act, 2023, as amended from time to time, together with the rules, regulations, and notifications issued thereunder.</w:t>
      </w:r>
    </w:p>
    <w:p>
      <w:pPr>
        <w:spacing w:after="110" w:line="276"/>
        <w:jc w:val="both"/>
      </w:pPr>
      <w:r>
        <w:rPr>
          <w:b/>
          <w:bCs/>
          <w:i w:val="false"/>
          <w:iCs w:val="false"/>
          <w:sz w:val="22"/>
          <w:szCs w:val="22"/>
        </w:rPr>
        <w:t xml:space="preserve">"Due Date"</w:t>
      </w:r>
      <w:r>
        <w:rPr>
          <w:b w:val="false"/>
          <w:bCs w:val="false"/>
          <w:i w:val="false"/>
          <w:iCs w:val="false"/>
          <w:sz w:val="22"/>
          <w:szCs w:val="22"/>
        </w:rPr>
        <w:t xml:space="preserve"> means, in respect of any Invoice, the date that is fifteen (15) days from the date of the Invoice, by which date the Invoice must be paid by the Client.</w:t>
      </w:r>
    </w:p>
    <w:p>
      <w:pPr>
        <w:spacing w:after="110" w:line="276"/>
        <w:jc w:val="both"/>
      </w:pPr>
      <w:r>
        <w:rPr>
          <w:b/>
          <w:bCs/>
          <w:i w:val="false"/>
          <w:iCs w:val="false"/>
          <w:sz w:val="22"/>
          <w:szCs w:val="22"/>
        </w:rPr>
        <w:t xml:space="preserve">"Effective Date"</w:t>
      </w:r>
      <w:r>
        <w:rPr>
          <w:b w:val="false"/>
          <w:bCs w:val="false"/>
          <w:i w:val="false"/>
          <w:iCs w:val="false"/>
          <w:sz w:val="22"/>
          <w:szCs w:val="22"/>
        </w:rPr>
        <w:t xml:space="preserve"> means the date first written above on which this Agreement is executed by both Parties.</w:t>
      </w:r>
    </w:p>
    <w:p>
      <w:pPr>
        <w:spacing w:after="110" w:line="276"/>
        <w:jc w:val="both"/>
      </w:pPr>
      <w:r>
        <w:rPr>
          <w:b/>
          <w:bCs/>
          <w:i w:val="false"/>
          <w:iCs w:val="false"/>
          <w:sz w:val="22"/>
          <w:szCs w:val="22"/>
        </w:rPr>
        <w:t xml:space="preserve">"Force Majeure Event"</w:t>
      </w:r>
      <w:r>
        <w:rPr>
          <w:b w:val="false"/>
          <w:bCs w:val="false"/>
          <w:i w:val="false"/>
          <w:iCs w:val="false"/>
          <w:sz w:val="22"/>
          <w:szCs w:val="22"/>
        </w:rPr>
        <w:t xml:space="preserve"> has the meaning ascribed to it in Clause 11.</w:t>
      </w:r>
    </w:p>
    <w:p>
      <w:pPr>
        <w:spacing w:after="110" w:line="276"/>
        <w:jc w:val="both"/>
      </w:pPr>
      <w:r>
        <w:rPr>
          <w:b/>
          <w:bCs/>
          <w:i w:val="false"/>
          <w:iCs w:val="false"/>
          <w:sz w:val="22"/>
          <w:szCs w:val="22"/>
        </w:rPr>
        <w:t xml:space="preserve">"Invoice"</w:t>
      </w:r>
      <w:r>
        <w:rPr>
          <w:b w:val="false"/>
          <w:bCs w:val="false"/>
          <w:i w:val="false"/>
          <w:iCs w:val="false"/>
          <w:sz w:val="22"/>
          <w:szCs w:val="22"/>
        </w:rPr>
        <w:t xml:space="preserve"> means a tax invoice raised by the Service Provider on the Client in respect of Services availed, in compliance with the Goods and Services Tax (GST) law and the terms of this Agreement.</w:t>
      </w:r>
    </w:p>
    <w:p>
      <w:pPr>
        <w:spacing w:after="110" w:line="276"/>
        <w:jc w:val="both"/>
      </w:pPr>
      <w:r>
        <w:rPr>
          <w:b/>
          <w:bCs/>
          <w:i w:val="false"/>
          <w:iCs w:val="false"/>
          <w:sz w:val="22"/>
          <w:szCs w:val="22"/>
        </w:rPr>
        <w:t xml:space="preserve">"Invoice Model"</w:t>
      </w:r>
      <w:r>
        <w:rPr>
          <w:b w:val="false"/>
          <w:bCs w:val="false"/>
          <w:i w:val="false"/>
          <w:iCs w:val="false"/>
          <w:sz w:val="22"/>
          <w:szCs w:val="22"/>
        </w:rPr>
        <w:t xml:space="preserve"> means the post-paid billing arrangement between the Parties, under which Bookings are confirmed against the Credit Limit and settled by the Client against Invoices in accordance with Clause 3.4 and Annexure I.</w:t>
      </w:r>
    </w:p>
    <w:p>
      <w:pPr>
        <w:spacing w:after="110" w:line="276"/>
        <w:jc w:val="both"/>
      </w:pPr>
      <w:r>
        <w:rPr>
          <w:b/>
          <w:bCs/>
          <w:i w:val="false"/>
          <w:iCs w:val="false"/>
          <w:sz w:val="22"/>
          <w:szCs w:val="22"/>
        </w:rPr>
        <w:t xml:space="preserve">"Insurance Services"</w:t>
      </w:r>
      <w:r>
        <w:rPr>
          <w:b w:val="false"/>
          <w:bCs w:val="false"/>
          <w:i w:val="false"/>
          <w:iCs w:val="false"/>
          <w:sz w:val="22"/>
          <w:szCs w:val="22"/>
        </w:rPr>
        <w:t xml:space="preserve"> means the facilitation by the Service Provider of the purchase by the Client or its travellers of travel insurance products underwritten by insurers registered with the Insurance Regulatory and Development Authority of India, in accordance with Clause 2.13.</w:t>
      </w:r>
    </w:p>
    <w:p>
      <w:pPr>
        <w:spacing w:after="110" w:line="276"/>
        <w:jc w:val="both"/>
      </w:pPr>
      <w:r>
        <w:rPr>
          <w:b/>
          <w:bCs/>
          <w:i w:val="false"/>
          <w:iCs w:val="false"/>
          <w:sz w:val="22"/>
          <w:szCs w:val="22"/>
        </w:rPr>
        <w:t xml:space="preserve">"Net Revenue"</w:t>
      </w:r>
      <w:r>
        <w:rPr>
          <w:b w:val="false"/>
          <w:bCs w:val="false"/>
          <w:i w:val="false"/>
          <w:iCs w:val="false"/>
          <w:sz w:val="22"/>
          <w:szCs w:val="22"/>
        </w:rPr>
        <w:t xml:space="preserve"> means, in respect of any period, the aggregate of Service Fees, convenience fees, and service charges actually earned and retained by the Service Provider from the Client in that period, excluding Booking values, Supplier costs, taxes, and any amounts collected on behalf of and remitted to Suppliers.</w:t>
      </w:r>
    </w:p>
    <w:p>
      <w:pPr>
        <w:spacing w:after="110" w:line="276"/>
        <w:jc w:val="both"/>
      </w:pPr>
      <w:r>
        <w:rPr>
          <w:b/>
          <w:bCs/>
          <w:i w:val="false"/>
          <w:iCs w:val="false"/>
          <w:sz w:val="22"/>
          <w:szCs w:val="22"/>
        </w:rPr>
        <w:t xml:space="preserve">"Loyalty Points"</w:t>
      </w:r>
      <w:r>
        <w:rPr>
          <w:b w:val="false"/>
          <w:bCs w:val="false"/>
          <w:i w:val="false"/>
          <w:iCs w:val="false"/>
          <w:sz w:val="22"/>
          <w:szCs w:val="22"/>
        </w:rPr>
        <w:t xml:space="preserve"> means the reward points credited to the Client’s loyalty account in accordance with Clause 3.16 and Annexure III.</w:t>
      </w:r>
    </w:p>
    <w:p>
      <w:pPr>
        <w:spacing w:after="110" w:line="276"/>
        <w:jc w:val="both"/>
      </w:pPr>
      <w:r>
        <w:rPr>
          <w:b/>
          <w:bCs/>
          <w:i w:val="false"/>
          <w:iCs w:val="false"/>
          <w:sz w:val="22"/>
          <w:szCs w:val="22"/>
        </w:rPr>
        <w:t xml:space="preserve">"Payment Gateway"</w:t>
      </w:r>
      <w:r>
        <w:rPr>
          <w:b w:val="false"/>
          <w:bCs w:val="false"/>
          <w:i w:val="false"/>
          <w:iCs w:val="false"/>
          <w:sz w:val="22"/>
          <w:szCs w:val="22"/>
        </w:rPr>
        <w:t xml:space="preserve"> means the third-party payment gateway or payment aggregator made available by the Service Provider for the acceptance of card, net-banking, UPI, and other electronic payments towards recharge of the Wallet.</w:t>
      </w:r>
    </w:p>
    <w:p>
      <w:pPr>
        <w:spacing w:after="110" w:line="276"/>
        <w:jc w:val="both"/>
      </w:pPr>
      <w:r>
        <w:rPr>
          <w:b/>
          <w:bCs/>
          <w:i w:val="false"/>
          <w:iCs w:val="false"/>
          <w:sz w:val="22"/>
          <w:szCs w:val="22"/>
        </w:rPr>
        <w:t xml:space="preserve">"Payment Mode"</w:t>
      </w:r>
      <w:r>
        <w:rPr>
          <w:b w:val="false"/>
          <w:bCs w:val="false"/>
          <w:i w:val="false"/>
          <w:iCs w:val="false"/>
          <w:sz w:val="22"/>
          <w:szCs w:val="22"/>
        </w:rPr>
        <w:t xml:space="preserve"> means each of the Wallet Model and the Invoice Model, and </w:t>
      </w:r>
      <w:r>
        <w:rPr>
          <w:b/>
          <w:bCs/>
          <w:i w:val="false"/>
          <w:iCs w:val="false"/>
          <w:sz w:val="22"/>
          <w:szCs w:val="22"/>
        </w:rPr>
        <w:t xml:space="preserve">"Payment Modes"</w:t>
      </w:r>
      <w:r>
        <w:rPr>
          <w:b w:val="false"/>
          <w:bCs w:val="false"/>
          <w:i w:val="false"/>
          <w:iCs w:val="false"/>
          <w:sz w:val="22"/>
          <w:szCs w:val="22"/>
        </w:rPr>
        <w:t xml:space="preserve"> means both of them.</w:t>
      </w:r>
    </w:p>
    <w:p>
      <w:pPr>
        <w:spacing w:after="110" w:line="276"/>
        <w:jc w:val="both"/>
      </w:pPr>
      <w:r>
        <w:rPr>
          <w:b/>
          <w:bCs/>
          <w:i w:val="false"/>
          <w:iCs w:val="false"/>
          <w:sz w:val="22"/>
          <w:szCs w:val="22"/>
        </w:rPr>
        <w:t xml:space="preserve">"Personal Data"</w:t>
      </w:r>
      <w:r>
        <w:rPr>
          <w:b w:val="false"/>
          <w:bCs w:val="false"/>
          <w:i w:val="false"/>
          <w:iCs w:val="false"/>
          <w:sz w:val="22"/>
          <w:szCs w:val="22"/>
        </w:rPr>
        <w:t xml:space="preserve"> has the meaning ascribed to it under the DPDP Act.</w:t>
      </w:r>
    </w:p>
    <w:p>
      <w:pPr>
        <w:spacing w:after="110" w:line="276"/>
        <w:jc w:val="both"/>
      </w:pPr>
      <w:r>
        <w:rPr>
          <w:b/>
          <w:bCs/>
          <w:i w:val="false"/>
          <w:iCs w:val="false"/>
          <w:sz w:val="22"/>
          <w:szCs w:val="22"/>
        </w:rPr>
        <w:t xml:space="preserve">"Qualifying Spend"</w:t>
      </w:r>
      <w:r>
        <w:rPr>
          <w:b w:val="false"/>
          <w:bCs w:val="false"/>
          <w:i w:val="false"/>
          <w:iCs w:val="false"/>
          <w:sz w:val="22"/>
          <w:szCs w:val="22"/>
        </w:rPr>
        <w:t xml:space="preserve"> has the meaning ascribed to it in Annexure III.</w:t>
      </w:r>
    </w:p>
    <w:p>
      <w:pPr>
        <w:spacing w:after="110" w:line="276"/>
        <w:jc w:val="both"/>
      </w:pPr>
      <w:r>
        <w:rPr>
          <w:b/>
          <w:bCs/>
          <w:i w:val="false"/>
          <w:iCs w:val="false"/>
          <w:sz w:val="22"/>
          <w:szCs w:val="22"/>
        </w:rPr>
        <w:t xml:space="preserve">"SBT" or "Self-Booking Tool"</w:t>
      </w:r>
      <w:r>
        <w:rPr>
          <w:b w:val="false"/>
          <w:bCs w:val="false"/>
          <w:i w:val="false"/>
          <w:iCs w:val="false"/>
          <w:sz w:val="22"/>
          <w:szCs w:val="22"/>
        </w:rPr>
        <w:t xml:space="preserve"> means the Service Provider’s proprietary online corporate self-booking platform made available to the Client and its Authorised Users under the Plumtrips.com brand, through which the Client may search, compare, book, amend, and cancel travel in accordance with its Travel Policy, together with all associated dashboards, reporting modules, and administrative interfaces.</w:t>
      </w:r>
    </w:p>
    <w:p>
      <w:pPr>
        <w:spacing w:after="110" w:line="276"/>
        <w:jc w:val="both"/>
      </w:pPr>
      <w:r>
        <w:rPr>
          <w:b/>
          <w:bCs/>
          <w:i w:val="false"/>
          <w:iCs w:val="false"/>
          <w:sz w:val="22"/>
          <w:szCs w:val="22"/>
        </w:rPr>
        <w:t xml:space="preserve">"Services"</w:t>
      </w:r>
      <w:r>
        <w:rPr>
          <w:b w:val="false"/>
          <w:bCs w:val="false"/>
          <w:i w:val="false"/>
          <w:iCs w:val="false"/>
          <w:sz w:val="22"/>
          <w:szCs w:val="22"/>
        </w:rPr>
        <w:t xml:space="preserve"> means the corporate travel management products and services provided by the Service Provider to the Client under this Agreement through the Booking Channels, as more particularly described in Clause 2 and Annexures II and III.</w:t>
      </w:r>
    </w:p>
    <w:p>
      <w:pPr>
        <w:spacing w:after="110" w:line="276"/>
        <w:jc w:val="both"/>
      </w:pPr>
      <w:r>
        <w:rPr>
          <w:b/>
          <w:bCs/>
          <w:i w:val="false"/>
          <w:iCs w:val="false"/>
          <w:sz w:val="22"/>
          <w:szCs w:val="22"/>
        </w:rPr>
        <w:t xml:space="preserve">"Service Fee"</w:t>
      </w:r>
      <w:r>
        <w:rPr>
          <w:b w:val="false"/>
          <w:bCs w:val="false"/>
          <w:i w:val="false"/>
          <w:iCs w:val="false"/>
          <w:sz w:val="22"/>
          <w:szCs w:val="22"/>
        </w:rPr>
        <w:t xml:space="preserve"> means a transaction, platform, or management fee charged by the Service Provider to the Client over and above the Booking price; for the avoidance of doubt, supplier-embedded service charges, convenience fees forming part of the Booking price, consolidated service charges, markup-inclusive pricing, Supplier cancellation, amendment, and no-show charges, and applicable taxes are not Service Fees.</w:t>
      </w:r>
    </w:p>
    <w:p>
      <w:pPr>
        <w:spacing w:after="110" w:line="276"/>
        <w:jc w:val="both"/>
      </w:pPr>
      <w:r>
        <w:rPr>
          <w:b/>
          <w:bCs/>
          <w:i w:val="false"/>
          <w:iCs w:val="false"/>
          <w:sz w:val="22"/>
          <w:szCs w:val="22"/>
        </w:rPr>
        <w:t xml:space="preserve">"Service Charges"</w:t>
      </w:r>
      <w:r>
        <w:rPr>
          <w:b w:val="false"/>
          <w:bCs w:val="false"/>
          <w:i w:val="false"/>
          <w:iCs w:val="false"/>
          <w:sz w:val="22"/>
          <w:szCs w:val="22"/>
        </w:rPr>
        <w:t xml:space="preserve"> means all fees, charges, and amounts payable by the Client to the Service Provider in respect of the Services, including Booking values, Supplier costs, taxes, convenience fees, and Service Fees (where applicable).</w:t>
      </w:r>
    </w:p>
    <w:p>
      <w:pPr>
        <w:spacing w:after="110" w:line="276"/>
        <w:jc w:val="both"/>
      </w:pPr>
      <w:r>
        <w:rPr>
          <w:b/>
          <w:bCs/>
          <w:i w:val="false"/>
          <w:iCs w:val="false"/>
          <w:sz w:val="22"/>
          <w:szCs w:val="22"/>
        </w:rPr>
        <w:t xml:space="preserve">"Supplier"</w:t>
      </w:r>
      <w:r>
        <w:rPr>
          <w:b w:val="false"/>
          <w:bCs w:val="false"/>
          <w:i w:val="false"/>
          <w:iCs w:val="false"/>
          <w:sz w:val="22"/>
          <w:szCs w:val="22"/>
        </w:rPr>
        <w:t xml:space="preserve"> means any third-party airline, hotel, GDS, visa or consular authority, ground transport operator, forex provider, or other third-party provider whose services are facilitated through the Service Provider’s platform or the Concierge Desk.</w:t>
      </w:r>
    </w:p>
    <w:p>
      <w:pPr>
        <w:spacing w:after="110" w:line="276"/>
        <w:jc w:val="both"/>
      </w:pPr>
      <w:r>
        <w:rPr>
          <w:b/>
          <w:bCs/>
          <w:i w:val="false"/>
          <w:iCs w:val="false"/>
          <w:sz w:val="22"/>
          <w:szCs w:val="22"/>
        </w:rPr>
        <w:t xml:space="preserve">"Term"</w:t>
      </w:r>
      <w:r>
        <w:rPr>
          <w:b w:val="false"/>
          <w:bCs w:val="false"/>
          <w:i w:val="false"/>
          <w:iCs w:val="false"/>
          <w:sz w:val="22"/>
          <w:szCs w:val="22"/>
        </w:rPr>
        <w:t xml:space="preserve"> has the meaning ascribed to it in Clause 5.2.</w:t>
      </w:r>
    </w:p>
    <w:p>
      <w:pPr>
        <w:spacing w:after="110" w:line="276"/>
        <w:jc w:val="both"/>
      </w:pPr>
      <w:r>
        <w:rPr>
          <w:b/>
          <w:bCs/>
          <w:i w:val="false"/>
          <w:iCs w:val="false"/>
          <w:sz w:val="22"/>
          <w:szCs w:val="22"/>
        </w:rPr>
        <w:t xml:space="preserve">"Travel Policy"</w:t>
      </w:r>
      <w:r>
        <w:rPr>
          <w:b w:val="false"/>
          <w:bCs w:val="false"/>
          <w:i w:val="false"/>
          <w:iCs w:val="false"/>
          <w:sz w:val="22"/>
          <w:szCs w:val="22"/>
        </w:rPr>
        <w:t xml:space="preserve"> means the Client’s internal corporate travel policy, including class-of-service entitlements, fare and rate ceilings, advance-booking rules, cost centres, and approval hierarchy, as notified by the Client in writing and configured by the Service Provider within the SBT.</w:t>
      </w:r>
    </w:p>
    <w:p>
      <w:pPr>
        <w:spacing w:after="110" w:line="276"/>
        <w:jc w:val="both"/>
      </w:pPr>
      <w:r>
        <w:rPr>
          <w:b/>
          <w:bCs/>
          <w:i w:val="false"/>
          <w:iCs w:val="false"/>
          <w:sz w:val="22"/>
          <w:szCs w:val="22"/>
        </w:rPr>
        <w:t xml:space="preserve">"Wallet"</w:t>
      </w:r>
      <w:r>
        <w:rPr>
          <w:b w:val="false"/>
          <w:bCs w:val="false"/>
          <w:i w:val="false"/>
          <w:iCs w:val="false"/>
          <w:sz w:val="22"/>
          <w:szCs w:val="22"/>
        </w:rPr>
        <w:t xml:space="preserve"> means the notional account maintained by the Service Provider in the name of the Client recording amounts placed by the Client under the Wallet Model and all debits, credits, and refunds made against them; and </w:t>
      </w:r>
      <w:r>
        <w:rPr>
          <w:b/>
          <w:bCs/>
          <w:i w:val="false"/>
          <w:iCs w:val="false"/>
          <w:sz w:val="22"/>
          <w:szCs w:val="22"/>
        </w:rPr>
        <w:t xml:space="preserve">"Wallet Balance"</w:t>
      </w:r>
      <w:r>
        <w:rPr>
          <w:b w:val="false"/>
          <w:bCs w:val="false"/>
          <w:i w:val="false"/>
          <w:iCs w:val="false"/>
          <w:sz w:val="22"/>
          <w:szCs w:val="22"/>
        </w:rPr>
        <w:t xml:space="preserve"> means the credit balance standing to that account at any given time.</w:t>
      </w:r>
    </w:p>
    <w:p>
      <w:pPr>
        <w:spacing w:after="110" w:line="276"/>
        <w:jc w:val="both"/>
      </w:pPr>
      <w:r>
        <w:rPr>
          <w:b/>
          <w:bCs/>
          <w:i w:val="false"/>
          <w:iCs w:val="false"/>
          <w:sz w:val="22"/>
          <w:szCs w:val="22"/>
        </w:rPr>
        <w:t xml:space="preserve">"Wallet Model"</w:t>
      </w:r>
      <w:r>
        <w:rPr>
          <w:b w:val="false"/>
          <w:bCs w:val="false"/>
          <w:i w:val="false"/>
          <w:iCs w:val="false"/>
          <w:sz w:val="22"/>
          <w:szCs w:val="22"/>
        </w:rPr>
        <w:t xml:space="preserve"> means the prepaid arrangement under which the Client places funds with the Service Provider in advance by way of a refundable deposit recorded in the Wallet, against which Bookings are debited, in accordance with Clause 3.2.</w:t>
      </w:r>
    </w:p>
    <w:p>
      <w:pPr>
        <w:spacing w:after="140" w:line="276"/>
        <w:jc w:val="both"/>
      </w:pPr>
      <w:r>
        <w:rPr>
          <w:b/>
          <w:bCs/>
          <w:i w:val="false"/>
          <w:iCs w:val="false"/>
          <w:sz w:val="22"/>
          <w:szCs w:val="22"/>
        </w:rPr>
        <w:t xml:space="preserve">1.2 Interpretation:</w:t>
      </w:r>
      <w:r>
        <w:rPr>
          <w:b w:val="false"/>
          <w:bCs w:val="false"/>
          <w:i w:val="false"/>
          <w:iCs w:val="false"/>
          <w:sz w:val="22"/>
          <w:szCs w:val="22"/>
        </w:rPr>
        <w:t xml:space="preserve"> References to clauses, sub-clauses, and annexures are to clauses, sub-clauses, and annexures of this Agreement. Words denoting the singular include the plural and vice versa. Headings are for convenience only and shall not affect the interpretation of this Agreement. The Annexures form an integral part of this Agreement; in the event of any conflict between the body of this Agreement and an Annexure, the Annexure shall prevail solely with respect to the subject matter set out therein.</w:t>
      </w:r>
    </w:p>
    <w:p>
      <w:pPr>
        <w:pStyle w:val="Heading1"/>
        <w:spacing w:after="160" w:before="260"/>
      </w:pPr>
      <w:r>
        <w:rPr>
          <w:b/>
          <w:bCs/>
          <w:sz w:val="24"/>
          <w:szCs w:val="24"/>
        </w:rPr>
        <w:t xml:space="preserve">2. SCOPE OF SERVICES</w:t>
      </w:r>
    </w:p>
    <w:p>
      <w:pPr>
        <w:spacing w:after="140" w:line="276"/>
        <w:jc w:val="both"/>
      </w:pPr>
      <w:r>
        <w:rPr>
          <w:b/>
          <w:bCs/>
          <w:i w:val="false"/>
          <w:iCs w:val="false"/>
          <w:sz w:val="22"/>
          <w:szCs w:val="22"/>
        </w:rPr>
        <w:t xml:space="preserve">2.1 Booking Channels:</w:t>
      </w:r>
      <w:r>
        <w:rPr>
          <w:b w:val="false"/>
          <w:bCs w:val="false"/>
          <w:i w:val="false"/>
          <w:iCs w:val="false"/>
          <w:sz w:val="22"/>
          <w:szCs w:val="22"/>
        </w:rPr>
        <w:t xml:space="preserve"> Subject to the terms and conditions of this Agreement, the Service Provider shall provide the Client with corporate travel management services delivered through two Booking Channels: (a) </w:t>
      </w:r>
      <w:r>
        <w:rPr>
          <w:b/>
          <w:bCs/>
          <w:i w:val="false"/>
          <w:iCs w:val="false"/>
          <w:sz w:val="22"/>
          <w:szCs w:val="22"/>
        </w:rPr>
        <w:t xml:space="preserve">online booking through the SBT</w:t>
      </w:r>
      <w:r>
        <w:rPr>
          <w:b w:val="false"/>
          <w:bCs w:val="false"/>
          <w:i w:val="false"/>
          <w:iCs w:val="false"/>
          <w:sz w:val="22"/>
          <w:szCs w:val="22"/>
        </w:rPr>
        <w:t xml:space="preserve">, as set out in Clause 2.2; and (b) </w:t>
      </w:r>
      <w:r>
        <w:rPr>
          <w:b/>
          <w:bCs/>
          <w:i w:val="false"/>
          <w:iCs w:val="false"/>
          <w:sz w:val="22"/>
          <w:szCs w:val="22"/>
        </w:rPr>
        <w:t xml:space="preserve">offline booking through the Concierge Desk</w:t>
      </w:r>
      <w:r>
        <w:rPr>
          <w:b w:val="false"/>
          <w:bCs w:val="false"/>
          <w:i w:val="false"/>
          <w:iCs w:val="false"/>
          <w:sz w:val="22"/>
          <w:szCs w:val="22"/>
        </w:rPr>
        <w:t xml:space="preserve">, as set out in Clause 2.3. The allocation of booking types across the Booking Channels, together with support windows and service targets, is set out in </w:t>
      </w:r>
      <w:r>
        <w:rPr>
          <w:b/>
          <w:bCs/>
          <w:i w:val="false"/>
          <w:iCs w:val="false"/>
          <w:sz w:val="22"/>
          <w:szCs w:val="22"/>
        </w:rPr>
        <w:t xml:space="preserve">Annexure II</w:t>
      </w:r>
      <w:r>
        <w:rPr>
          <w:b w:val="false"/>
          <w:bCs w:val="false"/>
          <w:i w:val="false"/>
          <w:iCs w:val="false"/>
          <w:sz w:val="22"/>
          <w:szCs w:val="22"/>
        </w:rPr>
        <w:t xml:space="preserve">.</w:t>
      </w:r>
    </w:p>
    <w:p>
      <w:pPr>
        <w:spacing w:after="140" w:line="276"/>
        <w:jc w:val="both"/>
      </w:pPr>
      <w:r>
        <w:rPr>
          <w:b/>
          <w:bCs/>
          <w:i w:val="false"/>
          <w:iCs w:val="false"/>
          <w:sz w:val="22"/>
          <w:szCs w:val="22"/>
        </w:rPr>
        <w:t xml:space="preserve">2.2 Online Booking — Self-Booking Tool:</w:t>
      </w:r>
      <w:r>
        <w:rPr>
          <w:b w:val="false"/>
          <w:bCs w:val="false"/>
          <w:i w:val="false"/>
          <w:iCs w:val="false"/>
          <w:sz w:val="22"/>
          <w:szCs w:val="22"/>
        </w:rPr>
        <w:t xml:space="preserve"> The Service Provider shall provide the Client and its Authorised Users with access to the SBT, which shall include: (a) real-time search, comparison, and confirmation of domestic and international flight and hotel inventory, including published, negotiated, and corporate fares and rates available to the Service Provider; (b) configuration and enforcement of the Client’s Travel Policy, including in-policy and out-of-policy flagging at the point of booking; (c) multi-level approval workflows routed to the Client’s designated approvers; (d) traveller profile management, including document and preference storage; (e) a centralised booking register consolidating Bookings made through both Booking Channels; (f) self-service initiation of cancellation and amendment requests, subject to Supplier policies under Clause 2.10; and (g) management information dashboards and downloadable reports covering spend, cost centres, policy compliance, and savings.</w:t>
      </w:r>
    </w:p>
    <w:p>
      <w:pPr>
        <w:spacing w:after="140" w:line="276"/>
        <w:jc w:val="both"/>
      </w:pPr>
      <w:r>
        <w:rPr>
          <w:b/>
          <w:bCs/>
          <w:i w:val="false"/>
          <w:iCs w:val="false"/>
          <w:sz w:val="22"/>
          <w:szCs w:val="22"/>
        </w:rPr>
        <w:t xml:space="preserve">2.3 Offline Booking — Concierge Desk:</w:t>
      </w:r>
      <w:r>
        <w:rPr>
          <w:b w:val="false"/>
          <w:bCs w:val="false"/>
          <w:i w:val="false"/>
          <w:iCs w:val="false"/>
          <w:sz w:val="22"/>
          <w:szCs w:val="22"/>
        </w:rPr>
        <w:t xml:space="preserve"> The Service Provider shall provide the Client with a dedicated Concierge Desk accessible by email, telephone, and messaging channels notified under Annexure II, which shall service: (a) complex, multi-city, and multi-passenger itineraries; (b) group and event bookings; (c) visa documentation, application support, and submission services through Helloviza.com; (d) ground transfers and chauffeur services; (e) foreign exchange and forex card facilitation, subject to Clause 3.17; (f) facilitation of travel insurance, subject to Clause 2.13; (g) eSIM and connectivity services; (h) out-of-policy, exception, and emergency requests; (i) after-hours and in-trip disruption support; and (j) escalation handling in accordance with the escalation matrix in Annexure I.</w:t>
      </w:r>
    </w:p>
    <w:p>
      <w:pPr>
        <w:spacing w:after="140" w:line="276"/>
        <w:jc w:val="both"/>
      </w:pPr>
      <w:r>
        <w:rPr>
          <w:b/>
          <w:bCs/>
          <w:i w:val="false"/>
          <w:iCs w:val="false"/>
          <w:sz w:val="22"/>
          <w:szCs w:val="22"/>
        </w:rPr>
        <w:t xml:space="preserve">2.4 Channel Fallback:</w:t>
      </w:r>
      <w:r>
        <w:rPr>
          <w:b w:val="false"/>
          <w:bCs w:val="false"/>
          <w:i w:val="false"/>
          <w:iCs w:val="false"/>
          <w:sz w:val="22"/>
          <w:szCs w:val="22"/>
        </w:rPr>
        <w:t xml:space="preserve"> Where the SBT is unavailable, or where a requested Booking cannot be completed through the SBT for any reason, the Client may route such request to the Concierge Desk, and the Service Provider shall service it on the terms of this Agreement without additional charge attributable solely to the change of Booking Channel.</w:t>
      </w:r>
    </w:p>
    <w:p>
      <w:pPr>
        <w:spacing w:after="140" w:line="276"/>
        <w:jc w:val="both"/>
      </w:pPr>
      <w:r>
        <w:rPr>
          <w:b/>
          <w:bCs/>
          <w:i w:val="false"/>
          <w:iCs w:val="false"/>
          <w:sz w:val="22"/>
          <w:szCs w:val="22"/>
        </w:rPr>
        <w:t xml:space="preserve">2.5 Ancillary Services:</w:t>
      </w:r>
      <w:r>
        <w:rPr>
          <w:b w:val="false"/>
          <w:bCs w:val="false"/>
          <w:i w:val="false"/>
          <w:iCs w:val="false"/>
          <w:sz w:val="22"/>
          <w:szCs w:val="22"/>
        </w:rPr>
        <w:t xml:space="preserve"> The Service Provider may provide such other ancillary travel services as may be mutually agreed between the Parties in writing from time to time, which shall upon such agreement form part of the Services.</w:t>
      </w:r>
    </w:p>
    <w:p>
      <w:pPr>
        <w:spacing w:after="140" w:line="276"/>
        <w:jc w:val="both"/>
      </w:pPr>
      <w:r>
        <w:rPr>
          <w:b/>
          <w:bCs/>
          <w:i w:val="false"/>
          <w:iCs w:val="false"/>
          <w:sz w:val="22"/>
          <w:szCs w:val="22"/>
        </w:rPr>
        <w:t xml:space="preserve">2.6 Standard of Service:</w:t>
      </w:r>
      <w:r>
        <w:rPr>
          <w:b w:val="false"/>
          <w:bCs w:val="false"/>
          <w:i w:val="false"/>
          <w:iCs w:val="false"/>
          <w:sz w:val="22"/>
          <w:szCs w:val="22"/>
        </w:rPr>
        <w:t xml:space="preserve"> The Services shall be provided in a professional and workmanlike manner and in accordance with prevailing industry standards applicable to B2B corporate travel management.</w:t>
      </w:r>
    </w:p>
    <w:p>
      <w:pPr>
        <w:spacing w:after="140" w:line="276"/>
        <w:jc w:val="both"/>
      </w:pPr>
      <w:r>
        <w:rPr>
          <w:b/>
          <w:bCs/>
          <w:i w:val="false"/>
          <w:iCs w:val="false"/>
          <w:sz w:val="22"/>
          <w:szCs w:val="22"/>
        </w:rPr>
        <w:t xml:space="preserve">2.7 SBT Access and Account Security:</w:t>
      </w:r>
      <w:r>
        <w:rPr>
          <w:b w:val="false"/>
          <w:bCs w:val="false"/>
          <w:i w:val="false"/>
          <w:iCs w:val="false"/>
          <w:sz w:val="22"/>
          <w:szCs w:val="22"/>
        </w:rPr>
        <w:t xml:space="preserve"> The Service Provider shall issue access credentials to Authorised Users nominated by the Client in writing. The Client shall be responsible for (a) maintaining the confidentiality of such credentials; (b) all activity conducted under its Authorised User accounts; and (c) promptly notifying the Service Provider in writing of any actual or suspected compromise of credentials or of the departure of an Authorised User. The Service Provider may suspend an individual Authorised User account with immediate effect where it reasonably suspects compromise, unauthorised use, or a security risk, and shall notify the Client promptly of any such suspension.</w:t>
      </w:r>
    </w:p>
    <w:p>
      <w:pPr>
        <w:spacing w:after="140" w:line="276"/>
        <w:jc w:val="both"/>
      </w:pPr>
      <w:r>
        <w:rPr>
          <w:b/>
          <w:bCs/>
          <w:i w:val="false"/>
          <w:iCs w:val="false"/>
          <w:sz w:val="22"/>
          <w:szCs w:val="22"/>
        </w:rPr>
        <w:t xml:space="preserve">2.8 Travel Policy Configuration:</w:t>
      </w:r>
      <w:r>
        <w:rPr>
          <w:b w:val="false"/>
          <w:bCs w:val="false"/>
          <w:i w:val="false"/>
          <w:iCs w:val="false"/>
          <w:sz w:val="22"/>
          <w:szCs w:val="22"/>
        </w:rPr>
        <w:t xml:space="preserve"> The Service Provider shall configure the Travel Policy within the SBT strictly in accordance with the Client’s written instructions and shall implement changes to the Travel Policy within five (5) business days of receiving written instructions from an Authorised Representative. The Service Provider shall not be liable for Bookings that are out-of-policy where such Bookings were (a) approved through the Client’s own approval workflow, (b) made pursuant to an express instruction from the Client or an Authorised User, or (c) attributable to the Client’s failure to notify a change to the Travel Policy.</w:t>
      </w:r>
    </w:p>
    <w:p>
      <w:pPr>
        <w:spacing w:after="140" w:line="276"/>
        <w:jc w:val="both"/>
      </w:pPr>
      <w:r>
        <w:rPr>
          <w:b/>
          <w:bCs/>
          <w:i w:val="false"/>
          <w:iCs w:val="false"/>
          <w:sz w:val="22"/>
          <w:szCs w:val="22"/>
        </w:rPr>
        <w:t xml:space="preserve">2.9 Platform Availability:</w:t>
      </w:r>
      <w:r>
        <w:rPr>
          <w:b w:val="false"/>
          <w:bCs w:val="false"/>
          <w:i w:val="false"/>
          <w:iCs w:val="false"/>
          <w:sz w:val="22"/>
          <w:szCs w:val="22"/>
        </w:rPr>
        <w:t xml:space="preserve"> The Service Provider shall use commercially reasonable efforts to make the SBT available in accordance with the availability target set out in Annexure II. Scheduled maintenance shall, wherever practicable, be carried out outside the support window and notified to the Client in advance. The availability target and service targets set out in Annexure II are performance objectives and do not constitute conditions of this Agreement, guarantees, or a basis for liquidated damages, service credits, or termination for cause. During any period of SBT unavailability, the Concierge Desk shall serve as the Client’s Booking Channel in accordance with Clause 2.4.</w:t>
      </w:r>
    </w:p>
    <w:p>
      <w:pPr>
        <w:spacing w:after="140" w:line="276"/>
        <w:jc w:val="both"/>
      </w:pPr>
      <w:r>
        <w:rPr>
          <w:b/>
          <w:bCs/>
          <w:i w:val="false"/>
          <w:iCs w:val="false"/>
          <w:sz w:val="22"/>
          <w:szCs w:val="22"/>
        </w:rPr>
        <w:t xml:space="preserve">2.10 Supplier-Driven Outcomes:</w:t>
      </w:r>
      <w:r>
        <w:rPr>
          <w:b w:val="false"/>
          <w:bCs w:val="false"/>
          <w:i w:val="false"/>
          <w:iCs w:val="false"/>
          <w:sz w:val="22"/>
          <w:szCs w:val="22"/>
        </w:rPr>
        <w:t xml:space="preserve"> Cancellation, refund, rescheduling, and rebooking timelines, as well as fare and rate validity, baggage allowances, no-show policies, and similar matters, are governed by the underlying Supplier policies and not by the Service Provider, irrespective of the Booking Channel used. The Service Provider shall facilitate Client requests on a best-effort basis through the relevant Supplier channels and shall not be liable for delays, denials, or losses attributable to the Supplier.</w:t>
      </w:r>
    </w:p>
    <w:p>
      <w:pPr>
        <w:spacing w:after="140" w:line="276"/>
        <w:jc w:val="both"/>
      </w:pPr>
      <w:r>
        <w:rPr>
          <w:b/>
          <w:bCs/>
          <w:i w:val="false"/>
          <w:iCs w:val="false"/>
          <w:sz w:val="22"/>
          <w:szCs w:val="22"/>
        </w:rPr>
        <w:t xml:space="preserve">2.11 Visa Services Disclaimer:</w:t>
      </w:r>
      <w:r>
        <w:rPr>
          <w:b w:val="false"/>
          <w:bCs w:val="false"/>
          <w:i w:val="false"/>
          <w:iCs w:val="false"/>
          <w:sz w:val="22"/>
          <w:szCs w:val="22"/>
        </w:rPr>
        <w:t xml:space="preserve"> Visa-related Services are provided strictly on a documentation, application support, and submission basis. Visa issuance, rejection, processing time, and final decisions rest exclusively with the relevant consular or immigration authority. Service Charges paid in respect of visa Services are non-refundable in the event of visa rejection, save where expressly agreed in writing.</w:t>
      </w:r>
    </w:p>
    <w:p>
      <w:pPr>
        <w:spacing w:after="140" w:line="276"/>
        <w:jc w:val="both"/>
      </w:pPr>
      <w:r>
        <w:rPr>
          <w:b/>
          <w:bCs/>
          <w:i w:val="false"/>
          <w:iCs w:val="false"/>
          <w:sz w:val="22"/>
          <w:szCs w:val="22"/>
        </w:rPr>
        <w:t xml:space="preserve">2.13 Insurance Services:</w:t>
      </w:r>
      <w:r>
        <w:rPr>
          <w:b w:val="false"/>
          <w:bCs w:val="false"/>
          <w:i w:val="false"/>
          <w:iCs w:val="false"/>
          <w:sz w:val="22"/>
          <w:szCs w:val="22"/>
        </w:rPr>
        <w:t xml:space="preserve"> Travel insurance is facilitated by the Service Provider on a referral and administrative-support basis only. All travel insurance policies are underwritten and issued by insurers registered with the Insurance Regulatory and Development Authority of India (</w:t>
      </w:r>
      <w:r>
        <w:rPr>
          <w:b/>
          <w:bCs/>
          <w:i w:val="false"/>
          <w:iCs w:val="false"/>
          <w:sz w:val="22"/>
          <w:szCs w:val="22"/>
        </w:rPr>
        <w:t xml:space="preserve">"IRDAI"</w:t>
      </w:r>
      <w:r>
        <w:rPr>
          <w:b w:val="false"/>
          <w:bCs w:val="false"/>
          <w:i w:val="false"/>
          <w:iCs w:val="false"/>
          <w:sz w:val="22"/>
          <w:szCs w:val="22"/>
        </w:rPr>
        <w:t xml:space="preserve">), and are solicited and distributed solely by the insurer or by an IRDAI-registered intermediary. The Service Provider is not an insurer, insurance broker, or corporate agent, does not underwrite any risk, does not solicit insurance business, and receives no commission in respect of any policy save as permitted under applicable law. The terms of cover, exclusions, and claims process are governed exclusively by the policy document issued by the insurer, and all claims lie against the insurer. The Service Provider shall have no liability in respect of the rejection, repudiation, or delay of any insurance claim.</w:t>
      </w:r>
    </w:p>
    <w:p>
      <w:pPr>
        <w:spacing w:after="140" w:line="276"/>
        <w:jc w:val="both"/>
      </w:pPr>
      <w:r>
        <w:rPr>
          <w:b/>
          <w:bCs/>
          <w:i w:val="false"/>
          <w:iCs w:val="false"/>
          <w:sz w:val="22"/>
          <w:szCs w:val="22"/>
        </w:rPr>
        <w:t xml:space="preserve">2.14 Indicative Inventory:</w:t>
      </w:r>
      <w:r>
        <w:rPr>
          <w:b w:val="false"/>
          <w:bCs w:val="false"/>
          <w:i w:val="false"/>
          <w:iCs w:val="false"/>
          <w:sz w:val="22"/>
          <w:szCs w:val="22"/>
        </w:rPr>
        <w:t xml:space="preserve"> Any reference in this Agreement or in the Annexures to the number of airlines, hotel properties, destinations, or countries served is indicative of the Service Provider’s inventory reach as at the Effective Date, is derived from Supplier and aggregator connectivity, and may vary from time to time. Such references are descriptive and do not constitute a warranty, condition, or guarantee of availability of any particular Supplier, property, fare, rate, or destination on any given date.</w:t>
      </w:r>
    </w:p>
    <w:p>
      <w:pPr>
        <w:spacing w:after="140" w:line="276"/>
        <w:jc w:val="both"/>
      </w:pPr>
      <w:r>
        <w:rPr>
          <w:b/>
          <w:bCs/>
          <w:i w:val="false"/>
          <w:iCs w:val="false"/>
          <w:sz w:val="22"/>
          <w:szCs w:val="22"/>
        </w:rPr>
        <w:t xml:space="preserve">2.12 Permitted Use:</w:t>
      </w:r>
      <w:r>
        <w:rPr>
          <w:b w:val="false"/>
          <w:bCs w:val="false"/>
          <w:i w:val="false"/>
          <w:iCs w:val="false"/>
          <w:sz w:val="22"/>
          <w:szCs w:val="22"/>
        </w:rPr>
        <w:t xml:space="preserve"> The Client shall utilise the Services solely for its bona fide business operations and shall not resell, sublicense, or commercially exploit the Services to any third party without the prior written consent of the Service Provider; </w:t>
      </w:r>
      <w:r>
        <w:rPr>
          <w:b/>
          <w:bCs/>
          <w:i w:val="false"/>
          <w:iCs w:val="false"/>
          <w:sz w:val="22"/>
          <w:szCs w:val="22"/>
        </w:rPr>
        <w:t xml:space="preserve">provided that</w:t>
      </w:r>
      <w:r>
        <w:rPr>
          <w:b w:val="false"/>
          <w:bCs w:val="false"/>
          <w:i w:val="false"/>
          <w:iCs w:val="false"/>
          <w:sz w:val="22"/>
          <w:szCs w:val="22"/>
        </w:rPr>
        <w:t xml:space="preserve">, the Client may procure Bookings through either Booking Channel for its employees, directors, contractors, guests, and such other individuals as the Client may notify to the Service Provider in writing, and such procurement shall not constitute a breach of this Clause 2.12. For the avoidance of doubt, the Client shall remain solely and primarily liable to the Service Provider for all Service Charges in respect of every such Booking, and the Service Provider shall have no privity of contract with, or liability towards, any such individual.</w:t>
      </w:r>
    </w:p>
    <w:p>
      <w:pPr>
        <w:pStyle w:val="Heading1"/>
        <w:spacing w:after="160" w:before="260"/>
      </w:pPr>
      <w:r>
        <w:rPr>
          <w:b/>
          <w:bCs/>
          <w:sz w:val="24"/>
          <w:szCs w:val="24"/>
        </w:rPr>
        <w:t xml:space="preserve">3. PAYMENT MODES, FEES, INVOICING AND PAYMENT</w:t>
      </w:r>
    </w:p>
    <w:p>
      <w:pPr>
        <w:spacing w:after="140" w:line="276"/>
        <w:jc w:val="both"/>
      </w:pPr>
      <w:r>
        <w:rPr>
          <w:b/>
          <w:bCs/>
          <w:i w:val="false"/>
          <w:iCs w:val="false"/>
          <w:sz w:val="22"/>
          <w:szCs w:val="22"/>
        </w:rPr>
        <w:t xml:space="preserve">3.1 Payment Modes:</w:t>
      </w:r>
      <w:r>
        <w:rPr>
          <w:b w:val="false"/>
          <w:bCs w:val="false"/>
          <w:i w:val="false"/>
          <w:iCs w:val="false"/>
          <w:sz w:val="22"/>
          <w:szCs w:val="22"/>
        </w:rPr>
        <w:t xml:space="preserve"> The Parties have agreed that the Client may avail the Services under either or both of the following Payment Modes: (a) the prepaid </w:t>
      </w:r>
      <w:r>
        <w:rPr>
          <w:b/>
          <w:bCs/>
          <w:i w:val="false"/>
          <w:iCs w:val="false"/>
          <w:sz w:val="22"/>
          <w:szCs w:val="22"/>
        </w:rPr>
        <w:t xml:space="preserve">Wallet Model</w:t>
      </w:r>
      <w:r>
        <w:rPr>
          <w:b w:val="false"/>
          <w:bCs w:val="false"/>
          <w:i w:val="false"/>
          <w:iCs w:val="false"/>
          <w:sz w:val="22"/>
          <w:szCs w:val="22"/>
        </w:rPr>
        <w:t xml:space="preserve">, as set out in Clause 3.2; and (b) the post-paid </w:t>
      </w:r>
      <w:r>
        <w:rPr>
          <w:b/>
          <w:bCs/>
          <w:i w:val="false"/>
          <w:iCs w:val="false"/>
          <w:sz w:val="22"/>
          <w:szCs w:val="22"/>
        </w:rPr>
        <w:t xml:space="preserve">Invoice Model</w:t>
      </w:r>
      <w:r>
        <w:rPr>
          <w:b w:val="false"/>
          <w:bCs w:val="false"/>
          <w:i w:val="false"/>
          <w:iCs w:val="false"/>
          <w:sz w:val="22"/>
          <w:szCs w:val="22"/>
        </w:rPr>
        <w:t xml:space="preserve">, as set out in Clause 3.3. The Payment Modes activated for the Client, together with the commercial mechanics of each, the Credit Limit, the credit-limit-revision mechanism, the escalation matrix, and the Authorised Representatives, are set out in </w:t>
      </w:r>
      <w:r>
        <w:rPr>
          <w:b/>
          <w:bCs/>
          <w:i w:val="false"/>
          <w:iCs w:val="false"/>
          <w:sz w:val="22"/>
          <w:szCs w:val="22"/>
        </w:rPr>
        <w:t xml:space="preserve">Annexure I</w:t>
      </w:r>
      <w:r>
        <w:rPr>
          <w:b w:val="false"/>
          <w:bCs w:val="false"/>
          <w:i w:val="false"/>
          <w:iCs w:val="false"/>
          <w:sz w:val="22"/>
          <w:szCs w:val="22"/>
        </w:rPr>
        <w:t xml:space="preserve">, which forms an integral part of this Agreement. The Client may elect the applicable Payment Mode at the point of each Booking from among the Payment Modes then activated; where no election is made, Clause 3.4 shall apply.</w:t>
      </w:r>
    </w:p>
    <w:p>
      <w:pPr>
        <w:spacing w:after="140" w:line="276"/>
        <w:jc w:val="both"/>
      </w:pPr>
      <w:r>
        <w:rPr>
          <w:b/>
          <w:bCs/>
          <w:i w:val="false"/>
          <w:iCs w:val="false"/>
          <w:sz w:val="22"/>
          <w:szCs w:val="22"/>
        </w:rPr>
        <w:t xml:space="preserve">3.2 Wallet Model (Prepaid):</w:t>
      </w:r>
      <w:r>
        <w:rPr>
          <w:b w:val="false"/>
          <w:bCs w:val="false"/>
          <w:i w:val="false"/>
          <w:iCs w:val="false"/>
          <w:sz w:val="22"/>
          <w:szCs w:val="22"/>
        </w:rPr>
        <w:t xml:space="preserve"> (a) The Client may place funds with the Service Provider from time to time by electronic bank transfer or through the Payment Gateway, and such funds shall be recorded in the Wallet. (b) Amounts standing in the Wallet are held by the Service Provider as a refundable deposit against future Service Charges and shall be applied as consideration only upon confirmation of a Booking, at which point the corresponding amount shall be debited from the Wallet Balance; until so applied, such amounts shall not constitute consideration for any supply. (c) The Wallet Balance shall be non-interest-bearing. The Wallet is not a payment instrument, is not transferable or assignable, is redeemable solely against Services supplied by the Service Provider to the Client, and shall not be used to make payment to any third party. (d) The minimum initial recharge, minimum top-up value, and low-balance notification threshold are set out in Annexure I, and the Service Provider shall notify the Client upon the Wallet Balance falling below the said threshold. (e) Where the Wallet Balance is insufficient to meet the Service Charges for a requested Booking, the Service Provider shall decline the Booking under this Payment Mode, and the Client may elect any other Payment Mode then activated. (f) The Service Provider shall make available to the Client, through the SBT, a Wallet statement recording all recharges, debits, credits, refunds, and the prevailing Wallet Balance. (g) The unused Wallet Balance shall be refundable to the Client on written request, and in any event upon termination or expiry of this Agreement, within the period set out in Annexure I, net of all undisputed amounts due to the Service Provider and of the value of confirmed Bookings not yet debited.</w:t>
      </w:r>
    </w:p>
    <w:p>
      <w:pPr>
        <w:spacing w:after="140" w:line="276"/>
        <w:jc w:val="both"/>
      </w:pPr>
      <w:r>
        <w:rPr>
          <w:b/>
          <w:bCs/>
          <w:i w:val="false"/>
          <w:iCs w:val="false"/>
          <w:sz w:val="22"/>
          <w:szCs w:val="22"/>
        </w:rPr>
        <w:t xml:space="preserve">3.3 Invoice Model (Post-Paid) and Credit Limit:</w:t>
      </w:r>
      <w:r>
        <w:rPr>
          <w:b w:val="false"/>
          <w:bCs w:val="false"/>
          <w:i w:val="false"/>
          <w:iCs w:val="false"/>
          <w:sz w:val="22"/>
          <w:szCs w:val="22"/>
        </w:rPr>
        <w:t xml:space="preserve"> Where the Client elects the Invoice Model, Bookings shall be confirmed on a post-paid basis against a Credit Limit set out in Annexure I, applied on an aggregate basis across both Booking Channels, and settled by the Client against Invoices in accordance with Clauses 3.5 to 3.8. The Credit Limit may be revised upwards or downwards in accordance with the matrix set out in Annexure I, and any such revision shall be recorded by way of a written exchange (including email) between the Authorised Representatives of the Parties.</w:t>
      </w:r>
    </w:p>
    <w:p>
      <w:pPr>
        <w:spacing w:after="140" w:line="276"/>
        <w:jc w:val="both"/>
      </w:pPr>
      <w:r>
        <w:rPr>
          <w:b/>
          <w:bCs/>
          <w:i w:val="false"/>
          <w:iCs w:val="false"/>
          <w:sz w:val="22"/>
          <w:szCs w:val="22"/>
        </w:rPr>
        <w:t xml:space="preserve">3.4 Order of Application:</w:t>
      </w:r>
      <w:r>
        <w:rPr>
          <w:b w:val="false"/>
          <w:bCs w:val="false"/>
          <w:i w:val="false"/>
          <w:iCs w:val="false"/>
          <w:sz w:val="22"/>
          <w:szCs w:val="22"/>
        </w:rPr>
        <w:t xml:space="preserve"> Where both Payment Modes are activated for the Client and the Client makes no election at the point of a Booking, the Service Charges for that Booking shall be applied first against the available Wallet Balance and thereafter against the available headroom under the Credit Limit. Nothing in this Clause 3.4 shall oblige the Service Provider to confirm any Booking where neither sufficient Wallet Balance nor sufficient Credit Limit headroom is available.</w:t>
      </w:r>
    </w:p>
    <w:p>
      <w:pPr>
        <w:spacing w:after="140" w:line="276"/>
        <w:jc w:val="both"/>
      </w:pPr>
      <w:r>
        <w:rPr>
          <w:b/>
          <w:bCs/>
          <w:i w:val="false"/>
          <w:iCs w:val="false"/>
          <w:sz w:val="22"/>
          <w:szCs w:val="22"/>
        </w:rPr>
        <w:t xml:space="preserve">3.5 Invoicing and Tax Invoices:</w:t>
      </w:r>
      <w:r>
        <w:rPr>
          <w:b w:val="false"/>
          <w:bCs w:val="false"/>
          <w:i w:val="false"/>
          <w:iCs w:val="false"/>
          <w:sz w:val="22"/>
          <w:szCs w:val="22"/>
        </w:rPr>
        <w:t xml:space="preserve"> The Service Provider shall raise a GST-compliant tax Invoice in respect of every Booking, irrespective of the Payment Mode under which it is settled. In respect of Bookings under the Wallet Model, the Invoice shall be issued upon confirmation of the Booking and shall record the debit reference against the Wallet. In respect of Bookings under the Invoice Model, Invoices shall be raised on a per-Booking basis or, at the Service Provider’s option, on a fortnightly or monthly consolidated basis. Each Invoice shall set out the particulars of the Bookings covered, the Booking Channel used, the Payment Mode applied, the applicable Service Charges, and the applicable taxes.</w:t>
      </w:r>
    </w:p>
    <w:p>
      <w:pPr>
        <w:spacing w:after="140" w:line="276"/>
        <w:jc w:val="both"/>
      </w:pPr>
      <w:r>
        <w:rPr>
          <w:b/>
          <w:bCs/>
          <w:i w:val="false"/>
          <w:iCs w:val="false"/>
          <w:sz w:val="22"/>
          <w:szCs w:val="22"/>
        </w:rPr>
        <w:t xml:space="preserve">3.6 Invoice Confirmation and Disputes:</w:t>
      </w:r>
      <w:r>
        <w:rPr>
          <w:b w:val="false"/>
          <w:bCs w:val="false"/>
          <w:i w:val="false"/>
          <w:iCs w:val="false"/>
          <w:sz w:val="22"/>
          <w:szCs w:val="22"/>
        </w:rPr>
        <w:t xml:space="preserve"> The Client shall, within fifteen (15) days of receipt of any Invoice, either (a) confirm the Invoice in writing (including by email) or (b) raise any bona fide dispute in writing, specifying the disputed line item(s) and the grounds for dispute. If no written dispute is raised within the said fifteen (15) day period, the Invoice shall be deemed accepted by the Client. Notwithstanding the foregoing, either Party may flag a bona fide arithmetical, reconciliation, or audit error in respect of any Invoice within ninety (90) days of the date of that Invoice, and the Parties shall correct the same by way of a credit note or debit note as applicable; upon expiry of the said ninety (90) day period, the Invoice shall be final, conclusive, and binding on both Parties for all purposes.</w:t>
      </w:r>
    </w:p>
    <w:p>
      <w:pPr>
        <w:spacing w:after="140" w:line="276"/>
        <w:jc w:val="both"/>
      </w:pPr>
      <w:r>
        <w:rPr>
          <w:b/>
          <w:bCs/>
          <w:i w:val="false"/>
          <w:iCs w:val="false"/>
          <w:sz w:val="22"/>
          <w:szCs w:val="22"/>
        </w:rPr>
        <w:t xml:space="preserve">3.7 Payment Terms (Invoice Model):</w:t>
      </w:r>
      <w:r>
        <w:rPr>
          <w:b w:val="false"/>
          <w:bCs w:val="false"/>
          <w:i w:val="false"/>
          <w:iCs w:val="false"/>
          <w:sz w:val="22"/>
          <w:szCs w:val="22"/>
        </w:rPr>
        <w:t xml:space="preserve"> The Client shall pay each undisputed Invoice raised under the Invoice Model (and each disputed Invoice upon resolution of the dispute) within the credit period set out in Annexure I from the date of the Invoice (the </w:t>
      </w:r>
      <w:r>
        <w:rPr>
          <w:b/>
          <w:bCs/>
          <w:i w:val="false"/>
          <w:iCs w:val="false"/>
          <w:sz w:val="22"/>
          <w:szCs w:val="22"/>
        </w:rPr>
        <w:t xml:space="preserve">"Due Date"</w:t>
      </w:r>
      <w:r>
        <w:rPr>
          <w:b w:val="false"/>
          <w:bCs w:val="false"/>
          <w:i w:val="false"/>
          <w:iCs w:val="false"/>
          <w:sz w:val="22"/>
          <w:szCs w:val="22"/>
        </w:rPr>
        <w:t xml:space="preserve">), by electronic bank transfer to the designated bank account of the Service Provider. Time shall be of the essence in respect of payment obligations under this Agreement.</w:t>
      </w:r>
    </w:p>
    <w:p>
      <w:pPr>
        <w:spacing w:after="140" w:line="276"/>
        <w:jc w:val="both"/>
      </w:pPr>
      <w:r>
        <w:rPr>
          <w:b/>
          <w:bCs/>
          <w:i w:val="false"/>
          <w:iCs w:val="false"/>
          <w:sz w:val="22"/>
          <w:szCs w:val="22"/>
        </w:rPr>
        <w:t xml:space="preserve">3.8 Late Payment Interest:</w:t>
      </w:r>
      <w:r>
        <w:rPr>
          <w:b w:val="false"/>
          <w:bCs w:val="false"/>
          <w:i w:val="false"/>
          <w:iCs w:val="false"/>
          <w:sz w:val="22"/>
          <w:szCs w:val="22"/>
        </w:rPr>
        <w:t xml:space="preserve"> Where any undisputed amount remains unpaid after the Due Date, interest shall accrue on such amount at the rate set out in Annexure I, calculated from the Due Date until the date of actual payment, without the requirement of any prior demand or notice. The Service Provider shall issue a written reminder to the Client upon an amount falling overdue and may, at its sole discretion, waive accrued interest where payment is received in full within seven (7) days of such reminder. The foregoing is without prejudice to the Service Provider’s other rights and remedies. No interest shall accrue on any portion of an Invoice that is the subject of a bona fide written dispute raised by the Client within the period stipulated under Clause 3.6, until such dispute is resolved.</w:t>
      </w:r>
    </w:p>
    <w:p>
      <w:pPr>
        <w:spacing w:after="140" w:line="276"/>
        <w:jc w:val="both"/>
      </w:pPr>
      <w:r>
        <w:rPr>
          <w:b/>
          <w:bCs/>
          <w:i w:val="false"/>
          <w:iCs w:val="false"/>
          <w:sz w:val="22"/>
          <w:szCs w:val="22"/>
        </w:rPr>
        <w:t xml:space="preserve">3.9 Bona Fide Dispute Limit:</w:t>
      </w:r>
      <w:r>
        <w:rPr>
          <w:b w:val="false"/>
          <w:bCs w:val="false"/>
          <w:i w:val="false"/>
          <w:iCs w:val="false"/>
          <w:sz w:val="22"/>
          <w:szCs w:val="22"/>
        </w:rPr>
        <w:t xml:space="preserve"> For the avoidance of doubt, the Client shall pay the undisputed portion of any Invoice on or before the Due Date, even where another portion of the same Invoice is the subject of a dispute. Frivolous, vexatious, or unsubstantiated disputes raised solely to delay payment shall not constitute bona fide disputes for the purposes of this Agreement.</w:t>
      </w:r>
    </w:p>
    <w:p>
      <w:pPr>
        <w:spacing w:after="140" w:line="276"/>
        <w:jc w:val="both"/>
      </w:pPr>
      <w:r>
        <w:rPr>
          <w:b/>
          <w:bCs/>
          <w:i w:val="false"/>
          <w:iCs w:val="false"/>
          <w:sz w:val="22"/>
          <w:szCs w:val="22"/>
        </w:rPr>
        <w:t xml:space="preserve">3.10 Suspension for Non-Payment or Credit Limit Breach:</w:t>
      </w:r>
      <w:r>
        <w:rPr>
          <w:b w:val="false"/>
          <w:bCs w:val="false"/>
          <w:i w:val="false"/>
          <w:iCs w:val="false"/>
          <w:sz w:val="22"/>
          <w:szCs w:val="22"/>
        </w:rPr>
        <w:t xml:space="preserve"> The Service Provider reserves the right to (a) decline new Booking requests through either Booking Channel where confirmation of such Booking would cause the aggregate outstanding amount under the Invoice Model to exceed the Credit Limit; and (b) suspend the Client’s access to the Services, including SBT access and Concierge Desk servicing, upon not less than five (5) business days’ prior written notice in the event any Invoice remains unpaid beyond the Due Date; </w:t>
      </w:r>
      <w:r>
        <w:rPr>
          <w:b/>
          <w:bCs/>
          <w:i w:val="false"/>
          <w:iCs w:val="false"/>
          <w:sz w:val="22"/>
          <w:szCs w:val="22"/>
        </w:rPr>
        <w:t xml:space="preserve">provided that</w:t>
      </w:r>
      <w:r>
        <w:rPr>
          <w:b w:val="false"/>
          <w:bCs w:val="false"/>
          <w:i w:val="false"/>
          <w:iCs w:val="false"/>
          <w:sz w:val="22"/>
          <w:szCs w:val="22"/>
        </w:rPr>
        <w:t xml:space="preserve">, in the case of repeat defaults (being two (2) or more payment defaults beyond the Due Date in any rolling six (6) month period), the suspension notice may be reduced to forty-eight (48) hours. The Service Provider may, at its sole discretion and without obligation, continue to service Bookings settled under the Wallet Model during any such suspension. Any such suspension or decline shall not constitute a breach of this Agreement by the Service Provider, and Bookings already confirmed shall not be cancelled solely on this account.</w:t>
      </w:r>
    </w:p>
    <w:p>
      <w:pPr>
        <w:spacing w:after="140" w:line="276"/>
        <w:jc w:val="both"/>
      </w:pPr>
      <w:r>
        <w:rPr>
          <w:b/>
          <w:bCs/>
          <w:i w:val="false"/>
          <w:iCs w:val="false"/>
          <w:sz w:val="22"/>
          <w:szCs w:val="22"/>
        </w:rPr>
        <w:t xml:space="preserve">3.11 Service Fee Waiver:</w:t>
      </w:r>
      <w:r>
        <w:rPr>
          <w:b w:val="false"/>
          <w:bCs w:val="false"/>
          <w:i w:val="false"/>
          <w:iCs w:val="false"/>
          <w:sz w:val="22"/>
          <w:szCs w:val="22"/>
        </w:rPr>
        <w:t xml:space="preserve"> The Service Provider shall levy a Service Fee of </w:t>
      </w:r>
      <w:r>
        <w:rPr>
          <w:b/>
          <w:bCs/>
          <w:i w:val="false"/>
          <w:iCs w:val="false"/>
          <w:sz w:val="22"/>
          <w:szCs w:val="22"/>
        </w:rPr>
        <w:t xml:space="preserve">zero per cent (0%)</w:t>
      </w:r>
      <w:r>
        <w:rPr>
          <w:b w:val="false"/>
          <w:bCs w:val="false"/>
          <w:i w:val="false"/>
          <w:iCs w:val="false"/>
          <w:sz w:val="22"/>
          <w:szCs w:val="22"/>
        </w:rPr>
        <w:t xml:space="preserve"> on flight and hotel Bookings made through either Booking Channel during the Waiver Period specified in Annexure III. For the avoidance of doubt, and notwithstanding the said waiver, the following shall continue to apply and shall be payable by the Client: (i) the Booking price payable to or recoverable on behalf of the relevant Supplier; (ii) supplier-embedded service charges, convenience fees, and consolidated service charges forming part of the Booking price; (iii) any markup-inclusive pricing; (iv) Supplier cancellation, amendment, reissue, and no-show charges; (v) charges in respect of service lines other than flights and hotels, including visa, foreign exchange, ground transfers, eSIM, group bookings, events, and Insurance Services, which shall be quoted and charged separately; (vi) Payment Gateway transaction charges, where applicable; and (vii) all applicable taxes. Upon expiry of the Waiver Period, the Service Fee shall be as mutually agreed in writing between the Parties, failing which the Service Provider’s then-prevailing standard rate card shall apply, subject to not less than thirty (30) days’ prior written notice to the Client.</w:t>
      </w:r>
    </w:p>
    <w:p>
      <w:pPr>
        <w:spacing w:after="140" w:line="276"/>
        <w:jc w:val="both"/>
      </w:pPr>
      <w:r>
        <w:rPr>
          <w:b/>
          <w:bCs/>
          <w:i w:val="false"/>
          <w:iCs w:val="false"/>
          <w:sz w:val="22"/>
          <w:szCs w:val="22"/>
        </w:rPr>
        <w:t xml:space="preserve">3.12 Taxes:</w:t>
      </w:r>
      <w:r>
        <w:rPr>
          <w:b w:val="false"/>
          <w:bCs w:val="false"/>
          <w:i w:val="false"/>
          <w:iCs w:val="false"/>
          <w:sz w:val="22"/>
          <w:szCs w:val="22"/>
        </w:rPr>
        <w:t xml:space="preserve"> All amounts payable under this Agreement are exclusive of applicable taxes, including Goods and Services Tax (GST). The Client shall bear all applicable taxes over and above the agreed Service Charges. All Invoices shall be GST-compliant, and the Service Provider’s GSTIN reflected on each Invoice shall be the GSTIN of the place of supply. The Client shall be entitled to claim Input Tax Credit (ITC) in accordance with applicable law, and the Service Provider shall report all Invoices in its statutory returns within the prescribed timelines so as to enable such claim.</w:t>
      </w:r>
    </w:p>
    <w:p>
      <w:pPr>
        <w:spacing w:after="140" w:line="276"/>
        <w:jc w:val="both"/>
      </w:pPr>
      <w:r>
        <w:rPr>
          <w:b/>
          <w:bCs/>
          <w:i w:val="false"/>
          <w:iCs w:val="false"/>
          <w:sz w:val="22"/>
          <w:szCs w:val="22"/>
        </w:rPr>
        <w:t xml:space="preserve">3.13 Refunds and Set-Off:</w:t>
      </w:r>
      <w:r>
        <w:rPr>
          <w:b w:val="false"/>
          <w:bCs w:val="false"/>
          <w:i w:val="false"/>
          <w:iCs w:val="false"/>
          <w:sz w:val="22"/>
          <w:szCs w:val="22"/>
        </w:rPr>
        <w:t xml:space="preserve"> Any Supplier refunds (cancellations, no-shows, and similar) due to the Client shall be credited, within three (3) business days of the Service Provider receiving and reconciling such refund from the relevant Supplier, as follows: (a) in respect of a Booking settled under the Wallet Model, to the Wallet; and (b) in respect of a Booking settled under the Invoice Model, against the Client’s next Invoice or, at the Service Provider’s option, to the Client’s designated bank account. The Service Provider shall be entitled to set off any amounts owed by it to the Client (including Supplier refunds and the Wallet Balance) against any undisputed amounts owed by the Client to the Service Provider under this Agreement.</w:t>
      </w:r>
    </w:p>
    <w:p>
      <w:pPr>
        <w:spacing w:after="140" w:line="276"/>
        <w:jc w:val="both"/>
      </w:pPr>
      <w:r>
        <w:rPr>
          <w:b/>
          <w:bCs/>
          <w:i w:val="false"/>
          <w:iCs w:val="false"/>
          <w:sz w:val="22"/>
          <w:szCs w:val="22"/>
        </w:rPr>
        <w:t xml:space="preserve">3.14 Outstanding Dues on Termination:</w:t>
      </w:r>
      <w:r>
        <w:rPr>
          <w:b w:val="false"/>
          <w:bCs w:val="false"/>
          <w:i w:val="false"/>
          <w:iCs w:val="false"/>
          <w:sz w:val="22"/>
          <w:szCs w:val="22"/>
        </w:rPr>
        <w:t xml:space="preserve"> All undisputed amounts outstanding as on the date of termination or expiry of this Agreement shall become immediately due and payable, irrespective of the original Due Date, and shall be paid by the Client within seven (7) days of termination. The Service Provider shall refund the unused Wallet Balance in accordance with Clause 3.2(g).</w:t>
      </w:r>
    </w:p>
    <w:p>
      <w:pPr>
        <w:spacing w:after="140" w:line="276"/>
        <w:jc w:val="both"/>
      </w:pPr>
      <w:r>
        <w:rPr>
          <w:b/>
          <w:bCs/>
          <w:i w:val="false"/>
          <w:iCs w:val="false"/>
          <w:sz w:val="22"/>
          <w:szCs w:val="22"/>
        </w:rPr>
        <w:t xml:space="preserve">3.15 Pre-Disclosure of Charges:</w:t>
      </w:r>
      <w:r>
        <w:rPr>
          <w:b w:val="false"/>
          <w:bCs w:val="false"/>
          <w:i w:val="false"/>
          <w:iCs w:val="false"/>
          <w:sz w:val="22"/>
          <w:szCs w:val="22"/>
        </w:rPr>
        <w:t xml:space="preserve"> The Service Provider shall, prior to confirmation of any Booking through either Booking Channel and under either Payment Mode, disclose to the Client the total price payable in respect of that Booking, inclusive of all applicable fees, service charges, and taxes. The Client’s acceptance of the quoted total price, whether by confirmation through the SBT or by written confirmation to the Concierge Desk, shall constitute the Client’s agreement to the Service Charges applicable to that Booking.</w:t>
      </w:r>
    </w:p>
    <w:p>
      <w:pPr>
        <w:spacing w:after="140" w:line="276"/>
        <w:jc w:val="both"/>
      </w:pPr>
      <w:r>
        <w:rPr>
          <w:b/>
          <w:bCs/>
          <w:i w:val="false"/>
          <w:iCs w:val="false"/>
          <w:sz w:val="22"/>
          <w:szCs w:val="22"/>
        </w:rPr>
        <w:t xml:space="preserve">3.16 Loyalty Programme:</w:t>
      </w:r>
      <w:r>
        <w:rPr>
          <w:b w:val="false"/>
          <w:bCs w:val="false"/>
          <w:i w:val="false"/>
          <w:iCs w:val="false"/>
          <w:sz w:val="22"/>
          <w:szCs w:val="22"/>
        </w:rPr>
        <w:t xml:space="preserve"> The Service Provider shall credit Loyalty Points to the Client in respect of Qualifying Spend, on the accrual, redemption, expiry, and forfeiture terms set out in </w:t>
      </w:r>
      <w:r>
        <w:rPr>
          <w:b/>
          <w:bCs/>
          <w:i w:val="false"/>
          <w:iCs w:val="false"/>
          <w:sz w:val="22"/>
          <w:szCs w:val="22"/>
        </w:rPr>
        <w:t xml:space="preserve">Annexure III</w:t>
      </w:r>
      <w:r>
        <w:rPr>
          <w:b w:val="false"/>
          <w:bCs w:val="false"/>
          <w:i w:val="false"/>
          <w:iCs w:val="false"/>
          <w:sz w:val="22"/>
          <w:szCs w:val="22"/>
        </w:rPr>
        <w:t xml:space="preserve">. Loyalty Points accrue to and vest in the </w:t>
      </w:r>
      <w:r>
        <w:rPr>
          <w:b/>
          <w:bCs/>
          <w:i w:val="false"/>
          <w:iCs w:val="false"/>
          <w:sz w:val="22"/>
          <w:szCs w:val="22"/>
        </w:rPr>
        <w:t xml:space="preserve">Client as a body corporate</w:t>
      </w:r>
      <w:r>
        <w:rPr>
          <w:b w:val="false"/>
          <w:bCs w:val="false"/>
          <w:i w:val="false"/>
          <w:iCs w:val="false"/>
          <w:sz w:val="22"/>
          <w:szCs w:val="22"/>
        </w:rPr>
        <w:t xml:space="preserve">, and shall not accrue to, be credited to, or be redeemable by any individual employee, director, officer, or traveller of the Client in a personal capacity. Loyalty Points carry no cash value, are not transferable or assignable, and are redeemable solely against future Service Charges payable to the Service Provider. Redemption of Loyalty Points shall be effected as a discount recorded on the relevant Invoice and linked to the corresponding supply, so as to satisfy the requirements of Section 15(3) of the Central Goods and Services Tax Act, 2017.</w:t>
      </w:r>
    </w:p>
    <w:p>
      <w:pPr>
        <w:spacing w:after="140" w:line="276"/>
        <w:jc w:val="both"/>
      </w:pPr>
      <w:r>
        <w:rPr>
          <w:b/>
          <w:bCs/>
          <w:i w:val="false"/>
          <w:iCs w:val="false"/>
          <w:sz w:val="22"/>
          <w:szCs w:val="22"/>
        </w:rPr>
        <w:t xml:space="preserve">3.17 Foreign Exchange Services:</w:t>
      </w:r>
      <w:r>
        <w:rPr>
          <w:b w:val="false"/>
          <w:bCs w:val="false"/>
          <w:i w:val="false"/>
          <w:iCs w:val="false"/>
          <w:sz w:val="22"/>
          <w:szCs w:val="22"/>
        </w:rPr>
        <w:t xml:space="preserve"> Foreign exchange and forex card Services shall be provided strictly on an advance-payment basis, whether funded from the Wallet or by direct remittance, shall fall outside the Credit Limit, and shall not be available under the Invoice Model. Rates shall be those prevailing at the time of the transaction and shall be confirmed to the Client prior to execution. The Client shall furnish all documentation required under the Foreign Exchange Management Act, 1999 and applicable Reserve Bank of India regulations, including purpose declarations and Form A2 where applicable, and the Service Provider shall be entitled to decline or delay any forex transaction pending receipt of such documentation.</w:t>
      </w:r>
    </w:p>
    <w:p>
      <w:pPr>
        <w:spacing w:after="140" w:line="276"/>
        <w:jc w:val="both"/>
      </w:pPr>
      <w:r>
        <w:rPr>
          <w:b/>
          <w:bCs/>
          <w:i w:val="false"/>
          <w:iCs w:val="false"/>
          <w:sz w:val="22"/>
          <w:szCs w:val="22"/>
        </w:rPr>
        <w:t xml:space="preserve">3.18 Statutory and Compliance Documentation:</w:t>
      </w:r>
      <w:r>
        <w:rPr>
          <w:b w:val="false"/>
          <w:bCs w:val="false"/>
          <w:i w:val="false"/>
          <w:iCs w:val="false"/>
          <w:sz w:val="22"/>
          <w:szCs w:val="22"/>
        </w:rPr>
        <w:t xml:space="preserve"> The Service Provider shall provide the Client with all Invoices, supporting documents, GST details, Wallet statements, Loyalty Points statements, and other records reasonably required for the Client’s statutory, tax, and audit compliance requirements.</w:t>
      </w:r>
    </w:p>
    <w:p>
      <w:pPr>
        <w:pStyle w:val="Heading1"/>
        <w:spacing w:after="160" w:before="260"/>
      </w:pPr>
      <w:r>
        <w:rPr>
          <w:b/>
          <w:bCs/>
          <w:sz w:val="24"/>
          <w:szCs w:val="24"/>
        </w:rPr>
        <w:t xml:space="preserve">4. CONFIDENTIALITY</w:t>
      </w:r>
    </w:p>
    <w:p>
      <w:pPr>
        <w:spacing w:after="140" w:line="276"/>
        <w:jc w:val="both"/>
      </w:pPr>
      <w:r>
        <w:rPr>
          <w:b/>
          <w:bCs/>
          <w:i w:val="false"/>
          <w:iCs w:val="false"/>
          <w:sz w:val="22"/>
          <w:szCs w:val="22"/>
        </w:rPr>
        <w:t xml:space="preserve">4.1</w:t>
      </w:r>
      <w:r>
        <w:rPr>
          <w:b w:val="false"/>
          <w:bCs w:val="false"/>
          <w:i w:val="false"/>
          <w:iCs w:val="false"/>
          <w:sz w:val="22"/>
          <w:szCs w:val="22"/>
        </w:rPr>
        <w:t xml:space="preserve"> Each Party (in its capacity as Receiving Party) shall hold in strict confidence all Confidential Information disclosed by the other Party (in its capacity as Disclosing Party) and shall use such Confidential Information solely for the purpose of performing its obligations under this Agreement.</w:t>
      </w:r>
    </w:p>
    <w:p>
      <w:pPr>
        <w:spacing w:after="140" w:line="276"/>
        <w:jc w:val="both"/>
      </w:pPr>
      <w:r>
        <w:rPr>
          <w:b/>
          <w:bCs/>
          <w:i w:val="false"/>
          <w:iCs w:val="false"/>
          <w:sz w:val="22"/>
          <w:szCs w:val="22"/>
        </w:rPr>
        <w:t xml:space="preserve">4.2</w:t>
      </w:r>
      <w:r>
        <w:rPr>
          <w:b w:val="false"/>
          <w:bCs w:val="false"/>
          <w:i w:val="false"/>
          <w:iCs w:val="false"/>
          <w:sz w:val="22"/>
          <w:szCs w:val="22"/>
        </w:rPr>
        <w:t xml:space="preserve"> The Receiving Party shall not disclose any Confidential Information to any third party without the Disclosing Party’s prior written consent, except to its directors, officers, employees, advisors, auditors, or sub-contractors strictly on a need-to-know basis, provided that such recipients are bound by confidentiality obligations no less stringent than those set out in this Clause 4.</w:t>
      </w:r>
    </w:p>
    <w:p>
      <w:pPr>
        <w:spacing w:after="140" w:line="276"/>
        <w:jc w:val="both"/>
      </w:pPr>
      <w:r>
        <w:rPr>
          <w:b/>
          <w:bCs/>
          <w:i w:val="false"/>
          <w:iCs w:val="false"/>
          <w:sz w:val="22"/>
          <w:szCs w:val="22"/>
        </w:rPr>
        <w:t xml:space="preserve">4.3</w:t>
      </w:r>
      <w:r>
        <w:rPr>
          <w:b w:val="false"/>
          <w:bCs w:val="false"/>
          <w:i w:val="false"/>
          <w:iCs w:val="false"/>
          <w:sz w:val="22"/>
          <w:szCs w:val="22"/>
        </w:rPr>
        <w:t xml:space="preserve"> Upon termination of this Agreement or upon written request by the Disclosing Party, the Receiving Party shall promptly return or destroy (and certify such destruction in writing) all Confidential Information of the Disclosing Party in its possession or control, save for one (1) archival copy retained for legal compliance purposes.</w:t>
      </w:r>
    </w:p>
    <w:p>
      <w:pPr>
        <w:spacing w:after="140" w:line="276"/>
        <w:jc w:val="both"/>
      </w:pPr>
      <w:r>
        <w:rPr>
          <w:b/>
          <w:bCs/>
          <w:i w:val="false"/>
          <w:iCs w:val="false"/>
          <w:sz w:val="22"/>
          <w:szCs w:val="22"/>
        </w:rPr>
        <w:t xml:space="preserve">4.4</w:t>
      </w:r>
      <w:r>
        <w:rPr>
          <w:b w:val="false"/>
          <w:bCs w:val="false"/>
          <w:i w:val="false"/>
          <w:iCs w:val="false"/>
          <w:sz w:val="22"/>
          <w:szCs w:val="22"/>
        </w:rPr>
        <w:t xml:space="preserve"> The obligations under this Clause 4 shall survive the termination or expiry of this Agreement for a period of three (3) years.</w:t>
      </w:r>
    </w:p>
    <w:p>
      <w:pPr>
        <w:pStyle w:val="Heading1"/>
        <w:spacing w:after="160" w:before="260"/>
      </w:pPr>
      <w:r>
        <w:rPr>
          <w:b/>
          <w:bCs/>
          <w:sz w:val="24"/>
          <w:szCs w:val="24"/>
        </w:rPr>
        <w:t xml:space="preserve">5. TERM AND TERMINATION</w:t>
      </w:r>
    </w:p>
    <w:p>
      <w:pPr>
        <w:spacing w:after="140" w:line="276"/>
        <w:jc w:val="both"/>
      </w:pPr>
      <w:r>
        <w:rPr>
          <w:b/>
          <w:bCs/>
          <w:i w:val="false"/>
          <w:iCs w:val="false"/>
          <w:sz w:val="22"/>
          <w:szCs w:val="22"/>
        </w:rPr>
        <w:t xml:space="preserve">5.1 Term:</w:t>
      </w:r>
      <w:r>
        <w:rPr>
          <w:b w:val="false"/>
          <w:bCs w:val="false"/>
          <w:i w:val="false"/>
          <w:iCs w:val="false"/>
          <w:sz w:val="22"/>
          <w:szCs w:val="22"/>
        </w:rPr>
        <w:t xml:space="preserve"> This Agreement shall commence on the Effective Date and shall continue in force for an initial period of two (2) years (the </w:t>
      </w:r>
      <w:r>
        <w:rPr>
          <w:b/>
          <w:bCs/>
          <w:i w:val="false"/>
          <w:iCs w:val="false"/>
          <w:sz w:val="22"/>
          <w:szCs w:val="22"/>
        </w:rPr>
        <w:t xml:space="preserve">"Initial Term"</w:t>
      </w:r>
      <w:r>
        <w:rPr>
          <w:b w:val="false"/>
          <w:bCs w:val="false"/>
          <w:i w:val="false"/>
          <w:iCs w:val="false"/>
          <w:sz w:val="22"/>
          <w:szCs w:val="22"/>
        </w:rPr>
        <w:t xml:space="preserve">) unless terminated earlier in accordance with this Clause 5.</w:t>
      </w:r>
    </w:p>
    <w:p>
      <w:pPr>
        <w:spacing w:after="140" w:line="276"/>
        <w:jc w:val="both"/>
      </w:pPr>
      <w:r>
        <w:rPr>
          <w:b/>
          <w:bCs/>
          <w:i w:val="false"/>
          <w:iCs w:val="false"/>
          <w:sz w:val="22"/>
          <w:szCs w:val="22"/>
        </w:rPr>
        <w:t xml:space="preserve">5.2 Auto-Renewal:</w:t>
      </w:r>
      <w:r>
        <w:rPr>
          <w:b w:val="false"/>
          <w:bCs w:val="false"/>
          <w:i w:val="false"/>
          <w:iCs w:val="false"/>
          <w:sz w:val="22"/>
          <w:szCs w:val="22"/>
        </w:rPr>
        <w:t xml:space="preserve"> Upon expiry of the Initial Term, this Agreement shall automatically renew for successive periods of one (1) year each (each, a </w:t>
      </w:r>
      <w:r>
        <w:rPr>
          <w:b/>
          <w:bCs/>
          <w:i w:val="false"/>
          <w:iCs w:val="false"/>
          <w:sz w:val="22"/>
          <w:szCs w:val="22"/>
        </w:rPr>
        <w:t xml:space="preserve">"Renewal Term"</w:t>
      </w:r>
      <w:r>
        <w:rPr>
          <w:b w:val="false"/>
          <w:bCs w:val="false"/>
          <w:i w:val="false"/>
          <w:iCs w:val="false"/>
          <w:sz w:val="22"/>
          <w:szCs w:val="22"/>
        </w:rPr>
        <w:t xml:space="preserve">, and together with the Initial Term, the </w:t>
      </w:r>
      <w:r>
        <w:rPr>
          <w:b/>
          <w:bCs/>
          <w:i w:val="false"/>
          <w:iCs w:val="false"/>
          <w:sz w:val="22"/>
          <w:szCs w:val="22"/>
        </w:rPr>
        <w:t xml:space="preserve">"Term"</w:t>
      </w:r>
      <w:r>
        <w:rPr>
          <w:b w:val="false"/>
          <w:bCs w:val="false"/>
          <w:i w:val="false"/>
          <w:iCs w:val="false"/>
          <w:sz w:val="22"/>
          <w:szCs w:val="22"/>
        </w:rPr>
        <w:t xml:space="preserve">), unless either Party gives the other Party written notice of non-renewal at least sixty (60) days prior to the expiry of the then-current Term.</w:t>
      </w:r>
    </w:p>
    <w:p>
      <w:pPr>
        <w:spacing w:after="140" w:line="276"/>
        <w:jc w:val="both"/>
      </w:pPr>
      <w:r>
        <w:rPr>
          <w:b/>
          <w:bCs/>
          <w:i w:val="false"/>
          <w:iCs w:val="false"/>
          <w:sz w:val="22"/>
          <w:szCs w:val="22"/>
        </w:rPr>
        <w:t xml:space="preserve">5.3 Termination for Convenience:</w:t>
      </w:r>
      <w:r>
        <w:rPr>
          <w:b w:val="false"/>
          <w:bCs w:val="false"/>
          <w:i w:val="false"/>
          <w:iCs w:val="false"/>
          <w:sz w:val="22"/>
          <w:szCs w:val="22"/>
        </w:rPr>
        <w:t xml:space="preserve"> Either Party may terminate this Agreement for convenience by providing the other Party with not less than ninety (90) days’ prior written notice. All Invoices outstanding as on the date of termination shall be settled in accordance with Clause 3.14, and the unused Wallet Balance shall be refunded in accordance with Clause 3.2(g).</w:t>
      </w:r>
    </w:p>
    <w:p>
      <w:pPr>
        <w:spacing w:after="140" w:line="276"/>
        <w:jc w:val="both"/>
      </w:pPr>
      <w:r>
        <w:rPr>
          <w:b/>
          <w:bCs/>
          <w:i w:val="false"/>
          <w:iCs w:val="false"/>
          <w:sz w:val="22"/>
          <w:szCs w:val="22"/>
        </w:rPr>
        <w:t xml:space="preserve">5.4 Termination for Cause:</w:t>
      </w:r>
      <w:r>
        <w:rPr>
          <w:b w:val="false"/>
          <w:bCs w:val="false"/>
          <w:i w:val="false"/>
          <w:iCs w:val="false"/>
          <w:sz w:val="22"/>
          <w:szCs w:val="22"/>
        </w:rPr>
        <w:t xml:space="preserve"> Either Party may terminate this Agreement with immediate effect upon written notice if the other Party (a) commits a material breach of this Agreement and fails to remedy such breach within fourteen (14) days of receiving written notice specifying the breach; (b) becomes insolvent, bankrupt, or enters into liquidation or any similar process; or (c) ceases to carry on business. Without prejudice to the foregoing, persistent payment defaults by the Client (being three (3) or more payment defaults in any rolling twelve (12) month period) shall be deemed a material breach for the purposes of this Clause 5.4.</w:t>
      </w:r>
    </w:p>
    <w:p>
      <w:pPr>
        <w:spacing w:after="140" w:line="276"/>
        <w:jc w:val="both"/>
      </w:pPr>
      <w:r>
        <w:rPr>
          <w:b/>
          <w:bCs/>
          <w:i w:val="false"/>
          <w:iCs w:val="false"/>
          <w:sz w:val="22"/>
          <w:szCs w:val="22"/>
        </w:rPr>
        <w:t xml:space="preserve">5.5 Consequences of Termination:</w:t>
      </w:r>
      <w:r>
        <w:rPr>
          <w:b w:val="false"/>
          <w:bCs w:val="false"/>
          <w:i w:val="false"/>
          <w:iCs w:val="false"/>
          <w:sz w:val="22"/>
          <w:szCs w:val="22"/>
        </w:rPr>
        <w:t xml:space="preserve"> Upon termination or expiry of this Agreement: (a) the Client and its Authorised Users shall immediately cease using the Services and all SBT access credentials shall be deactivated, save for the completion of Bookings already confirmed and not yet utilised as of the termination date; (b) each Party shall return or destroy all Confidential Information of the other Party in accordance with Clause 4.3; (c) all outstanding undisputed amounts payable by the Client to the Service Provider shall become immediately due and payable in accordance with Clause 3.14; (d) any Supplier refunds received post-termination shall be remitted by the Service Provider to the Client, net of any outstanding dues; and (e) the Service Provider shall, upon the Client’s written request made within thirty (30) days of termination, provide the Client with a final export of its booking and spend data held within the SBT in a commonly readable electronic format; and (f) all unredeemed Loyalty Points shall lapse and stand forfeited in accordance with Annexure III.</w:t>
      </w:r>
    </w:p>
    <w:p>
      <w:pPr>
        <w:spacing w:after="140" w:line="276"/>
        <w:jc w:val="both"/>
      </w:pPr>
      <w:r>
        <w:rPr>
          <w:b/>
          <w:bCs/>
          <w:i w:val="false"/>
          <w:iCs w:val="false"/>
          <w:sz w:val="22"/>
          <w:szCs w:val="22"/>
        </w:rPr>
        <w:t xml:space="preserve">5.6 Survival:</w:t>
      </w:r>
      <w:r>
        <w:rPr>
          <w:b w:val="false"/>
          <w:bCs w:val="false"/>
          <w:i w:val="false"/>
          <w:iCs w:val="false"/>
          <w:sz w:val="22"/>
          <w:szCs w:val="22"/>
        </w:rPr>
        <w:t xml:space="preserve"> Clauses 1, 2.10, 2.11, 2.13, 3.2(g), 3.8, 3.12, 3.13, 3.14, 4, 5.5, 6, 7, 8, 9, 11, 12, and 13, together with any other clauses which by their nature are intended to survive termination, shall survive the termination or expiry of this Agreement.</w:t>
      </w:r>
    </w:p>
    <w:p>
      <w:pPr>
        <w:pStyle w:val="Heading1"/>
        <w:spacing w:after="160" w:before="260"/>
      </w:pPr>
      <w:r>
        <w:rPr>
          <w:b/>
          <w:bCs/>
          <w:sz w:val="24"/>
          <w:szCs w:val="24"/>
        </w:rPr>
        <w:t xml:space="preserve">6. WARRANTIES, INDEMNITIES AND LIMITATION OF LIABILITY</w:t>
      </w:r>
    </w:p>
    <w:p>
      <w:pPr>
        <w:spacing w:after="140" w:line="276"/>
        <w:jc w:val="both"/>
      </w:pPr>
      <w:r>
        <w:rPr>
          <w:b/>
          <w:bCs/>
          <w:i w:val="false"/>
          <w:iCs w:val="false"/>
          <w:sz w:val="22"/>
          <w:szCs w:val="22"/>
        </w:rPr>
        <w:t xml:space="preserve">6.1 Mutual Warranties:</w:t>
      </w:r>
      <w:r>
        <w:rPr>
          <w:b w:val="false"/>
          <w:bCs w:val="false"/>
          <w:i w:val="false"/>
          <w:iCs w:val="false"/>
          <w:sz w:val="22"/>
          <w:szCs w:val="22"/>
        </w:rPr>
        <w:t xml:space="preserve"> Each Party represents and warrants to the other that: (a) it has the legal right, capacity, and authority to enter into and perform this Agreement; (b) the execution of this Agreement does not breach any other agreement to which it is a party; and (c) it shall comply with all applicable laws and regulations in the performance of its obligations hereunder.</w:t>
      </w:r>
    </w:p>
    <w:p>
      <w:pPr>
        <w:spacing w:after="140" w:line="276"/>
        <w:jc w:val="both"/>
      </w:pPr>
      <w:r>
        <w:rPr>
          <w:b/>
          <w:bCs/>
          <w:i w:val="false"/>
          <w:iCs w:val="false"/>
          <w:sz w:val="22"/>
          <w:szCs w:val="22"/>
        </w:rPr>
        <w:t xml:space="preserve">6.2 Client Indemnity:</w:t>
      </w:r>
      <w:r>
        <w:rPr>
          <w:b w:val="false"/>
          <w:bCs w:val="false"/>
          <w:i w:val="false"/>
          <w:iCs w:val="false"/>
          <w:sz w:val="22"/>
          <w:szCs w:val="22"/>
        </w:rPr>
        <w:t xml:space="preserve"> The Client shall indemnify, defend, and hold harmless the Service Provider, its directors, officers, employees, and agents from and against any and all claims, damages, losses, liabilities, costs, and expenses (including reasonable legal fees) arising out of or in connection with: (a) the Client’s breach of this Agreement, including non-payment of undisputed Invoices; (b) the Client’s negligence, fraud, or wilful misconduct; (c) the Client’s failure to obtain necessary consents from its employees, travellers, and end-customers under Clause 8; (d) any claim brought by any student, end-customer, or other individual for whom a Booking was procured by the Client under Clause 2.12; (e) any claim in respect of an insurance policy facilitated under Clause 2.13, save to the extent arising from the Service Provider’s own gross negligence or wilful misconduct; or (f) any third-party claim arising from the Client’s use of the Services in violation of this Agreement or applicable law.</w:t>
      </w:r>
    </w:p>
    <w:p>
      <w:pPr>
        <w:spacing w:after="140" w:line="276"/>
        <w:jc w:val="both"/>
      </w:pPr>
      <w:r>
        <w:rPr>
          <w:b/>
          <w:bCs/>
          <w:i w:val="false"/>
          <w:iCs w:val="false"/>
          <w:sz w:val="22"/>
          <w:szCs w:val="22"/>
        </w:rPr>
        <w:t xml:space="preserve">6.3 Service Provider Indemnity:</w:t>
      </w:r>
      <w:r>
        <w:rPr>
          <w:b w:val="false"/>
          <w:bCs w:val="false"/>
          <w:i w:val="false"/>
          <w:iCs w:val="false"/>
          <w:sz w:val="22"/>
          <w:szCs w:val="22"/>
        </w:rPr>
        <w:t xml:space="preserve"> The Service Provider shall indemnify, defend, and hold harmless the Client from and against any third-party claims, damages, losses, liabilities, costs, and expenses (including reasonable legal fees) arising out of or in connection with: (a) the Service Provider’s breach of this Agreement; (b) the Service Provider’s negligence, fraud, or wilful misconduct; or (c) any infringement of third-party intellectual property rights by the Service Provider’s proprietary platform, including the SBT. The Service Provider’s obligations under Clauses 6.3(a) and 6.3(b) shall be subject to the limitation of liability in Clause 6.4.</w:t>
      </w:r>
    </w:p>
    <w:p>
      <w:pPr>
        <w:spacing w:after="140" w:line="276"/>
        <w:jc w:val="both"/>
      </w:pPr>
      <w:r>
        <w:rPr>
          <w:b/>
          <w:bCs/>
          <w:i w:val="false"/>
          <w:iCs w:val="false"/>
          <w:sz w:val="22"/>
          <w:szCs w:val="22"/>
        </w:rPr>
        <w:t xml:space="preserve">6.4 Limitation of Liability:</w:t>
      </w:r>
      <w:r>
        <w:rPr>
          <w:b w:val="false"/>
          <w:bCs w:val="false"/>
          <w:i w:val="false"/>
          <w:iCs w:val="false"/>
          <w:sz w:val="22"/>
          <w:szCs w:val="22"/>
        </w:rPr>
        <w:t xml:space="preserve"> Notwithstanding anything to the contrary in this Agreement, and subject to Clause 6.5, the aggregate liability of either Party arising out of or in connection with this Agreement, whether in contract, tort (including negligence), or otherwise, shall not exceed an amount equal to the </w:t>
      </w:r>
      <w:r>
        <w:rPr>
          <w:b/>
          <w:bCs/>
          <w:i w:val="false"/>
          <w:iCs w:val="false"/>
          <w:sz w:val="22"/>
          <w:szCs w:val="22"/>
        </w:rPr>
        <w:t xml:space="preserve">Net Revenue</w:t>
      </w:r>
      <w:r>
        <w:rPr>
          <w:b w:val="false"/>
          <w:bCs w:val="false"/>
          <w:i w:val="false"/>
          <w:iCs w:val="false"/>
          <w:sz w:val="22"/>
          <w:szCs w:val="22"/>
        </w:rPr>
        <w:t xml:space="preserve"> earned by the Service Provider from the Client in the twelve (12) months immediately preceding the event giving rise to the claim, or </w:t>
      </w:r>
      <w:r>
        <w:rPr>
          <w:b/>
          <w:bCs/>
          <w:i w:val="false"/>
          <w:iCs w:val="false"/>
          <w:sz w:val="22"/>
          <w:szCs w:val="22"/>
        </w:rPr>
        <w:t xml:space="preserve">INR {liability_cap_inr}</w:t>
      </w:r>
      <w:r>
        <w:rPr>
          <w:b w:val="false"/>
          <w:bCs w:val="false"/>
          <w:i w:val="false"/>
          <w:iCs w:val="false"/>
          <w:sz w:val="22"/>
          <w:szCs w:val="22"/>
        </w:rPr>
        <w:t xml:space="preserve">, whichever is lower. For the avoidance of doubt, Booking values, Supplier costs, taxes, and amounts collected on behalf of Suppliers shall be excluded when computing the said cap. In no event shall either Party be liable for any indirect, consequential, special, incidental, exemplary, or punitive damages, including loss of profits, loss of revenue, loss of business, loss of goodwill, or loss of data, howsoever arising.</w:t>
      </w:r>
    </w:p>
    <w:p>
      <w:pPr>
        <w:spacing w:after="140" w:line="276"/>
        <w:jc w:val="both"/>
      </w:pPr>
      <w:r>
        <w:rPr>
          <w:b/>
          <w:bCs/>
          <w:i w:val="false"/>
          <w:iCs w:val="false"/>
          <w:sz w:val="22"/>
          <w:szCs w:val="22"/>
        </w:rPr>
        <w:t xml:space="preserve">6.5 Carve-outs from Limitation:</w:t>
      </w:r>
      <w:r>
        <w:rPr>
          <w:b w:val="false"/>
          <w:bCs w:val="false"/>
          <w:i w:val="false"/>
          <w:iCs w:val="false"/>
          <w:sz w:val="22"/>
          <w:szCs w:val="22"/>
        </w:rPr>
        <w:t xml:space="preserve"> The limitations set out in Clause 6.4 shall not apply to: (a) breach of Clause 4 (Confidentiality); (b) breach of Clause 8 (Data Protection) attributable to the gross negligence or wilful misconduct of either Party; (c) infringement of intellectual property rights, including the Service Provider’s indemnity under Clause 6.3(c); (d) the Client’s payment obligations under Clause 3 (including Invoice payment, late-payment interest, and outstanding dues on termination); (e) the Client’s indemnification obligations under Clause 6.2; and (f) liability for fraud, gross negligence, or wilful misconduct. The Parties’ liability under the carve-outs in (a) through (c) shall be capped at three (3) times the cap set out in Clause 6.4 or INR {carveout_cap_inr}, whichever is lower; provided that, the carve-outs in (d), (e), and (f) shall not be subject to any monetary cap.</w:t>
      </w:r>
    </w:p>
    <w:p>
      <w:pPr>
        <w:pStyle w:val="Heading1"/>
        <w:spacing w:after="160" w:before="260"/>
      </w:pPr>
      <w:r>
        <w:rPr>
          <w:b/>
          <w:bCs/>
          <w:sz w:val="24"/>
          <w:szCs w:val="24"/>
        </w:rPr>
        <w:t xml:space="preserve">7. GOVERNING LAW AND DISPUTE RESOLUTION</w:t>
      </w:r>
    </w:p>
    <w:p>
      <w:pPr>
        <w:spacing w:after="140" w:line="276"/>
        <w:jc w:val="both"/>
      </w:pPr>
      <w:r>
        <w:rPr>
          <w:b/>
          <w:bCs/>
          <w:i w:val="false"/>
          <w:iCs w:val="false"/>
          <w:sz w:val="22"/>
          <w:szCs w:val="22"/>
        </w:rPr>
        <w:t xml:space="preserve">7.1</w:t>
      </w:r>
      <w:r>
        <w:rPr>
          <w:b w:val="false"/>
          <w:bCs w:val="false"/>
          <w:i w:val="false"/>
          <w:iCs w:val="false"/>
          <w:sz w:val="22"/>
          <w:szCs w:val="22"/>
        </w:rPr>
        <w:t xml:space="preserve"> This Agreement shall be governed by and construed in accordance with the laws of India, without regard to its conflict of laws principles.</w:t>
      </w:r>
    </w:p>
    <w:p>
      <w:pPr>
        <w:spacing w:after="140" w:line="276"/>
        <w:jc w:val="both"/>
      </w:pPr>
      <w:r>
        <w:rPr>
          <w:b/>
          <w:bCs/>
          <w:i w:val="false"/>
          <w:iCs w:val="false"/>
          <w:sz w:val="22"/>
          <w:szCs w:val="22"/>
        </w:rPr>
        <w:t xml:space="preserve">7.2</w:t>
      </w:r>
      <w:r>
        <w:rPr>
          <w:b w:val="false"/>
          <w:bCs w:val="false"/>
          <w:i w:val="false"/>
          <w:iCs w:val="false"/>
          <w:sz w:val="22"/>
          <w:szCs w:val="22"/>
        </w:rPr>
        <w:t xml:space="preserve"> The Parties shall first endeavour to resolve any dispute, controversy, or claim arising out of or in connection with this Agreement (a </w:t>
      </w:r>
      <w:r>
        <w:rPr>
          <w:b/>
          <w:bCs/>
          <w:i w:val="false"/>
          <w:iCs w:val="false"/>
          <w:sz w:val="22"/>
          <w:szCs w:val="22"/>
        </w:rPr>
        <w:t xml:space="preserve">"Dispute"</w:t>
      </w:r>
      <w:r>
        <w:rPr>
          <w:b w:val="false"/>
          <w:bCs w:val="false"/>
          <w:i w:val="false"/>
          <w:iCs w:val="false"/>
          <w:sz w:val="22"/>
          <w:szCs w:val="22"/>
        </w:rPr>
        <w:t xml:space="preserve">) amicably through good-faith negotiations between their respective senior representatives within thirty (30) days of one Party giving written notice of the Dispute to the other.</w:t>
      </w:r>
    </w:p>
    <w:p>
      <w:pPr>
        <w:spacing w:after="140" w:line="276"/>
        <w:jc w:val="both"/>
      </w:pPr>
      <w:r>
        <w:rPr>
          <w:b/>
          <w:bCs/>
          <w:i w:val="false"/>
          <w:iCs w:val="false"/>
          <w:sz w:val="22"/>
          <w:szCs w:val="22"/>
        </w:rPr>
        <w:t xml:space="preserve">7.3</w:t>
      </w:r>
      <w:r>
        <w:rPr>
          <w:b w:val="false"/>
          <w:bCs w:val="false"/>
          <w:i w:val="false"/>
          <w:iCs w:val="false"/>
          <w:sz w:val="22"/>
          <w:szCs w:val="22"/>
        </w:rPr>
        <w:t xml:space="preserve"> Failing amicable resolution under Clause 7.2, the Dispute shall be referred to and finally resolved by arbitration under the Arbitration and Conciliation Act, 1996, as amended. The arbitration shall be conducted by a sole arbitrator mutually appointed by the Parties; failing mutual agreement within thirty (30) days, the arbitrator shall be appointed by the High Court of Punjab and Haryana at Chandigarh upon application by either Party. The seat and venue of arbitration shall be Gurugram, Haryana, India, and the language of arbitration shall be English. The award of the arbitrator shall be final and binding on the Parties.</w:t>
      </w:r>
    </w:p>
    <w:p>
      <w:pPr>
        <w:spacing w:after="140" w:line="276"/>
        <w:jc w:val="both"/>
      </w:pPr>
      <w:r>
        <w:rPr>
          <w:b/>
          <w:bCs/>
          <w:i w:val="false"/>
          <w:iCs w:val="false"/>
          <w:sz w:val="22"/>
          <w:szCs w:val="22"/>
        </w:rPr>
        <w:t xml:space="preserve">7.4</w:t>
      </w:r>
      <w:r>
        <w:rPr>
          <w:b w:val="false"/>
          <w:bCs w:val="false"/>
          <w:i w:val="false"/>
          <w:iCs w:val="false"/>
          <w:sz w:val="22"/>
          <w:szCs w:val="22"/>
        </w:rPr>
        <w:t xml:space="preserve"> Subject to Clause 7.3, the courts at Gurugram, Haryana shall have exclusive jurisdiction in respect of any matter arising out of or in connection with this Agreement, including for the purposes of seeking interim relief and for the enforcement of payment obligations under Clause 3.</w:t>
      </w:r>
    </w:p>
    <w:p>
      <w:pPr>
        <w:spacing w:after="140" w:line="276"/>
        <w:jc w:val="both"/>
      </w:pPr>
      <w:r>
        <w:rPr>
          <w:b/>
          <w:bCs/>
          <w:i w:val="false"/>
          <w:iCs w:val="false"/>
          <w:sz w:val="22"/>
          <w:szCs w:val="22"/>
        </w:rPr>
        <w:t xml:space="preserve">7.5 Summary Recovery:</w:t>
      </w:r>
      <w:r>
        <w:rPr>
          <w:b w:val="false"/>
          <w:bCs w:val="false"/>
          <w:i w:val="false"/>
          <w:iCs w:val="false"/>
          <w:sz w:val="22"/>
          <w:szCs w:val="22"/>
        </w:rPr>
        <w:t xml:space="preserve"> Notwithstanding anything to the contrary, the Service Provider shall be entitled to initiate summary suit proceedings under Order XXXVII of the Code of Civil Procedure, 1908 in respect of unpaid undisputed Invoices, and such proceedings shall not be required to be referred to arbitration under Clause 7.3.</w:t>
      </w:r>
    </w:p>
    <w:p>
      <w:pPr>
        <w:pStyle w:val="Heading1"/>
        <w:spacing w:after="160" w:before="260"/>
      </w:pPr>
      <w:r>
        <w:rPr>
          <w:b/>
          <w:bCs/>
          <w:sz w:val="24"/>
          <w:szCs w:val="24"/>
        </w:rPr>
        <w:t xml:space="preserve">8. DATA PROTECTION</w:t>
      </w:r>
    </w:p>
    <w:p>
      <w:pPr>
        <w:spacing w:after="140" w:line="276"/>
        <w:jc w:val="both"/>
      </w:pPr>
      <w:r>
        <w:rPr>
          <w:b/>
          <w:bCs/>
          <w:i w:val="false"/>
          <w:iCs w:val="false"/>
          <w:sz w:val="22"/>
          <w:szCs w:val="22"/>
        </w:rPr>
        <w:t xml:space="preserve">8.1</w:t>
      </w:r>
      <w:r>
        <w:rPr>
          <w:b w:val="false"/>
          <w:bCs w:val="false"/>
          <w:i w:val="false"/>
          <w:iCs w:val="false"/>
          <w:sz w:val="22"/>
          <w:szCs w:val="22"/>
        </w:rPr>
        <w:t xml:space="preserve"> Both Parties shall comply with the DPDP Act and all other applicable data privacy laws in the performance of this Agreement.</w:t>
      </w:r>
    </w:p>
    <w:p>
      <w:pPr>
        <w:spacing w:after="140" w:line="276"/>
        <w:jc w:val="both"/>
      </w:pPr>
      <w:r>
        <w:rPr>
          <w:b/>
          <w:bCs/>
          <w:i w:val="false"/>
          <w:iCs w:val="false"/>
          <w:sz w:val="22"/>
          <w:szCs w:val="22"/>
        </w:rPr>
        <w:t xml:space="preserve">8.2</w:t>
      </w:r>
      <w:r>
        <w:rPr>
          <w:b w:val="false"/>
          <w:bCs w:val="false"/>
          <w:i w:val="false"/>
          <w:iCs w:val="false"/>
          <w:sz w:val="22"/>
          <w:szCs w:val="22"/>
        </w:rPr>
        <w:t xml:space="preserve"> The Client warrants and represents that it has obtained, and shall continue to obtain, all necessary consents and notices from its employees, travellers, students, end-customers, and other data subjects under Section 6 of the DPDP Act before sharing their Personal Data with the Service Provider through either Booking Channel.</w:t>
      </w:r>
    </w:p>
    <w:p>
      <w:pPr>
        <w:spacing w:after="140" w:line="276"/>
        <w:jc w:val="both"/>
      </w:pPr>
      <w:r>
        <w:rPr>
          <w:b/>
          <w:bCs/>
          <w:i w:val="false"/>
          <w:iCs w:val="false"/>
          <w:sz w:val="22"/>
          <w:szCs w:val="22"/>
        </w:rPr>
        <w:t xml:space="preserve">8.3 Children’s Data:</w:t>
      </w:r>
      <w:r>
        <w:rPr>
          <w:b w:val="false"/>
          <w:bCs w:val="false"/>
          <w:i w:val="false"/>
          <w:iCs w:val="false"/>
          <w:sz w:val="22"/>
          <w:szCs w:val="22"/>
        </w:rPr>
        <w:t xml:space="preserve"> Where the Personal Data of any individual below eighteen (18) years of age, or of any person with a disability having a lawful guardian, is shared with the Service Provider, the Client warrants that it has obtained verifiable consent from the parent or lawful guardian of such individual in accordance with Section 9 of the DPDP Act, and shall identify such Personal Data to the Service Provider at the time of sharing. The Service Provider shall not undertake any tracking, behavioural monitoring, or targeted advertising directed at such individuals.</w:t>
      </w:r>
    </w:p>
    <w:p>
      <w:pPr>
        <w:spacing w:after="140" w:line="276"/>
        <w:jc w:val="both"/>
      </w:pPr>
      <w:r>
        <w:rPr>
          <w:b/>
          <w:bCs/>
          <w:i w:val="false"/>
          <w:iCs w:val="false"/>
          <w:sz w:val="22"/>
          <w:szCs w:val="22"/>
        </w:rPr>
        <w:t xml:space="preserve">8.4</w:t>
      </w:r>
      <w:r>
        <w:rPr>
          <w:b w:val="false"/>
          <w:bCs w:val="false"/>
          <w:i w:val="false"/>
          <w:iCs w:val="false"/>
          <w:sz w:val="22"/>
          <w:szCs w:val="22"/>
        </w:rPr>
        <w:t xml:space="preserve"> The Service Provider shall process such Personal Data solely for the purpose of providing the Services under this Agreement and shall implement and maintain reasonable security safeguards under Section 8(5) of the DPDP Act, including appropriate technical and organisational measures to protect Personal Data against unauthorised access, disclosure, alteration, loss, or misuse. Personal Data shared for travel and visa Bookings shall be used strictly for providing the Services and shall not be used for any unrelated purpose, including marketing activities.</w:t>
      </w:r>
    </w:p>
    <w:p>
      <w:pPr>
        <w:spacing w:after="140" w:line="276"/>
        <w:jc w:val="both"/>
      </w:pPr>
      <w:r>
        <w:rPr>
          <w:b/>
          <w:bCs/>
          <w:i w:val="false"/>
          <w:iCs w:val="false"/>
          <w:sz w:val="22"/>
          <w:szCs w:val="22"/>
        </w:rPr>
        <w:t xml:space="preserve">8.5</w:t>
      </w:r>
      <w:r>
        <w:rPr>
          <w:b w:val="false"/>
          <w:bCs w:val="false"/>
          <w:i w:val="false"/>
          <w:iCs w:val="false"/>
          <w:sz w:val="22"/>
          <w:szCs w:val="22"/>
        </w:rPr>
        <w:t xml:space="preserve"> The Service Provider shall ensure that its personnel and any sub-processors are bound by confidentiality and data protection obligations no less stringent than those set out in this Agreement.</w:t>
      </w:r>
    </w:p>
    <w:p>
      <w:pPr>
        <w:spacing w:after="140" w:line="276"/>
        <w:jc w:val="both"/>
      </w:pPr>
      <w:r>
        <w:rPr>
          <w:b/>
          <w:bCs/>
          <w:i w:val="false"/>
          <w:iCs w:val="false"/>
          <w:sz w:val="22"/>
          <w:szCs w:val="22"/>
        </w:rPr>
        <w:t xml:space="preserve">8.6 Cross-Border Transfer:</w:t>
      </w:r>
      <w:r>
        <w:rPr>
          <w:b w:val="false"/>
          <w:bCs w:val="false"/>
          <w:i w:val="false"/>
          <w:iCs w:val="false"/>
          <w:sz w:val="22"/>
          <w:szCs w:val="22"/>
        </w:rPr>
        <w:t xml:space="preserve"> The Client acknowledges that the performance of the Services necessarily requires the transfer of Personal Data outside India to Suppliers, consular and immigration authorities, and other third parties in the destination and transit jurisdictions. The Client authorises such transfers, and the Service Provider shall effect them only to the extent necessary for the provision of the Services and only to jurisdictions not restricted by the Central Government under Section 16 of the DPDP Act, subject in each case to appropriate contractual safeguards.</w:t>
      </w:r>
    </w:p>
    <w:p>
      <w:pPr>
        <w:spacing w:after="140" w:line="276"/>
        <w:jc w:val="both"/>
      </w:pPr>
      <w:r>
        <w:rPr>
          <w:b/>
          <w:bCs/>
          <w:i w:val="false"/>
          <w:iCs w:val="false"/>
          <w:sz w:val="22"/>
          <w:szCs w:val="22"/>
        </w:rPr>
        <w:t xml:space="preserve">8.7</w:t>
      </w:r>
      <w:r>
        <w:rPr>
          <w:b w:val="false"/>
          <w:bCs w:val="false"/>
          <w:i w:val="false"/>
          <w:iCs w:val="false"/>
          <w:sz w:val="22"/>
          <w:szCs w:val="22"/>
        </w:rPr>
        <w:t xml:space="preserve"> In the event of any Personal Data breach, the Party becoming aware of such breach shall notify the other Party as soon as reasonably practicable and in any event within seventy-two (72) hours of becoming aware. The Parties shall cooperate in good faith to mitigate the impact of such breach and to comply with their respective obligations under the DPDP Act, including any notification obligations to the Data Protection Board of India.</w:t>
      </w:r>
    </w:p>
    <w:p>
      <w:pPr>
        <w:spacing w:after="140" w:line="276"/>
        <w:jc w:val="both"/>
      </w:pPr>
      <w:r>
        <w:rPr>
          <w:b/>
          <w:bCs/>
          <w:i w:val="false"/>
          <w:iCs w:val="false"/>
          <w:sz w:val="22"/>
          <w:szCs w:val="22"/>
        </w:rPr>
        <w:t xml:space="preserve">8.8 Liability for Data Breach:</w:t>
      </w:r>
      <w:r>
        <w:rPr>
          <w:b w:val="false"/>
          <w:bCs w:val="false"/>
          <w:i w:val="false"/>
          <w:iCs w:val="false"/>
          <w:sz w:val="22"/>
          <w:szCs w:val="22"/>
        </w:rPr>
        <w:t xml:space="preserve"> Where a Personal Data breach is caused by the gross negligence or wilful misconduct of a Party, that Party shall be liable for the resulting losses subject to the carve-outs and caps set out in Clause 6.5.</w:t>
      </w:r>
    </w:p>
    <w:p>
      <w:pPr>
        <w:pStyle w:val="Heading1"/>
        <w:spacing w:after="160" w:before="260"/>
      </w:pPr>
      <w:r>
        <w:rPr>
          <w:b/>
          <w:bCs/>
          <w:sz w:val="24"/>
          <w:szCs w:val="24"/>
        </w:rPr>
        <w:t xml:space="preserve">9. INTELLECTUAL PROPERTY</w:t>
      </w:r>
    </w:p>
    <w:p>
      <w:pPr>
        <w:spacing w:after="140" w:line="276"/>
        <w:jc w:val="both"/>
      </w:pPr>
      <w:r>
        <w:rPr>
          <w:b/>
          <w:bCs/>
          <w:i w:val="false"/>
          <w:iCs w:val="false"/>
          <w:sz w:val="22"/>
          <w:szCs w:val="22"/>
        </w:rPr>
        <w:t xml:space="preserve">9.1</w:t>
      </w:r>
      <w:r>
        <w:rPr>
          <w:b w:val="false"/>
          <w:bCs w:val="false"/>
          <w:i w:val="false"/>
          <w:iCs w:val="false"/>
          <w:sz w:val="22"/>
          <w:szCs w:val="22"/>
        </w:rPr>
        <w:t xml:space="preserve"> All intellectual property rights, technology, trademarks, booking platforms, software, source code, brands, and proprietary materials of either Party shall remain the exclusive property of that Party. Nothing in this Agreement shall be construed as a transfer or assignment of any such intellectual property rights.</w:t>
      </w:r>
    </w:p>
    <w:p>
      <w:pPr>
        <w:spacing w:after="140" w:line="276"/>
        <w:jc w:val="both"/>
      </w:pPr>
      <w:r>
        <w:rPr>
          <w:b/>
          <w:bCs/>
          <w:i w:val="false"/>
          <w:iCs w:val="false"/>
          <w:sz w:val="22"/>
          <w:szCs w:val="22"/>
        </w:rPr>
        <w:t xml:space="preserve">9.2</w:t>
      </w:r>
      <w:r>
        <w:rPr>
          <w:b w:val="false"/>
          <w:bCs w:val="false"/>
          <w:i w:val="false"/>
          <w:iCs w:val="false"/>
          <w:sz w:val="22"/>
          <w:szCs w:val="22"/>
        </w:rPr>
        <w:t xml:space="preserve"> The Service Provider hereby grants the Client a limited, non-exclusive, non-transferable, non-sublicensable, revocable licence to access and use its proprietary platforms, including the SBT and Helloviza.com, solely during the Term of this Agreement, solely through Authorised Users, and solely for the purpose of availing the Services.</w:t>
      </w:r>
    </w:p>
    <w:p>
      <w:pPr>
        <w:spacing w:after="140" w:line="276"/>
        <w:jc w:val="both"/>
      </w:pPr>
      <w:r>
        <w:rPr>
          <w:b/>
          <w:bCs/>
          <w:i w:val="false"/>
          <w:iCs w:val="false"/>
          <w:sz w:val="22"/>
          <w:szCs w:val="22"/>
        </w:rPr>
        <w:t xml:space="preserve">9.3</w:t>
      </w:r>
      <w:r>
        <w:rPr>
          <w:b w:val="false"/>
          <w:bCs w:val="false"/>
          <w:i w:val="false"/>
          <w:iCs w:val="false"/>
          <w:sz w:val="22"/>
          <w:szCs w:val="22"/>
        </w:rPr>
        <w:t xml:space="preserve"> The Client shall not, and shall procure that its Authorised Users shall not, (a) reverse engineer, decompile, disassemble, or attempt to derive the source code of the SBT or any of the Service Provider’s platforms; (b) use any robot, scraper, or automated means to access, extract, or index inventory, fares, or rates from the SBT; (c) remove or alter any proprietary notices; or (d) use the Service Provider’s name, logo, or trademarks without prior written consent, except for internal identification purposes.</w:t>
      </w:r>
    </w:p>
    <w:p>
      <w:pPr>
        <w:spacing w:after="140" w:line="276"/>
        <w:jc w:val="both"/>
      </w:pPr>
      <w:r>
        <w:rPr>
          <w:b/>
          <w:bCs/>
          <w:i w:val="false"/>
          <w:iCs w:val="false"/>
          <w:sz w:val="22"/>
          <w:szCs w:val="22"/>
        </w:rPr>
        <w:t xml:space="preserve">9.4 Client Data:</w:t>
      </w:r>
      <w:r>
        <w:rPr>
          <w:b w:val="false"/>
          <w:bCs w:val="false"/>
          <w:i w:val="false"/>
          <w:iCs w:val="false"/>
          <w:sz w:val="22"/>
          <w:szCs w:val="22"/>
        </w:rPr>
        <w:t xml:space="preserve"> All booking data, traveller data, spend data, and reports generated within the SBT in respect of the Client shall remain the property of the Client. The Service Provider may use anonymised and aggregated data derived therefrom, from which the Client and its travellers cannot reasonably be identified, for benchmarking, analytics, and product improvement purposes.</w:t>
      </w:r>
    </w:p>
    <w:p>
      <w:pPr>
        <w:spacing w:after="140" w:line="276"/>
        <w:jc w:val="both"/>
      </w:pPr>
      <w:r>
        <w:rPr>
          <w:b/>
          <w:bCs/>
          <w:i w:val="false"/>
          <w:iCs w:val="false"/>
          <w:sz w:val="22"/>
          <w:szCs w:val="22"/>
        </w:rPr>
        <w:t xml:space="preserve">9.5 Reference Rights:</w:t>
      </w:r>
      <w:r>
        <w:rPr>
          <w:b w:val="false"/>
          <w:bCs w:val="false"/>
          <w:i w:val="false"/>
          <w:iCs w:val="false"/>
          <w:sz w:val="22"/>
          <w:szCs w:val="22"/>
        </w:rPr>
        <w:t xml:space="preserve"> The Client grants the Service Provider a non-exclusive, royalty-free right to identify the Client by name and logo as a customer in its customer lists, website, and marketing materials, subject to the Client’s reasonable branding guidelines. The Client may withdraw this right at any time by thirty (30) days’ written notice, upon which the Service Provider shall cease such use in all materials published thereafter.</w:t>
      </w:r>
    </w:p>
    <w:p>
      <w:pPr>
        <w:pStyle w:val="Heading1"/>
        <w:spacing w:after="160" w:before="260"/>
      </w:pPr>
      <w:r>
        <w:rPr>
          <w:b/>
          <w:bCs/>
          <w:sz w:val="24"/>
          <w:szCs w:val="24"/>
        </w:rPr>
        <w:t xml:space="preserve">10. ANTI-BRIBERY, SANCTIONS AND COMPLIANCE</w:t>
      </w:r>
    </w:p>
    <w:p>
      <w:pPr>
        <w:spacing w:after="140" w:line="276"/>
        <w:jc w:val="both"/>
      </w:pPr>
      <w:r>
        <w:rPr>
          <w:b/>
          <w:bCs/>
          <w:i w:val="false"/>
          <w:iCs w:val="false"/>
          <w:sz w:val="22"/>
          <w:szCs w:val="22"/>
        </w:rPr>
        <w:t xml:space="preserve">10.1</w:t>
      </w:r>
      <w:r>
        <w:rPr>
          <w:b w:val="false"/>
          <w:bCs w:val="false"/>
          <w:i w:val="false"/>
          <w:iCs w:val="false"/>
          <w:sz w:val="22"/>
          <w:szCs w:val="22"/>
        </w:rPr>
        <w:t xml:space="preserve"> Each Party warrants that it shall comply with all applicable anti-bribery and anti-corruption laws, including the Prevention of Corruption Act, 1988, in the performance of its obligations under this Agreement, and shall not, directly or indirectly, offer, give, or accept any bribe, kickback, or improper payment. Without prejudice to the generality of the foregoing, the Parties record that the Loyalty Points contemplated under Clause 3.16 accrue exclusively to the Client as a body corporate and constitute a volume rebate on Service Charges; no benefit, reward, or inducement of any kind shall be offered by the Service Provider to, or accepted by, any individual employee, director, or officer of the Client in a personal capacity in consideration of the placement of business under this Agreement.</w:t>
      </w:r>
    </w:p>
    <w:p>
      <w:pPr>
        <w:spacing w:after="140" w:line="276"/>
        <w:jc w:val="both"/>
      </w:pPr>
      <w:r>
        <w:rPr>
          <w:b/>
          <w:bCs/>
          <w:i w:val="false"/>
          <w:iCs w:val="false"/>
          <w:sz w:val="22"/>
          <w:szCs w:val="22"/>
        </w:rPr>
        <w:t xml:space="preserve">10.2</w:t>
      </w:r>
      <w:r>
        <w:rPr>
          <w:b w:val="false"/>
          <w:bCs w:val="false"/>
          <w:i w:val="false"/>
          <w:iCs w:val="false"/>
          <w:sz w:val="22"/>
          <w:szCs w:val="22"/>
        </w:rPr>
        <w:t xml:space="preserve"> Each Party warrants that it is not, and shall not become, a person or entity subject to any economic or trade sanctions imposed by the Government of India, the United Nations, the United States, the European Union, or the United Kingdom.</w:t>
      </w:r>
    </w:p>
    <w:p>
      <w:pPr>
        <w:pStyle w:val="Heading1"/>
        <w:spacing w:after="160" w:before="260"/>
      </w:pPr>
      <w:r>
        <w:rPr>
          <w:b/>
          <w:bCs/>
          <w:sz w:val="24"/>
          <w:szCs w:val="24"/>
        </w:rPr>
        <w:t xml:space="preserve">11. FORCE MAJEURE</w:t>
      </w:r>
    </w:p>
    <w:p>
      <w:pPr>
        <w:spacing w:after="140" w:line="276"/>
        <w:jc w:val="both"/>
      </w:pPr>
      <w:r>
        <w:rPr>
          <w:b/>
          <w:bCs/>
          <w:i w:val="false"/>
          <w:iCs w:val="false"/>
          <w:sz w:val="22"/>
          <w:szCs w:val="22"/>
        </w:rPr>
        <w:t xml:space="preserve">11.1</w:t>
      </w:r>
      <w:r>
        <w:rPr>
          <w:b w:val="false"/>
          <w:bCs w:val="false"/>
          <w:i w:val="false"/>
          <w:iCs w:val="false"/>
          <w:sz w:val="22"/>
          <w:szCs w:val="22"/>
        </w:rPr>
        <w:t xml:space="preserve"> Neither Party shall be liable for any failure or delay in the performance of its obligations under this Agreement (other than payment obligations in respect of Services already availed) caused by events beyond its reasonable control, including but not limited to acts of God, war, terrorism, civil unrest, government action, epidemics or pandemics, failure of public infrastructure or telecommunications networks, airline or hotel Supplier failures, or natural disasters (each, a </w:t>
      </w:r>
      <w:r>
        <w:rPr>
          <w:b/>
          <w:bCs/>
          <w:i w:val="false"/>
          <w:iCs w:val="false"/>
          <w:sz w:val="22"/>
          <w:szCs w:val="22"/>
        </w:rPr>
        <w:t xml:space="preserve">"Force Majeure Event"</w:t>
      </w:r>
      <w:r>
        <w:rPr>
          <w:b w:val="false"/>
          <w:bCs w:val="false"/>
          <w:i w:val="false"/>
          <w:iCs w:val="false"/>
          <w:sz w:val="22"/>
          <w:szCs w:val="22"/>
        </w:rPr>
        <w:t xml:space="preserve">).</w:t>
      </w:r>
    </w:p>
    <w:p>
      <w:pPr>
        <w:spacing w:after="140" w:line="276"/>
        <w:jc w:val="both"/>
      </w:pPr>
      <w:r>
        <w:rPr>
          <w:b/>
          <w:bCs/>
          <w:i w:val="false"/>
          <w:iCs w:val="false"/>
          <w:sz w:val="22"/>
          <w:szCs w:val="22"/>
        </w:rPr>
        <w:t xml:space="preserve">11.2</w:t>
      </w:r>
      <w:r>
        <w:rPr>
          <w:b w:val="false"/>
          <w:bCs w:val="false"/>
          <w:i w:val="false"/>
          <w:iCs w:val="false"/>
          <w:sz w:val="22"/>
          <w:szCs w:val="22"/>
        </w:rPr>
        <w:t xml:space="preserve"> The Party affected by a Force Majeure Event shall notify the other Party in writing within seven (7) business days of the event arising, specifying the nature, expected duration, and impact of the event.</w:t>
      </w:r>
    </w:p>
    <w:p>
      <w:pPr>
        <w:spacing w:after="140" w:line="276"/>
        <w:jc w:val="both"/>
      </w:pPr>
      <w:r>
        <w:rPr>
          <w:b/>
          <w:bCs/>
          <w:i w:val="false"/>
          <w:iCs w:val="false"/>
          <w:sz w:val="22"/>
          <w:szCs w:val="22"/>
        </w:rPr>
        <w:t xml:space="preserve">11.3</w:t>
      </w:r>
      <w:r>
        <w:rPr>
          <w:b w:val="false"/>
          <w:bCs w:val="false"/>
          <w:i w:val="false"/>
          <w:iCs w:val="false"/>
          <w:sz w:val="22"/>
          <w:szCs w:val="22"/>
        </w:rPr>
        <w:t xml:space="preserve"> If a Force Majeure Event continues for a period exceeding ninety (90) days, either Party may terminate this Agreement by giving fifteen (15) days’ written notice to the other, without any liability to the other Party, save for amounts accrued and payable up to the date of termination.</w:t>
      </w:r>
    </w:p>
    <w:p>
      <w:pPr>
        <w:pStyle w:val="Heading1"/>
        <w:spacing w:after="160" w:before="260"/>
      </w:pPr>
      <w:r>
        <w:rPr>
          <w:b/>
          <w:bCs/>
          <w:sz w:val="24"/>
          <w:szCs w:val="24"/>
        </w:rPr>
        <w:t xml:space="preserve">12. NON-SOLICITATION</w:t>
      </w:r>
    </w:p>
    <w:p>
      <w:pPr>
        <w:spacing w:after="140" w:line="276"/>
        <w:jc w:val="both"/>
      </w:pPr>
      <w:r>
        <w:rPr>
          <w:b/>
          <w:bCs/>
          <w:i w:val="false"/>
          <w:iCs w:val="false"/>
          <w:sz w:val="22"/>
          <w:szCs w:val="22"/>
        </w:rPr>
        <w:t xml:space="preserve">12.1</w:t>
      </w:r>
      <w:r>
        <w:rPr>
          <w:b w:val="false"/>
          <w:bCs w:val="false"/>
          <w:i w:val="false"/>
          <w:iCs w:val="false"/>
          <w:sz w:val="22"/>
          <w:szCs w:val="22"/>
        </w:rPr>
        <w:t xml:space="preserve"> During the Term and for a period of twelve (12) months thereafter, neither Party shall directly or indirectly solicit for employment or engagement any employee of the other Party who has been materially involved in the performance or receipt of the Services, without the prior written consent of the other Party.</w:t>
      </w:r>
    </w:p>
    <w:p>
      <w:pPr>
        <w:spacing w:after="140" w:line="276"/>
        <w:jc w:val="both"/>
      </w:pPr>
      <w:r>
        <w:rPr>
          <w:b/>
          <w:bCs/>
          <w:i w:val="false"/>
          <w:iCs w:val="false"/>
          <w:sz w:val="22"/>
          <w:szCs w:val="22"/>
        </w:rPr>
        <w:t xml:space="preserve">12.2</w:t>
      </w:r>
      <w:r>
        <w:rPr>
          <w:b w:val="false"/>
          <w:bCs w:val="false"/>
          <w:i w:val="false"/>
          <w:iCs w:val="false"/>
          <w:sz w:val="22"/>
          <w:szCs w:val="22"/>
        </w:rPr>
        <w:t xml:space="preserve"> Clause 12.1 shall not restrict either Party from (a) engaging any person who responds to a general advertisement or recruitment campaign not specifically directed at the other Party’s personnel; or (b) engaging any person whose employment with the other Party ceased at least six (6) months prior to the commencement of discussions.</w:t>
      </w:r>
    </w:p>
    <w:p>
      <w:pPr>
        <w:pStyle w:val="Heading1"/>
        <w:spacing w:after="160" w:before="260"/>
      </w:pPr>
      <w:r>
        <w:rPr>
          <w:b/>
          <w:bCs/>
          <w:sz w:val="24"/>
          <w:szCs w:val="24"/>
        </w:rPr>
        <w:t xml:space="preserve">13. MISCELLANEOUS</w:t>
      </w:r>
    </w:p>
    <w:p>
      <w:pPr>
        <w:spacing w:after="140" w:line="276"/>
        <w:jc w:val="both"/>
      </w:pPr>
      <w:r>
        <w:rPr>
          <w:b/>
          <w:bCs/>
          <w:i w:val="false"/>
          <w:iCs w:val="false"/>
          <w:sz w:val="22"/>
          <w:szCs w:val="22"/>
        </w:rPr>
        <w:t xml:space="preserve">13.1 Entire Agreement:</w:t>
      </w:r>
      <w:r>
        <w:rPr>
          <w:b w:val="false"/>
          <w:bCs w:val="false"/>
          <w:i w:val="false"/>
          <w:iCs w:val="false"/>
          <w:sz w:val="22"/>
          <w:szCs w:val="22"/>
        </w:rPr>
        <w:t xml:space="preserve"> This Agreement, together with its Annexures, constitutes the entire agreement between the Parties and supersedes all prior agreements, understandings, negotiations, and discussions, whether written or oral, relating to the subject matter hereof.</w:t>
      </w:r>
    </w:p>
    <w:p>
      <w:pPr>
        <w:spacing w:after="140" w:line="276"/>
        <w:jc w:val="both"/>
      </w:pPr>
      <w:r>
        <w:rPr>
          <w:b/>
          <w:bCs/>
          <w:i w:val="false"/>
          <w:iCs w:val="false"/>
          <w:sz w:val="22"/>
          <w:szCs w:val="22"/>
        </w:rPr>
        <w:t xml:space="preserve">13.2 Amendment:</w:t>
      </w:r>
      <w:r>
        <w:rPr>
          <w:b w:val="false"/>
          <w:bCs w:val="false"/>
          <w:i w:val="false"/>
          <w:iCs w:val="false"/>
          <w:sz w:val="22"/>
          <w:szCs w:val="22"/>
        </w:rPr>
        <w:t xml:space="preserve"> No amendment or modification of this Agreement shall be valid or binding unless made in writing and signed by the duly authorised representatives of both Parties; provided that operational matters expressly contemplated to be modifiable by email exchange (such as Credit Limit revisions under Annexure I, Travel Policy changes under Clause 2.8, and Authorised Representative updates) may be so modified.</w:t>
      </w:r>
    </w:p>
    <w:p>
      <w:pPr>
        <w:spacing w:after="140" w:line="276"/>
        <w:jc w:val="both"/>
      </w:pPr>
      <w:r>
        <w:rPr>
          <w:b/>
          <w:bCs/>
          <w:i w:val="false"/>
          <w:iCs w:val="false"/>
          <w:sz w:val="22"/>
          <w:szCs w:val="22"/>
        </w:rPr>
        <w:t xml:space="preserve">13.3 Assignment:</w:t>
      </w:r>
      <w:r>
        <w:rPr>
          <w:b w:val="false"/>
          <w:bCs w:val="false"/>
          <w:i w:val="false"/>
          <w:iCs w:val="false"/>
          <w:sz w:val="22"/>
          <w:szCs w:val="22"/>
        </w:rPr>
        <w:t xml:space="preserve"> Neither Party may assign or transfer its rights or obligations under this Agreement without the prior written consent of the other Party, such consent not to be unreasonably withheld; provided that the Service Provider may assign this Agreement to an affiliate or to a successor entity in the event of a merger, acquisition, or corporate restructuring upon written notice to the Client.</w:t>
      </w:r>
    </w:p>
    <w:p>
      <w:pPr>
        <w:spacing w:after="140" w:line="276"/>
        <w:jc w:val="both"/>
      </w:pPr>
      <w:r>
        <w:rPr>
          <w:b/>
          <w:bCs/>
          <w:i w:val="false"/>
          <w:iCs w:val="false"/>
          <w:sz w:val="22"/>
          <w:szCs w:val="22"/>
        </w:rPr>
        <w:t xml:space="preserve">13.4 Severability:</w:t>
      </w:r>
      <w:r>
        <w:rPr>
          <w:b w:val="false"/>
          <w:bCs w:val="false"/>
          <w:i w:val="false"/>
          <w:iCs w:val="false"/>
          <w:sz w:val="22"/>
          <w:szCs w:val="22"/>
        </w:rPr>
        <w:t xml:space="preserve"> If any provision of this Agreement is held by a court or tribunal of competent jurisdiction to be invalid, illegal, or unenforceable, the remaining provisions shall continue in full force and effect, and the Parties shall negotiate in good faith to replace the affected provision with a valid, enforceable provision that most closely reflects the original intent.</w:t>
      </w:r>
    </w:p>
    <w:p>
      <w:pPr>
        <w:spacing w:after="140" w:line="276"/>
        <w:jc w:val="both"/>
      </w:pPr>
      <w:r>
        <w:rPr>
          <w:b/>
          <w:bCs/>
          <w:i w:val="false"/>
          <w:iCs w:val="false"/>
          <w:sz w:val="22"/>
          <w:szCs w:val="22"/>
        </w:rPr>
        <w:t xml:space="preserve">13.5 Notices:</w:t>
      </w:r>
      <w:r>
        <w:rPr>
          <w:b w:val="false"/>
          <w:bCs w:val="false"/>
          <w:i w:val="false"/>
          <w:iCs w:val="false"/>
          <w:sz w:val="22"/>
          <w:szCs w:val="22"/>
        </w:rPr>
        <w:t xml:space="preserve"> All notices and communications required to be given in writing under this Agreement shall be delivered by (a) email to the designated email addresses of the Authorised Representatives set out in Annexure I, with delivery presumed within forty-eight (48) hours of dispatch unless a bounce-back or non-delivery report is received by the sender; or (b) registered post or reputed courier to the registered offices of the Parties as set out in this Agreement, with delivery presumed within three (3) business days of dispatch.</w:t>
      </w:r>
    </w:p>
    <w:p>
      <w:pPr>
        <w:spacing w:after="140" w:line="276"/>
        <w:jc w:val="both"/>
      </w:pPr>
      <w:r>
        <w:rPr>
          <w:b/>
          <w:bCs/>
          <w:i w:val="false"/>
          <w:iCs w:val="false"/>
          <w:sz w:val="22"/>
          <w:szCs w:val="22"/>
        </w:rPr>
        <w:t xml:space="preserve">13.6 Relationship of Parties:</w:t>
      </w:r>
      <w:r>
        <w:rPr>
          <w:b w:val="false"/>
          <w:bCs w:val="false"/>
          <w:i w:val="false"/>
          <w:iCs w:val="false"/>
          <w:sz w:val="22"/>
          <w:szCs w:val="22"/>
        </w:rPr>
        <w:t xml:space="preserve"> The Parties are independent contractors. Nothing in this Agreement shall be construed to create a partnership, joint venture, agency, or employment relationship between the Parties.</w:t>
      </w:r>
    </w:p>
    <w:p>
      <w:pPr>
        <w:spacing w:after="140" w:line="276"/>
        <w:jc w:val="both"/>
      </w:pPr>
      <w:r>
        <w:rPr>
          <w:b/>
          <w:bCs/>
          <w:i w:val="false"/>
          <w:iCs w:val="false"/>
          <w:sz w:val="22"/>
          <w:szCs w:val="22"/>
        </w:rPr>
        <w:t xml:space="preserve">13.7 Waiver:</w:t>
      </w:r>
      <w:r>
        <w:rPr>
          <w:b w:val="false"/>
          <w:bCs w:val="false"/>
          <w:i w:val="false"/>
          <w:iCs w:val="false"/>
          <w:sz w:val="22"/>
          <w:szCs w:val="22"/>
        </w:rPr>
        <w:t xml:space="preserve"> No waiver of any provision of this Agreement shall be effective unless in writing and signed by the waiving Party. No failure or delay in exercising any right shall operate as a waiver thereof.</w:t>
      </w:r>
    </w:p>
    <w:p>
      <w:pPr>
        <w:spacing w:after="140" w:line="276"/>
        <w:jc w:val="both"/>
      </w:pPr>
      <w:r>
        <w:rPr>
          <w:b/>
          <w:bCs/>
          <w:i w:val="false"/>
          <w:iCs w:val="false"/>
          <w:sz w:val="22"/>
          <w:szCs w:val="22"/>
        </w:rPr>
        <w:t xml:space="preserve">13.8 Counterparts and Electronic Execution:</w:t>
      </w:r>
      <w:r>
        <w:rPr>
          <w:b w:val="false"/>
          <w:bCs w:val="false"/>
          <w:i w:val="false"/>
          <w:iCs w:val="false"/>
          <w:sz w:val="22"/>
          <w:szCs w:val="22"/>
        </w:rPr>
        <w:t xml:space="preserve"> This Agreement may be executed in counterparts, each of which shall be deemed an original, and all of which together shall constitute one and the same instrument. Execution by electronic signature or by exchange of scanned executed counterparts via email shall be deemed valid and binding.</w:t>
      </w:r>
    </w:p>
    <w:p>
      <w:pPr>
        <w:spacing w:after="140" w:line="276"/>
        <w:jc w:val="both"/>
      </w:pPr>
      <w:r>
        <w:rPr>
          <w:b/>
          <w:bCs/>
          <w:i w:val="false"/>
          <w:iCs w:val="false"/>
          <w:sz w:val="22"/>
          <w:szCs w:val="22"/>
        </w:rPr>
        <w:t xml:space="preserve">13.9 Language:</w:t>
      </w:r>
      <w:r>
        <w:rPr>
          <w:b w:val="false"/>
          <w:bCs w:val="false"/>
          <w:i w:val="false"/>
          <w:iCs w:val="false"/>
          <w:sz w:val="22"/>
          <w:szCs w:val="22"/>
        </w:rPr>
        <w:t xml:space="preserve"> This Agreement is executed in the English language, which shall be the governing language for all purposes of interpretation and dispute resolution.</w:t>
      </w:r>
    </w:p>
    <w:p>
      <w:pPr>
        <w:spacing w:after="140" w:line="276"/>
        <w:jc w:val="both"/>
      </w:pPr>
      <w:r>
        <w:rPr>
          <w:b/>
          <w:bCs/>
          <w:i w:val="false"/>
          <w:iCs w:val="false"/>
          <w:sz w:val="22"/>
          <w:szCs w:val="22"/>
        </w:rPr>
        <w:t xml:space="preserve">13.10 Annexures:</w:t>
      </w:r>
      <w:r>
        <w:rPr>
          <w:b w:val="false"/>
          <w:bCs w:val="false"/>
          <w:i w:val="false"/>
          <w:iCs w:val="false"/>
          <w:sz w:val="22"/>
          <w:szCs w:val="22"/>
        </w:rPr>
        <w:t xml:space="preserve"> The following Annexures form an integral part of this Agreement:</w:t>
      </w:r>
    </w:p>
    <w:p>
      <w:pPr>
        <w:spacing w:after="60" w:line="276"/>
        <w:ind w:left="720"/>
        <w:jc w:val="both"/>
      </w:pPr>
      <w:r>
        <w:rPr>
          <w:b w:val="false"/>
          <w:bCs w:val="false"/>
          <w:i w:val="false"/>
          <w:iCs w:val="false"/>
          <w:sz w:val="22"/>
          <w:szCs w:val="22"/>
        </w:rPr>
        <w:t xml:space="preserve">(i) </w:t>
      </w:r>
      <w:r>
        <w:rPr>
          <w:b/>
          <w:bCs/>
          <w:i w:val="false"/>
          <w:iCs w:val="false"/>
          <w:sz w:val="22"/>
          <w:szCs w:val="22"/>
        </w:rPr>
        <w:t xml:space="preserve">Annexure I — Invoice Model: Credit Limit and Operational Terms</w:t>
      </w:r>
    </w:p>
    <w:p>
      <w:pPr>
        <w:spacing w:after="60" w:line="276"/>
        <w:ind w:left="720"/>
        <w:jc w:val="both"/>
      </w:pPr>
      <w:r>
        <w:rPr>
          <w:b w:val="false"/>
          <w:bCs w:val="false"/>
          <w:i w:val="false"/>
          <w:iCs w:val="false"/>
          <w:sz w:val="22"/>
          <w:szCs w:val="22"/>
        </w:rPr>
        <w:t xml:space="preserve">(ii) </w:t>
      </w:r>
      <w:r>
        <w:rPr>
          <w:b/>
          <w:bCs/>
          <w:i w:val="false"/>
          <w:iCs w:val="false"/>
          <w:sz w:val="22"/>
          <w:szCs w:val="22"/>
        </w:rPr>
        <w:t xml:space="preserve">Annexure II — Scope of Services, Service Channels and Support Matrix</w:t>
      </w:r>
    </w:p>
    <w:p>
      <w:pPr>
        <w:spacing w:after="140" w:line="276"/>
        <w:ind w:left="720"/>
        <w:jc w:val="both"/>
      </w:pPr>
      <w:r>
        <w:rPr>
          <w:b w:val="false"/>
          <w:bCs w:val="false"/>
          <w:i w:val="false"/>
          <w:iCs w:val="false"/>
          <w:sz w:val="22"/>
          <w:szCs w:val="22"/>
        </w:rPr>
        <w:t xml:space="preserve">(iii) </w:t>
      </w:r>
      <w:r>
        <w:rPr>
          <w:b/>
          <w:bCs/>
          <w:i w:val="false"/>
          <w:iCs w:val="false"/>
          <w:sz w:val="22"/>
          <w:szCs w:val="22"/>
        </w:rPr>
        <w:t xml:space="preserve">Annexure III — Commercial Offering and Loyalty Programme</w:t>
      </w:r>
    </w:p>
    <w:p>
      <w:pPr>
        <w:spacing w:after="200"/>
      </w:pPr>
    </w:p>
    <w:p>
      <w:pPr>
        <w:spacing w:after="140" w:line="276"/>
        <w:jc w:val="both"/>
      </w:pPr>
      <w:r>
        <w:rPr>
          <w:b/>
          <w:bCs/>
          <w:i w:val="false"/>
          <w:iCs w:val="false"/>
          <w:sz w:val="22"/>
          <w:szCs w:val="22"/>
        </w:rPr>
        <w:t xml:space="preserve">IN WITNESS WHEREOF</w:t>
      </w:r>
      <w:r>
        <w:rPr>
          <w:b w:val="false"/>
          <w:bCs w:val="false"/>
          <w:i w:val="false"/>
          <w:iCs w:val="false"/>
          <w:sz w:val="22"/>
          <w:szCs w:val="22"/>
        </w:rPr>
        <w:t xml:space="preserve">, the Parties hereto have caused this Agreement to be executed by their duly authorised representatives as of the day, month, and year first above written.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Mar>
              <w:top w:type="dxa" w:w="120"/>
              <w:left w:type="dxa" w:w="140"/>
              <w:bottom w:type="dxa" w:w="120"/>
              <w:right w:type="dxa" w:w="140"/>
            </w:tcMar>
          </w:tcPr>
          <w:p>
            <w:pPr>
              <w:spacing w:after="90" w:line="260"/>
            </w:pPr>
            <w:r>
              <w:rPr>
                <w:b/>
                <w:bCs/>
                <w:sz w:val="20"/>
                <w:szCs w:val="20"/>
              </w:rPr>
              <w:t xml:space="preserve">For Peachmint Trips and Planners Pvt. Ltd.</w:t>
            </w:r>
          </w:p>
          <w:p>
            <w:pPr>
              <w:spacing w:after="90" w:line="260"/>
            </w:pPr>
            <w:r>
              <w:rPr>
                <w:b w:val="false"/>
                <w:bCs w:val="false"/>
                <w:sz w:val="20"/>
                <w:szCs w:val="20"/>
              </w:rPr>
              <w:t xml:space="preserve">(Service Provider)</w:t>
            </w:r>
          </w:p>
          <w:p>
            <w:pPr>
              <w:spacing w:after="90" w:line="260"/>
            </w:pPr>
            <w:r>
              <w:rPr>
                <w:sz w:val="20"/>
                <w:szCs w:val="20"/>
              </w:rPr>
              <w:t xml:space="preserve"/>
            </w:r>
          </w:p>
          <w:p>
            <w:pPr>
              <w:spacing w:after="90" w:line="260"/>
            </w:pPr>
            <w:r>
              <w:rPr>
                <w:b w:val="false"/>
                <w:bCs w:val="false"/>
                <w:sz w:val="20"/>
                <w:szCs w:val="20"/>
              </w:rPr>
              <w:t xml:space="preserve">_______________________________</w:t>
            </w:r>
          </w:p>
          <w:p>
            <w:pPr>
              <w:spacing w:after="90" w:line="260"/>
            </w:pPr>
            <w:r>
              <w:rPr>
                <w:sz w:val="20"/>
                <w:szCs w:val="20"/>
              </w:rPr>
              <w:t xml:space="preserve"/>
            </w:r>
          </w:p>
          <w:p>
            <w:pPr>
              <w:spacing w:after="90" w:line="260"/>
            </w:pPr>
            <w:r>
              <w:rPr>
                <w:b w:val="false"/>
                <w:bCs w:val="false"/>
                <w:sz w:val="20"/>
                <w:szCs w:val="20"/>
              </w:rPr>
              <w:t xml:space="preserve">Name: Saurabh Kumar Jha</w:t>
            </w:r>
          </w:p>
          <w:p>
            <w:pPr>
              <w:spacing w:after="90" w:line="260"/>
            </w:pPr>
            <w:r>
              <w:rPr>
                <w:b w:val="false"/>
                <w:bCs w:val="false"/>
                <w:sz w:val="20"/>
                <w:szCs w:val="20"/>
              </w:rPr>
              <w:t xml:space="preserve">Designation: Chief Executive Officer</w:t>
            </w:r>
          </w:p>
          <w:p>
            <w:pPr>
              <w:spacing w:after="90" w:line="260"/>
            </w:pPr>
            <w:r>
              <w:rPr>
                <w:b w:val="false"/>
                <w:bCs w:val="false"/>
                <w:sz w:val="20"/>
                <w:szCs w:val="20"/>
              </w:rPr>
              <w:t xml:space="preserve">GSTIN: 06AAICE3133H1ZW</w:t>
            </w:r>
          </w:p>
          <w:p>
            <w:pPr>
              <w:spacing w:after="90" w:line="260"/>
            </w:pPr>
            <w:r>
              <w:rPr>
                <w:b w:val="false"/>
                <w:bCs w:val="false"/>
                <w:sz w:val="20"/>
                <w:szCs w:val="20"/>
              </w:rPr>
              <w:t xml:space="preserve">CIN: U56210HR2024PTC123583</w:t>
            </w:r>
          </w:p>
          <w:p>
            <w:pPr>
              <w:spacing w:after="90" w:line="260"/>
            </w:pPr>
            <w:r>
              <w:rPr>
                <w:b w:val="false"/>
                <w:bCs w:val="false"/>
                <w:sz w:val="20"/>
                <w:szCs w:val="20"/>
              </w:rPr>
              <w:t xml:space="preserve">PAN: AAICE3133H</w:t>
            </w:r>
          </w:p>
          <w:p>
            <w:pPr>
              <w:spacing w:after="90" w:line="260"/>
            </w:pPr>
            <w:r>
              <w:rPr>
                <w:b w:val="false"/>
                <w:bCs w:val="false"/>
                <w:sz w:val="20"/>
                <w:szCs w:val="20"/>
              </w:rPr>
              <w:t xml:space="preserve">Date: ______________________</w:t>
            </w:r>
          </w:p>
          <w:p>
            <w:pPr>
              <w:spacing w:after="90" w:line="260"/>
            </w:pPr>
            <w:r>
              <w:rPr>
                <w:b w:val="false"/>
                <w:bCs w:val="false"/>
                <w:sz w:val="20"/>
                <w:szCs w:val="20"/>
              </w:rPr>
              <w:t xml:space="preserve">Place: ______________________</w:t>
            </w:r>
          </w:p>
        </w:tc>
        <w:tc>
          <w:tcPr>
            <w:tcW w:type="dxa" w:w="4513"/>
            <w:tcMar>
              <w:top w:type="dxa" w:w="120"/>
              <w:left w:type="dxa" w:w="140"/>
              <w:bottom w:type="dxa" w:w="120"/>
              <w:right w:type="dxa" w:w="140"/>
            </w:tcMar>
          </w:tcPr>
          <w:p>
            <w:pPr>
              <w:spacing w:after="90" w:line="260"/>
            </w:pPr>
            <w:r>
              <w:rPr>
                <w:b/>
                <w:bCs/>
                <w:sz w:val="20"/>
                <w:szCs w:val="20"/>
              </w:rPr>
              <w:t xml:space="preserve">For {client_name}</w:t>
            </w:r>
          </w:p>
          <w:p>
            <w:pPr>
              <w:spacing w:after="90" w:line="260"/>
            </w:pPr>
            <w:r>
              <w:rPr>
                <w:b w:val="false"/>
                <w:bCs w:val="false"/>
                <w:sz w:val="20"/>
                <w:szCs w:val="20"/>
              </w:rPr>
              <w:t xml:space="preserve">(Client)</w:t>
            </w:r>
          </w:p>
          <w:p>
            <w:pPr>
              <w:spacing w:after="90" w:line="260"/>
            </w:pPr>
            <w:r>
              <w:rPr>
                <w:sz w:val="20"/>
                <w:szCs w:val="20"/>
              </w:rPr>
              <w:t xml:space="preserve"/>
            </w:r>
          </w:p>
          <w:p>
            <w:pPr>
              <w:spacing w:after="90" w:line="260"/>
            </w:pPr>
            <w:r>
              <w:rPr>
                <w:b w:val="false"/>
                <w:bCs w:val="false"/>
                <w:sz w:val="20"/>
                <w:szCs w:val="20"/>
              </w:rPr>
              <w:t xml:space="preserve">_______________________________</w:t>
            </w:r>
          </w:p>
          <w:p>
            <w:pPr>
              <w:spacing w:after="90" w:line="260"/>
            </w:pPr>
            <w:r>
              <w:rPr>
                <w:sz w:val="20"/>
                <w:szCs w:val="20"/>
              </w:rPr>
              <w:t xml:space="preserve"/>
            </w:r>
          </w:p>
          <w:p>
            <w:pPr>
              <w:spacing w:after="90" w:line="260"/>
            </w:pPr>
            <w:r>
              <w:rPr>
                <w:b w:val="false"/>
                <w:bCs w:val="false"/>
                <w:sz w:val="20"/>
                <w:szCs w:val="20"/>
              </w:rPr>
              <w:t xml:space="preserve">Name: {client_signatory_name}</w:t>
            </w:r>
          </w:p>
          <w:p>
            <w:pPr>
              <w:spacing w:after="90" w:line="260"/>
            </w:pPr>
            <w:r>
              <w:rPr>
                <w:b w:val="false"/>
                <w:bCs w:val="false"/>
                <w:sz w:val="20"/>
                <w:szCs w:val="20"/>
              </w:rPr>
              <w:t xml:space="preserve">Designation: {client_signatory_designation}</w:t>
            </w:r>
          </w:p>
          <w:p>
            <w:pPr>
              <w:spacing w:after="90" w:line="260"/>
            </w:pPr>
            <w:r>
              <w:rPr>
                <w:b w:val="false"/>
                <w:bCs w:val="false"/>
                <w:sz w:val="20"/>
                <w:szCs w:val="20"/>
              </w:rPr>
              <w:t xml:space="preserve">GSTIN: {client_gstin}</w:t>
            </w:r>
          </w:p>
          <w:p>
            <w:pPr>
              <w:spacing w:after="90" w:line="260"/>
            </w:pPr>
            <w:r>
              <w:rPr>
                <w:b w:val="false"/>
                <w:bCs w:val="false"/>
                <w:sz w:val="20"/>
                <w:szCs w:val="20"/>
              </w:rPr>
              <w:t xml:space="preserve">CIN: {client_cin}</w:t>
            </w:r>
          </w:p>
          <w:p>
            <w:pPr>
              <w:spacing w:after="90" w:line="260"/>
            </w:pPr>
            <w:r>
              <w:rPr>
                <w:b w:val="false"/>
                <w:bCs w:val="false"/>
                <w:sz w:val="20"/>
                <w:szCs w:val="20"/>
              </w:rPr>
              <w:t xml:space="preserve">PAN: {client_pan}</w:t>
            </w:r>
          </w:p>
          <w:p>
            <w:pPr>
              <w:spacing w:after="90" w:line="260"/>
            </w:pPr>
            <w:r>
              <w:rPr>
                <w:b w:val="false"/>
                <w:bCs w:val="false"/>
                <w:sz w:val="20"/>
                <w:szCs w:val="20"/>
              </w:rPr>
              <w:t xml:space="preserve">Date: ______________________</w:t>
            </w:r>
          </w:p>
          <w:p>
            <w:pPr>
              <w:spacing w:after="90" w:line="260"/>
            </w:pPr>
            <w:r>
              <w:rPr>
                <w:b w:val="false"/>
                <w:bCs w:val="false"/>
                <w:sz w:val="20"/>
                <w:szCs w:val="20"/>
              </w:rPr>
              <w:t xml:space="preserve">Place: ______________________</w:t>
            </w:r>
          </w:p>
        </w:tc>
      </w:tr>
    </w:tbl>
    <w:p>
      <w:pPr>
        <w:pageBreakBefore/>
        <w:spacing w:after="60"/>
        <w:jc w:val="center"/>
      </w:pPr>
      <w:r>
        <w:rPr>
          <w:b/>
          <w:bCs/>
          <w:sz w:val="28"/>
          <w:szCs w:val="28"/>
        </w:rPr>
        <w:t xml:space="preserve">ANNEXURE I</w:t>
      </w:r>
    </w:p>
    <w:p>
      <w:pPr>
        <w:spacing w:after="300"/>
        <w:jc w:val="center"/>
      </w:pPr>
      <w:r>
        <w:rPr>
          <w:i/>
          <w:iCs/>
          <w:sz w:val="22"/>
          <w:szCs w:val="22"/>
        </w:rPr>
        <w:t xml:space="preserve">Payment Modes, Credit Limit and Operational Terms</w:t>
      </w:r>
    </w:p>
    <w:p>
      <w:pPr>
        <w:spacing w:after="140" w:line="276"/>
        <w:jc w:val="both"/>
      </w:pPr>
      <w:r>
        <w:rPr>
          <w:b w:val="false"/>
          <w:bCs w:val="false"/>
          <w:i w:val="false"/>
          <w:iCs w:val="false"/>
          <w:sz w:val="22"/>
          <w:szCs w:val="22"/>
        </w:rPr>
        <w:t xml:space="preserve">This Annexure I forms an integral part of the Master Service Agreement dated ______________ (the </w:t>
      </w:r>
      <w:r>
        <w:rPr>
          <w:b/>
          <w:bCs/>
          <w:i w:val="false"/>
          <w:iCs w:val="false"/>
          <w:sz w:val="22"/>
          <w:szCs w:val="22"/>
        </w:rPr>
        <w:t xml:space="preserve">"MSA"</w:t>
      </w:r>
      <w:r>
        <w:rPr>
          <w:b w:val="false"/>
          <w:bCs w:val="false"/>
          <w:i w:val="false"/>
          <w:iCs w:val="false"/>
          <w:sz w:val="22"/>
          <w:szCs w:val="22"/>
        </w:rPr>
        <w:t xml:space="preserve">) between </w:t>
      </w:r>
      <w:r>
        <w:rPr>
          <w:b/>
          <w:bCs/>
          <w:i w:val="false"/>
          <w:iCs w:val="false"/>
          <w:sz w:val="22"/>
          <w:szCs w:val="22"/>
        </w:rPr>
        <w:t xml:space="preserve">Peachmint Trips and Planners Pvt. Ltd.</w:t>
      </w:r>
      <w:r>
        <w:rPr>
          <w:b w:val="false"/>
          <w:bCs w:val="false"/>
          <w:i w:val="false"/>
          <w:iCs w:val="false"/>
          <w:sz w:val="22"/>
          <w:szCs w:val="22"/>
        </w:rPr>
        <w:t xml:space="preserve"> and </w:t>
      </w:r>
      <w:r>
        <w:rPr>
          <w:b/>
          <w:bCs/>
          <w:i w:val="false"/>
          <w:iCs w:val="false"/>
          <w:sz w:val="22"/>
          <w:szCs w:val="22"/>
        </w:rPr>
        <w:t xml:space="preserve">{client_name}</w:t>
      </w:r>
      <w:r>
        <w:rPr>
          <w:b w:val="false"/>
          <w:bCs w:val="false"/>
          <w:i w:val="false"/>
          <w:iCs w:val="false"/>
          <w:sz w:val="22"/>
          <w:szCs w:val="22"/>
        </w:rPr>
        <w:t xml:space="preserve">, and is executed pursuant to Clauses 3.1 to 3.4 thereof. Capitalised terms not defined herein shall have the meanings ascribed to them in the MSA. In the event of any conflict, this Annexure shall prevail solely with respect to the subject matter herein.</w:t>
      </w:r>
    </w:p>
    <w:p>
      <w:pPr>
        <w:pStyle w:val="Heading1"/>
        <w:spacing w:after="160" w:before="260"/>
      </w:pPr>
      <w:r>
        <w:rPr>
          <w:b/>
          <w:bCs/>
          <w:sz w:val="24"/>
          <w:szCs w:val="24"/>
        </w:rPr>
        <w:t xml:space="preserve">1. Payment Modes Activated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326"/>
        <w:gridCol w:w="2300"/>
      </w:tblGrid>
      <w:tr>
        <w:trPr>
          <w:tblHeader/>
        </w:trPr>
        <w:tc>
          <w:tcPr>
            <w:tcW w:type="dxa" w:w="24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Payment Mode</w:t>
            </w:r>
          </w:p>
        </w:tc>
        <w:tc>
          <w:tcPr>
            <w:tcW w:type="dxa" w:w="43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Mechanics</w:t>
            </w:r>
          </w:p>
        </w:tc>
        <w:tc>
          <w:tcPr>
            <w:tcW w:type="dxa" w:w="23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Status on Execution</w:t>
            </w:r>
          </w:p>
        </w:tc>
      </w:tr>
      <w:tr>
        <w:trPr>
          <w:tblHeader w:val="false"/>
        </w:trPr>
        <w:tc>
          <w:tcPr>
            <w:tcW w:type="dxa" w:w="2400"/>
            <w:tcMar>
              <w:top w:type="dxa" w:w="80"/>
              <w:left w:type="dxa" w:w="110"/>
              <w:bottom w:type="dxa" w:w="80"/>
              <w:right w:type="dxa" w:w="110"/>
            </w:tcMar>
          </w:tcPr>
          <w:p>
            <w:pPr>
              <w:spacing w:after="0" w:line="260"/>
              <w:jc w:val="left"/>
            </w:pPr>
            <w:r>
              <w:rPr>
                <w:b w:val="false"/>
                <w:bCs w:val="false"/>
                <w:sz w:val="20"/>
                <w:szCs w:val="20"/>
              </w:rPr>
              <w:t xml:space="preserve">Wallet Model (prepaid)</w:t>
            </w:r>
          </w:p>
        </w:tc>
        <w:tc>
          <w:tcPr>
            <w:tcW w:type="dxa" w:w="4326"/>
            <w:tcMar>
              <w:top w:type="dxa" w:w="80"/>
              <w:left w:type="dxa" w:w="110"/>
              <w:bottom w:type="dxa" w:w="80"/>
              <w:right w:type="dxa" w:w="110"/>
            </w:tcMar>
          </w:tcPr>
          <w:p>
            <w:pPr>
              <w:spacing w:after="0" w:line="260"/>
              <w:jc w:val="left"/>
            </w:pPr>
            <w:r>
              <w:rPr>
                <w:b w:val="false"/>
                <w:bCs w:val="false"/>
                <w:sz w:val="20"/>
                <w:szCs w:val="20"/>
              </w:rPr>
              <w:t xml:space="preserve">Client recharges the Wallet in advance; Service Charges debited on confirmation of each Booking</w:t>
            </w:r>
          </w:p>
        </w:tc>
        <w:tc>
          <w:tcPr>
            <w:tcW w:type="dxa" w:w="2300"/>
            <w:tcMar>
              <w:top w:type="dxa" w:w="80"/>
              <w:left w:type="dxa" w:w="110"/>
              <w:bottom w:type="dxa" w:w="80"/>
              <w:right w:type="dxa" w:w="110"/>
            </w:tcMar>
          </w:tcPr>
          <w:p>
            <w:pPr>
              <w:spacing w:after="0" w:line="260"/>
              <w:jc w:val="left"/>
            </w:pPr>
            <w:r>
              <w:rPr>
                <w:b w:val="false"/>
                <w:bCs w:val="false"/>
                <w:sz w:val="20"/>
                <w:szCs w:val="20"/>
              </w:rPr>
              <w:t xml:space="preserve">{wallet_mode_status}</w:t>
            </w:r>
          </w:p>
        </w:tc>
      </w:tr>
      <w:tr>
        <w:trPr>
          <w:tblHeader w:val="false"/>
        </w:trPr>
        <w:tc>
          <w:tcPr>
            <w:tcW w:type="dxa" w:w="2400"/>
            <w:tcMar>
              <w:top w:type="dxa" w:w="80"/>
              <w:left w:type="dxa" w:w="110"/>
              <w:bottom w:type="dxa" w:w="80"/>
              <w:right w:type="dxa" w:w="110"/>
            </w:tcMar>
          </w:tcPr>
          <w:p>
            <w:pPr>
              <w:spacing w:after="0" w:line="260"/>
              <w:jc w:val="left"/>
            </w:pPr>
            <w:r>
              <w:rPr>
                <w:b w:val="false"/>
                <w:bCs w:val="false"/>
                <w:sz w:val="20"/>
                <w:szCs w:val="20"/>
              </w:rPr>
              <w:t xml:space="preserve">Invoice Model (post-paid)</w:t>
            </w:r>
          </w:p>
        </w:tc>
        <w:tc>
          <w:tcPr>
            <w:tcW w:type="dxa" w:w="4326"/>
            <w:tcMar>
              <w:top w:type="dxa" w:w="80"/>
              <w:left w:type="dxa" w:w="110"/>
              <w:bottom w:type="dxa" w:w="80"/>
              <w:right w:type="dxa" w:w="110"/>
            </w:tcMar>
          </w:tcPr>
          <w:p>
            <w:pPr>
              <w:spacing w:after="0" w:line="260"/>
              <w:jc w:val="left"/>
            </w:pPr>
            <w:r>
              <w:rPr>
                <w:b w:val="false"/>
                <w:bCs w:val="false"/>
                <w:sz w:val="20"/>
                <w:szCs w:val="20"/>
              </w:rPr>
              <w:t xml:space="preserve">Bookings confirmed against the Credit Limit; settled against Invoices on the credit terms below</w:t>
            </w:r>
          </w:p>
        </w:tc>
        <w:tc>
          <w:tcPr>
            <w:tcW w:type="dxa" w:w="2300"/>
            <w:tcMar>
              <w:top w:type="dxa" w:w="80"/>
              <w:left w:type="dxa" w:w="110"/>
              <w:bottom w:type="dxa" w:w="80"/>
              <w:right w:type="dxa" w:w="110"/>
            </w:tcMar>
          </w:tcPr>
          <w:p>
            <w:pPr>
              <w:spacing w:after="0" w:line="260"/>
              <w:jc w:val="left"/>
            </w:pPr>
            <w:r>
              <w:rPr>
                <w:b w:val="false"/>
                <w:bCs w:val="false"/>
                <w:sz w:val="20"/>
                <w:szCs w:val="20"/>
              </w:rPr>
              <w:t xml:space="preserve">{invoice_mode_status}</w:t>
            </w:r>
          </w:p>
        </w:tc>
      </w:tr>
    </w:tbl>
    <w:p>
      <w:pPr>
        <w:spacing w:after="100"/>
      </w:pPr>
    </w:p>
    <w:p>
      <w:pPr>
        <w:spacing w:after="140" w:line="276"/>
        <w:jc w:val="both"/>
      </w:pPr>
      <w:r>
        <w:rPr>
          <w:b w:val="false"/>
          <w:bCs w:val="false"/>
          <w:i w:val="false"/>
          <w:iCs w:val="false"/>
          <w:sz w:val="22"/>
          <w:szCs w:val="22"/>
        </w:rPr>
        <w:t xml:space="preserve">Where both Payment Modes are activated and the Client makes no election at the point of a Booking, the order of application in Clause 3.4 of the MSA shall apply.</w:t>
      </w:r>
    </w:p>
    <w:p>
      <w:pPr>
        <w:spacing w:after="180"/>
      </w:pPr>
    </w:p>
    <w:p>
      <w:pPr>
        <w:pStyle w:val="Heading1"/>
        <w:spacing w:after="160" w:before="260"/>
      </w:pPr>
      <w:r>
        <w:rPr>
          <w:b/>
          <w:bCs/>
          <w:sz w:val="24"/>
          <w:szCs w:val="24"/>
        </w:rPr>
        <w:t xml:space="preserve">2. Wallet Terms (Prepaid)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Parameter</w:t>
            </w:r>
          </w:p>
        </w:tc>
        <w:tc>
          <w:tcPr>
            <w:tcW w:type="dxa" w:w="58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Value / Terms</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Minimum initial recharge</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INR {wallet_min_recharge_inr}</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Minimum subsequent top-up</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INR {wallet_min_topup_inr}</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Low-balance notification threshold</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INR {wallet_low_balance_inr}</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Recharge modes</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NEFT / RTGS / IMPS / UPI, or through the Payment Gateway</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Payment Gateway charges on recharge</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Nil on UPI and net banking; at actuals on credit and debit cards, disclosed prior to recharge</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Interest on Wallet Balance</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Nil; the Wallet Balance is non-interest-bearing</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Nature of Wallet Balance</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Refundable deposit applied as consideration only upon confirmation of a Booking; redeemable solely against Services supplied by the Service Provider</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Wallet statement</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Available on demand through the SBT</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Refund of unused balance</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Within fifteen (15) business days of written request or of termination, net of undisputed dues and confirmed Bookings not yet debited</w:t>
            </w:r>
          </w:p>
        </w:tc>
      </w:tr>
    </w:tbl>
    <w:p>
      <w:pPr>
        <w:spacing w:after="180"/>
      </w:pPr>
    </w:p>
    <w:p>
      <w:pPr>
        <w:pStyle w:val="Heading1"/>
        <w:spacing w:after="160" w:before="260"/>
      </w:pPr>
      <w:r>
        <w:rPr>
          <w:b/>
          <w:bCs/>
          <w:sz w:val="24"/>
          <w:szCs w:val="24"/>
        </w:rPr>
        <w:t xml:space="preserve">3. Credit Terms (Post-Paid Invoice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Parameter</w:t>
            </w:r>
          </w:p>
        </w:tc>
        <w:tc>
          <w:tcPr>
            <w:tcW w:type="dxa" w:w="58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Value / Terms</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Credit Limit</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INR {credit_limit_inr}, aggregate across both Booking Channels</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Credit Period (Due Date)</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{credit_period_days} days from the date of Invoice</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Invoicing Frequency</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Per-Booking, or fortnightly / monthly consolidated at the Service Provider’s option</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Late Payment Interest</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{late_interest_pct}% per annum, accruing from the Due Date</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Mode of Payment</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Electronic bank transfer (NEFT / RTGS / IMPS)</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Currency</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Indian Rupees (INR)</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Foreign Exchange Services</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Advance payment only; outside the Credit Limit and not available under the Invoice Model (Clause 3.17)</w:t>
            </w:r>
          </w:p>
        </w:tc>
      </w:tr>
    </w:tbl>
    <w:p>
      <w:pPr>
        <w:spacing w:after="180"/>
      </w:pPr>
    </w:p>
    <w:p>
      <w:pPr>
        <w:pStyle w:val="Heading1"/>
        <w:spacing w:after="160" w:before="260"/>
      </w:pPr>
      <w:r>
        <w:rPr>
          <w:b/>
          <w:bCs/>
          <w:sz w:val="24"/>
          <w:szCs w:val="24"/>
        </w:rPr>
        <w:t xml:space="preserve">4. Credit Limit Revision Matrix</w:t>
      </w:r>
    </w:p>
    <w:p>
      <w:pPr>
        <w:spacing w:after="140" w:line="276"/>
        <w:jc w:val="both"/>
      </w:pPr>
      <w:r>
        <w:rPr>
          <w:b w:val="false"/>
          <w:bCs w:val="false"/>
          <w:i w:val="false"/>
          <w:iCs w:val="false"/>
          <w:sz w:val="22"/>
          <w:szCs w:val="22"/>
        </w:rPr>
        <w:t xml:space="preserve">The Credit Limit set out above shall be revised in accordance with the matrix below. All revisions shall be effective only upon written approval (including email) by the Service Provider and recorded by way of email exchange between the Authorised Representatives, which shall constitute a binding amendment to this Annexure without re-execution of the MSA.</w:t>
      </w:r>
    </w:p>
    <w:p>
      <w:pPr>
        <w:spacing w:after="140" w:line="276"/>
        <w:jc w:val="both"/>
      </w:pPr>
      <w:r>
        <w:rPr>
          <w:b w:val="false"/>
          <w:bCs w:val="false"/>
          <w:i w:val="false"/>
          <w:iCs w:val="false"/>
          <w:sz w:val="22"/>
          <w:szCs w:val="22"/>
        </w:rPr>
        <w:t xml:space="preserve">For the purposes of this matrix, </w:t>
      </w:r>
      <w:r>
        <w:rPr>
          <w:b/>
          <w:bCs/>
          <w:i w:val="false"/>
          <w:iCs w:val="false"/>
          <w:sz w:val="22"/>
          <w:szCs w:val="22"/>
        </w:rPr>
        <w:t xml:space="preserve">"Utilisation"</w:t>
      </w:r>
      <w:r>
        <w:rPr>
          <w:b w:val="false"/>
          <w:bCs w:val="false"/>
          <w:i w:val="false"/>
          <w:iCs w:val="false"/>
          <w:sz w:val="22"/>
          <w:szCs w:val="22"/>
        </w:rPr>
        <w:t xml:space="preserve"> in respect of any calendar month means the aggregate value of Invoices raised on the Client under the Invoice Model in that month, expressed as a percentage of the Credit Limit then applicable. Bookings settled under the Wallet Model shall be excluded when computing 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26"/>
        <w:gridCol w:w="2100"/>
        <w:gridCol w:w="2400"/>
      </w:tblGrid>
      <w:tr>
        <w:trPr>
          <w:tblHeader/>
        </w:trPr>
        <w:tc>
          <w:tcPr>
            <w:tcW w:type="dxa" w:w="13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Tier</w:t>
            </w:r>
          </w:p>
        </w:tc>
        <w:tc>
          <w:tcPr>
            <w:tcW w:type="dxa" w:w="32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Eligibility</w:t>
            </w:r>
          </w:p>
        </w:tc>
        <w:tc>
          <w:tcPr>
            <w:tcW w:type="dxa" w:w="21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Revised Limit</w:t>
            </w:r>
          </w:p>
        </w:tc>
        <w:tc>
          <w:tcPr>
            <w:tcW w:type="dxa" w:w="24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Approval</w:t>
            </w:r>
          </w:p>
        </w:tc>
      </w:tr>
      <w:tr>
        <w:trPr>
          <w:tblHeader w:val="false"/>
        </w:trPr>
        <w:tc>
          <w:tcPr>
            <w:tcW w:type="dxa" w:w="1300"/>
            <w:tcMar>
              <w:top w:type="dxa" w:w="80"/>
              <w:left w:type="dxa" w:w="110"/>
              <w:bottom w:type="dxa" w:w="80"/>
              <w:right w:type="dxa" w:w="110"/>
            </w:tcMar>
          </w:tcPr>
          <w:p>
            <w:pPr>
              <w:spacing w:after="0" w:line="260"/>
              <w:jc w:val="left"/>
            </w:pPr>
            <w:r>
              <w:rPr>
                <w:b w:val="false"/>
                <w:bCs w:val="false"/>
                <w:sz w:val="20"/>
                <w:szCs w:val="20"/>
              </w:rPr>
              <w:t xml:space="preserve">Tier 1</w:t>
            </w:r>
          </w:p>
        </w:tc>
        <w:tc>
          <w:tcPr>
            <w:tcW w:type="dxa" w:w="3226"/>
            <w:tcMar>
              <w:top w:type="dxa" w:w="80"/>
              <w:left w:type="dxa" w:w="110"/>
              <w:bottom w:type="dxa" w:w="80"/>
              <w:right w:type="dxa" w:w="110"/>
            </w:tcMar>
          </w:tcPr>
          <w:p>
            <w:pPr>
              <w:spacing w:after="0" w:line="260"/>
              <w:jc w:val="left"/>
            </w:pPr>
            <w:r>
              <w:rPr>
                <w:b w:val="false"/>
                <w:bCs w:val="false"/>
                <w:sz w:val="20"/>
                <w:szCs w:val="20"/>
              </w:rPr>
              <w:t xml:space="preserve">On execution of the MSA</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INR {tier1_limit_inr}</w:t>
            </w:r>
          </w:p>
        </w:tc>
        <w:tc>
          <w:tcPr>
            <w:tcW w:type="dxa" w:w="2400"/>
            <w:tcMar>
              <w:top w:type="dxa" w:w="80"/>
              <w:left w:type="dxa" w:w="110"/>
              <w:bottom w:type="dxa" w:w="80"/>
              <w:right w:type="dxa" w:w="110"/>
            </w:tcMar>
          </w:tcPr>
          <w:p>
            <w:pPr>
              <w:spacing w:after="0" w:line="260"/>
              <w:jc w:val="left"/>
            </w:pPr>
            <w:r>
              <w:rPr>
                <w:b w:val="false"/>
                <w:bCs w:val="false"/>
                <w:sz w:val="20"/>
                <w:szCs w:val="20"/>
              </w:rPr>
              <w:t xml:space="preserve">Automatically active</w:t>
            </w:r>
          </w:p>
        </w:tc>
      </w:tr>
      <w:tr>
        <w:trPr>
          <w:tblHeader w:val="false"/>
        </w:trPr>
        <w:tc>
          <w:tcPr>
            <w:tcW w:type="dxa" w:w="1300"/>
            <w:tcMar>
              <w:top w:type="dxa" w:w="80"/>
              <w:left w:type="dxa" w:w="110"/>
              <w:bottom w:type="dxa" w:w="80"/>
              <w:right w:type="dxa" w:w="110"/>
            </w:tcMar>
          </w:tcPr>
          <w:p>
            <w:pPr>
              <w:spacing w:after="0" w:line="260"/>
              <w:jc w:val="left"/>
            </w:pPr>
            <w:r>
              <w:rPr>
                <w:b w:val="false"/>
                <w:bCs w:val="false"/>
                <w:sz w:val="20"/>
                <w:szCs w:val="20"/>
              </w:rPr>
              <w:t xml:space="preserve">Tier 2</w:t>
            </w:r>
          </w:p>
        </w:tc>
        <w:tc>
          <w:tcPr>
            <w:tcW w:type="dxa" w:w="3226"/>
            <w:tcMar>
              <w:top w:type="dxa" w:w="80"/>
              <w:left w:type="dxa" w:w="110"/>
              <w:bottom w:type="dxa" w:w="80"/>
              <w:right w:type="dxa" w:w="110"/>
            </w:tcMar>
          </w:tcPr>
          <w:p>
            <w:pPr>
              <w:spacing w:after="0" w:line="260"/>
              <w:jc w:val="left"/>
            </w:pPr>
            <w:r>
              <w:rPr>
                <w:b w:val="false"/>
                <w:bCs w:val="false"/>
                <w:sz w:val="20"/>
                <w:szCs w:val="20"/>
              </w:rPr>
              <w:t xml:space="preserve">3 consecutive calendar months of Utilisation ≥ 70% of the Tier 1 limit, with zero payment defaults</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Up to INR {tier2_limit_inr}</w:t>
            </w:r>
          </w:p>
        </w:tc>
        <w:tc>
          <w:tcPr>
            <w:tcW w:type="dxa" w:w="2400"/>
            <w:tcMar>
              <w:top w:type="dxa" w:w="80"/>
              <w:left w:type="dxa" w:w="110"/>
              <w:bottom w:type="dxa" w:w="80"/>
              <w:right w:type="dxa" w:w="110"/>
            </w:tcMar>
          </w:tcPr>
          <w:p>
            <w:pPr>
              <w:spacing w:after="0" w:line="260"/>
              <w:jc w:val="left"/>
            </w:pPr>
            <w:r>
              <w:rPr>
                <w:b w:val="false"/>
                <w:bCs w:val="false"/>
                <w:sz w:val="20"/>
                <w:szCs w:val="20"/>
              </w:rPr>
              <w:t xml:space="preserve">Email request + written approval</w:t>
            </w:r>
          </w:p>
        </w:tc>
      </w:tr>
      <w:tr>
        <w:trPr>
          <w:tblHeader w:val="false"/>
        </w:trPr>
        <w:tc>
          <w:tcPr>
            <w:tcW w:type="dxa" w:w="1300"/>
            <w:tcMar>
              <w:top w:type="dxa" w:w="80"/>
              <w:left w:type="dxa" w:w="110"/>
              <w:bottom w:type="dxa" w:w="80"/>
              <w:right w:type="dxa" w:w="110"/>
            </w:tcMar>
          </w:tcPr>
          <w:p>
            <w:pPr>
              <w:spacing w:after="0" w:line="260"/>
              <w:jc w:val="left"/>
            </w:pPr>
            <w:r>
              <w:rPr>
                <w:b w:val="false"/>
                <w:bCs w:val="false"/>
                <w:sz w:val="20"/>
                <w:szCs w:val="20"/>
              </w:rPr>
              <w:t xml:space="preserve">Tier 3</w:t>
            </w:r>
          </w:p>
        </w:tc>
        <w:tc>
          <w:tcPr>
            <w:tcW w:type="dxa" w:w="3226"/>
            <w:tcMar>
              <w:top w:type="dxa" w:w="80"/>
              <w:left w:type="dxa" w:w="110"/>
              <w:bottom w:type="dxa" w:w="80"/>
              <w:right w:type="dxa" w:w="110"/>
            </w:tcMar>
          </w:tcPr>
          <w:p>
            <w:pPr>
              <w:spacing w:after="0" w:line="260"/>
              <w:jc w:val="left"/>
            </w:pPr>
            <w:r>
              <w:rPr>
                <w:b w:val="false"/>
                <w:bCs w:val="false"/>
                <w:sz w:val="20"/>
                <w:szCs w:val="20"/>
              </w:rPr>
              <w:t xml:space="preserve">3 consecutive calendar months of Utilisation ≥ 70% of the Tier 2 limit, with zero payment defaults</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Up to INR {tier3_limit_inr}</w:t>
            </w:r>
          </w:p>
        </w:tc>
        <w:tc>
          <w:tcPr>
            <w:tcW w:type="dxa" w:w="2400"/>
            <w:tcMar>
              <w:top w:type="dxa" w:w="80"/>
              <w:left w:type="dxa" w:w="110"/>
              <w:bottom w:type="dxa" w:w="80"/>
              <w:right w:type="dxa" w:w="110"/>
            </w:tcMar>
          </w:tcPr>
          <w:p>
            <w:pPr>
              <w:spacing w:after="0" w:line="260"/>
              <w:jc w:val="left"/>
            </w:pPr>
            <w:r>
              <w:rPr>
                <w:b w:val="false"/>
                <w:bCs w:val="false"/>
                <w:sz w:val="20"/>
                <w:szCs w:val="20"/>
              </w:rPr>
              <w:t xml:space="preserve">Email request + written approval</w:t>
            </w:r>
          </w:p>
        </w:tc>
      </w:tr>
      <w:tr>
        <w:trPr>
          <w:tblHeader w:val="false"/>
        </w:trPr>
        <w:tc>
          <w:tcPr>
            <w:tcW w:type="dxa" w:w="1300"/>
            <w:tcMar>
              <w:top w:type="dxa" w:w="80"/>
              <w:left w:type="dxa" w:w="110"/>
              <w:bottom w:type="dxa" w:w="80"/>
              <w:right w:type="dxa" w:w="110"/>
            </w:tcMar>
          </w:tcPr>
          <w:p>
            <w:pPr>
              <w:spacing w:after="0" w:line="260"/>
              <w:jc w:val="left"/>
            </w:pPr>
            <w:r>
              <w:rPr>
                <w:b w:val="false"/>
                <w:bCs w:val="false"/>
                <w:sz w:val="20"/>
                <w:szCs w:val="20"/>
              </w:rPr>
              <w:t xml:space="preserve">Ad-hoc</w:t>
            </w:r>
          </w:p>
        </w:tc>
        <w:tc>
          <w:tcPr>
            <w:tcW w:type="dxa" w:w="3226"/>
            <w:tcMar>
              <w:top w:type="dxa" w:w="80"/>
              <w:left w:type="dxa" w:w="110"/>
              <w:bottom w:type="dxa" w:w="80"/>
              <w:right w:type="dxa" w:w="110"/>
            </w:tcMar>
          </w:tcPr>
          <w:p>
            <w:pPr>
              <w:spacing w:after="0" w:line="260"/>
              <w:jc w:val="left"/>
            </w:pPr>
            <w:r>
              <w:rPr>
                <w:b w:val="false"/>
                <w:bCs w:val="false"/>
                <w:sz w:val="20"/>
                <w:szCs w:val="20"/>
              </w:rPr>
              <w:t xml:space="preserve">One-off business need (group booking, conference, event)</w:t>
            </w:r>
          </w:p>
        </w:tc>
        <w:tc>
          <w:tcPr>
            <w:tcW w:type="dxa" w:w="2100"/>
            <w:tcMar>
              <w:top w:type="dxa" w:w="80"/>
              <w:left w:type="dxa" w:w="110"/>
              <w:bottom w:type="dxa" w:w="80"/>
              <w:right w:type="dxa" w:w="110"/>
            </w:tcMar>
          </w:tcPr>
          <w:p>
            <w:pPr>
              <w:spacing w:after="0" w:line="260"/>
              <w:jc w:val="left"/>
            </w:pPr>
            <w:r>
              <w:rPr>
                <w:b w:val="false"/>
                <w:bCs w:val="false"/>
                <w:sz w:val="20"/>
                <w:szCs w:val="20"/>
              </w:rPr>
              <w:t xml:space="preserve">As mutually agreed</w:t>
            </w:r>
          </w:p>
        </w:tc>
        <w:tc>
          <w:tcPr>
            <w:tcW w:type="dxa" w:w="2400"/>
            <w:tcMar>
              <w:top w:type="dxa" w:w="80"/>
              <w:left w:type="dxa" w:w="110"/>
              <w:bottom w:type="dxa" w:w="80"/>
              <w:right w:type="dxa" w:w="110"/>
            </w:tcMar>
          </w:tcPr>
          <w:p>
            <w:pPr>
              <w:spacing w:after="0" w:line="260"/>
              <w:jc w:val="left"/>
            </w:pPr>
            <w:r>
              <w:rPr>
                <w:b w:val="false"/>
                <w:bCs w:val="false"/>
                <w:sz w:val="20"/>
                <w:szCs w:val="20"/>
              </w:rPr>
              <w:t xml:space="preserve">Email request + written approval; reverts on completion</w:t>
            </w:r>
          </w:p>
        </w:tc>
      </w:tr>
    </w:tbl>
    <w:p>
      <w:pPr>
        <w:spacing w:after="180"/>
      </w:pPr>
    </w:p>
    <w:p>
      <w:pPr>
        <w:pStyle w:val="Heading1"/>
        <w:spacing w:after="160" w:before="260"/>
      </w:pPr>
      <w:r>
        <w:rPr>
          <w:b/>
          <w:bCs/>
          <w:sz w:val="24"/>
          <w:szCs w:val="24"/>
        </w:rPr>
        <w:t xml:space="preserve">5. Authorised Representatives</w:t>
      </w:r>
    </w:p>
    <w:p>
      <w:pPr>
        <w:spacing w:after="140" w:line="276"/>
        <w:jc w:val="both"/>
      </w:pPr>
      <w:r>
        <w:rPr>
          <w:b w:val="false"/>
          <w:bCs w:val="false"/>
          <w:i w:val="false"/>
          <w:iCs w:val="false"/>
          <w:sz w:val="22"/>
          <w:szCs w:val="22"/>
        </w:rPr>
        <w:t xml:space="preserve">All requests for Credit Limit revisions, Payment Mode activation or deactivation, Travel Policy changes, Loyalty Points redemption, and Invoice queries shall be initiated by the Authorised Representatives below. Either Party may update its representative by written notice (including email) to the other Party.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26"/>
        <w:gridCol w:w="2800"/>
        <w:gridCol w:w="1700"/>
      </w:tblGrid>
      <w:tr>
        <w:trPr>
          <w:tblHeader/>
        </w:trPr>
        <w:tc>
          <w:tcPr>
            <w:tcW w:type="dxa" w:w="19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Party</w:t>
            </w:r>
          </w:p>
        </w:tc>
        <w:tc>
          <w:tcPr>
            <w:tcW w:type="dxa" w:w="26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Name &amp; Designation</w:t>
            </w:r>
          </w:p>
        </w:tc>
        <w:tc>
          <w:tcPr>
            <w:tcW w:type="dxa" w:w="28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Email</w:t>
            </w:r>
          </w:p>
        </w:tc>
        <w:tc>
          <w:tcPr>
            <w:tcW w:type="dxa" w:w="17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Phone</w:t>
            </w:r>
          </w:p>
        </w:tc>
      </w:tr>
      <w:tr>
        <w:trPr>
          <w:tblHeader w:val="false"/>
        </w:trPr>
        <w:tc>
          <w:tcPr>
            <w:tcW w:type="dxa" w:w="1900"/>
            <w:tcMar>
              <w:top w:type="dxa" w:w="80"/>
              <w:left w:type="dxa" w:w="110"/>
              <w:bottom w:type="dxa" w:w="80"/>
              <w:right w:type="dxa" w:w="110"/>
            </w:tcMar>
          </w:tcPr>
          <w:p>
            <w:pPr>
              <w:spacing w:after="0" w:line="260"/>
              <w:jc w:val="left"/>
            </w:pPr>
            <w:r>
              <w:rPr>
                <w:b w:val="false"/>
                <w:bCs w:val="false"/>
                <w:sz w:val="20"/>
                <w:szCs w:val="20"/>
              </w:rPr>
              <w:t xml:space="preserve">Service Provider</w:t>
            </w:r>
          </w:p>
        </w:tc>
        <w:tc>
          <w:tcPr>
            <w:tcW w:type="dxa" w:w="2626"/>
            <w:tcMar>
              <w:top w:type="dxa" w:w="80"/>
              <w:left w:type="dxa" w:w="110"/>
              <w:bottom w:type="dxa" w:w="80"/>
              <w:right w:type="dxa" w:w="110"/>
            </w:tcMar>
          </w:tcPr>
          <w:p>
            <w:pPr>
              <w:spacing w:after="0" w:line="260"/>
              <w:jc w:val="left"/>
            </w:pPr>
            <w:r>
              <w:rPr>
                <w:b w:val="false"/>
                <w:bCs w:val="false"/>
                <w:sz w:val="20"/>
                <w:szCs w:val="20"/>
              </w:rPr>
              <w:t xml:space="preserve">{sp_rep_name}</w:t>
            </w:r>
          </w:p>
        </w:tc>
        <w:tc>
          <w:tcPr>
            <w:tcW w:type="dxa" w:w="2800"/>
            <w:tcMar>
              <w:top w:type="dxa" w:w="80"/>
              <w:left w:type="dxa" w:w="110"/>
              <w:bottom w:type="dxa" w:w="80"/>
              <w:right w:type="dxa" w:w="110"/>
            </w:tcMar>
          </w:tcPr>
          <w:p>
            <w:pPr>
              <w:spacing w:after="0" w:line="260"/>
              <w:jc w:val="left"/>
            </w:pPr>
            <w:r>
              <w:rPr>
                <w:b w:val="false"/>
                <w:bCs w:val="false"/>
                <w:sz w:val="20"/>
                <w:szCs w:val="20"/>
              </w:rPr>
              <w:t xml:space="preserve">{sp_rep_email}</w:t>
            </w:r>
          </w:p>
        </w:tc>
        <w:tc>
          <w:tcPr>
            <w:tcW w:type="dxa" w:w="1700"/>
            <w:tcMar>
              <w:top w:type="dxa" w:w="80"/>
              <w:left w:type="dxa" w:w="110"/>
              <w:bottom w:type="dxa" w:w="80"/>
              <w:right w:type="dxa" w:w="110"/>
            </w:tcMar>
          </w:tcPr>
          <w:p>
            <w:pPr>
              <w:spacing w:after="0" w:line="260"/>
              <w:jc w:val="left"/>
            </w:pPr>
            <w:r>
              <w:rPr>
                <w:b w:val="false"/>
                <w:bCs w:val="false"/>
                <w:sz w:val="20"/>
                <w:szCs w:val="20"/>
              </w:rPr>
              <w:t xml:space="preserve">{sp_rep_phone}</w:t>
            </w:r>
          </w:p>
        </w:tc>
      </w:tr>
      <w:tr>
        <w:trPr>
          <w:tblHeader w:val="false"/>
        </w:trPr>
        <w:tc>
          <w:tcPr>
            <w:tcW w:type="dxa" w:w="1900"/>
            <w:tcMar>
              <w:top w:type="dxa" w:w="80"/>
              <w:left w:type="dxa" w:w="110"/>
              <w:bottom w:type="dxa" w:w="80"/>
              <w:right w:type="dxa" w:w="110"/>
            </w:tcMar>
          </w:tcPr>
          <w:p>
            <w:pPr>
              <w:spacing w:after="0" w:line="260"/>
              <w:jc w:val="left"/>
            </w:pPr>
            <w:r>
              <w:rPr>
                <w:b w:val="false"/>
                <w:bCs w:val="false"/>
                <w:sz w:val="20"/>
                <w:szCs w:val="20"/>
              </w:rPr>
              <w:t xml:space="preserve">Client</w:t>
            </w:r>
          </w:p>
        </w:tc>
        <w:tc>
          <w:tcPr>
            <w:tcW w:type="dxa" w:w="2626"/>
            <w:tcMar>
              <w:top w:type="dxa" w:w="80"/>
              <w:left w:type="dxa" w:w="110"/>
              <w:bottom w:type="dxa" w:w="80"/>
              <w:right w:type="dxa" w:w="110"/>
            </w:tcMar>
          </w:tcPr>
          <w:p>
            <w:pPr>
              <w:spacing w:after="0" w:line="260"/>
              <w:jc w:val="left"/>
            </w:pPr>
            <w:r>
              <w:rPr>
                <w:b w:val="false"/>
                <w:bCs w:val="false"/>
                <w:sz w:val="20"/>
                <w:szCs w:val="20"/>
              </w:rPr>
              <w:t xml:space="preserve">{client_rep_name}</w:t>
            </w:r>
          </w:p>
        </w:tc>
        <w:tc>
          <w:tcPr>
            <w:tcW w:type="dxa" w:w="2800"/>
            <w:tcMar>
              <w:top w:type="dxa" w:w="80"/>
              <w:left w:type="dxa" w:w="110"/>
              <w:bottom w:type="dxa" w:w="80"/>
              <w:right w:type="dxa" w:w="110"/>
            </w:tcMar>
          </w:tcPr>
          <w:p>
            <w:pPr>
              <w:spacing w:after="0" w:line="260"/>
              <w:jc w:val="left"/>
            </w:pPr>
            <w:r>
              <w:rPr>
                <w:b w:val="false"/>
                <w:bCs w:val="false"/>
                <w:sz w:val="20"/>
                <w:szCs w:val="20"/>
              </w:rPr>
              <w:t xml:space="preserve">{client_rep_email}</w:t>
            </w:r>
          </w:p>
        </w:tc>
        <w:tc>
          <w:tcPr>
            <w:tcW w:type="dxa" w:w="1700"/>
            <w:tcMar>
              <w:top w:type="dxa" w:w="80"/>
              <w:left w:type="dxa" w:w="110"/>
              <w:bottom w:type="dxa" w:w="80"/>
              <w:right w:type="dxa" w:w="110"/>
            </w:tcMar>
          </w:tcPr>
          <w:p>
            <w:pPr>
              <w:spacing w:after="0" w:line="260"/>
              <w:jc w:val="left"/>
            </w:pPr>
            <w:r>
              <w:rPr>
                <w:b w:val="false"/>
                <w:bCs w:val="false"/>
                <w:sz w:val="20"/>
                <w:szCs w:val="20"/>
              </w:rPr>
              <w:t xml:space="preserve">{client_rep_phone}</w:t>
            </w:r>
          </w:p>
        </w:tc>
      </w:tr>
    </w:tbl>
    <w:p>
      <w:pPr>
        <w:spacing w:after="180"/>
      </w:pPr>
    </w:p>
    <w:p>
      <w:pPr>
        <w:pStyle w:val="Heading1"/>
        <w:spacing w:after="160" w:before="260"/>
      </w:pPr>
      <w:r>
        <w:rPr>
          <w:b/>
          <w:bCs/>
          <w:sz w:val="24"/>
          <w:szCs w:val="24"/>
        </w:rPr>
        <w:t xml:space="preserve">6. Escalation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26"/>
        <w:gridCol w:w="2250"/>
        <w:gridCol w:w="2250"/>
      </w:tblGrid>
      <w:tr>
        <w:trPr>
          <w:tblHeader/>
        </w:trPr>
        <w:tc>
          <w:tcPr>
            <w:tcW w:type="dxa" w:w="13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Level</w:t>
            </w:r>
          </w:p>
        </w:tc>
        <w:tc>
          <w:tcPr>
            <w:tcW w:type="dxa" w:w="32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Trigger</w:t>
            </w:r>
          </w:p>
        </w:tc>
        <w:tc>
          <w:tcPr>
            <w:tcW w:type="dxa" w:w="225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Service Provider Contact</w:t>
            </w:r>
          </w:p>
        </w:tc>
        <w:tc>
          <w:tcPr>
            <w:tcW w:type="dxa" w:w="225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Response Window</w:t>
            </w:r>
          </w:p>
        </w:tc>
      </w:tr>
      <w:tr>
        <w:trPr>
          <w:tblHeader w:val="false"/>
        </w:trPr>
        <w:tc>
          <w:tcPr>
            <w:tcW w:type="dxa" w:w="1300"/>
            <w:tcMar>
              <w:top w:type="dxa" w:w="80"/>
              <w:left w:type="dxa" w:w="110"/>
              <w:bottom w:type="dxa" w:w="80"/>
              <w:right w:type="dxa" w:w="110"/>
            </w:tcMar>
          </w:tcPr>
          <w:p>
            <w:pPr>
              <w:spacing w:after="0" w:line="260"/>
              <w:jc w:val="left"/>
            </w:pPr>
            <w:r>
              <w:rPr>
                <w:b w:val="false"/>
                <w:bCs w:val="false"/>
                <w:sz w:val="20"/>
                <w:szCs w:val="20"/>
              </w:rPr>
              <w:t xml:space="preserve">L1</w:t>
            </w:r>
          </w:p>
        </w:tc>
        <w:tc>
          <w:tcPr>
            <w:tcW w:type="dxa" w:w="3226"/>
            <w:tcMar>
              <w:top w:type="dxa" w:w="80"/>
              <w:left w:type="dxa" w:w="110"/>
              <w:bottom w:type="dxa" w:w="80"/>
              <w:right w:type="dxa" w:w="110"/>
            </w:tcMar>
          </w:tcPr>
          <w:p>
            <w:pPr>
              <w:spacing w:after="0" w:line="260"/>
              <w:jc w:val="left"/>
            </w:pPr>
            <w:r>
              <w:rPr>
                <w:b w:val="false"/>
                <w:bCs w:val="false"/>
                <w:sz w:val="20"/>
                <w:szCs w:val="20"/>
              </w:rPr>
              <w:t xml:space="preserve">Routine booking, amendment, wallet, or Invoice query</w:t>
            </w:r>
          </w:p>
        </w:tc>
        <w:tc>
          <w:tcPr>
            <w:tcW w:type="dxa" w:w="2250"/>
            <w:tcMar>
              <w:top w:type="dxa" w:w="80"/>
              <w:left w:type="dxa" w:w="110"/>
              <w:bottom w:type="dxa" w:w="80"/>
              <w:right w:type="dxa" w:w="110"/>
            </w:tcMar>
          </w:tcPr>
          <w:p>
            <w:pPr>
              <w:spacing w:after="0" w:line="260"/>
              <w:jc w:val="left"/>
            </w:pPr>
            <w:r>
              <w:rPr>
                <w:b w:val="false"/>
                <w:bCs w:val="false"/>
                <w:sz w:val="20"/>
                <w:szCs w:val="20"/>
              </w:rPr>
              <w:t xml:space="preserve">Assigned Concierge Desk executive</w:t>
            </w:r>
          </w:p>
        </w:tc>
        <w:tc>
          <w:tcPr>
            <w:tcW w:type="dxa" w:w="2250"/>
            <w:tcMar>
              <w:top w:type="dxa" w:w="80"/>
              <w:left w:type="dxa" w:w="110"/>
              <w:bottom w:type="dxa" w:w="80"/>
              <w:right w:type="dxa" w:w="110"/>
            </w:tcMar>
          </w:tcPr>
          <w:p>
            <w:pPr>
              <w:spacing w:after="0" w:line="260"/>
              <w:jc w:val="left"/>
            </w:pPr>
            <w:r>
              <w:rPr>
                <w:b w:val="false"/>
                <w:bCs w:val="false"/>
                <w:sz w:val="20"/>
                <w:szCs w:val="20"/>
              </w:rPr>
              <w:t xml:space="preserve">Per Annexure II</w:t>
            </w:r>
          </w:p>
        </w:tc>
      </w:tr>
      <w:tr>
        <w:trPr>
          <w:tblHeader w:val="false"/>
        </w:trPr>
        <w:tc>
          <w:tcPr>
            <w:tcW w:type="dxa" w:w="1300"/>
            <w:tcMar>
              <w:top w:type="dxa" w:w="80"/>
              <w:left w:type="dxa" w:w="110"/>
              <w:bottom w:type="dxa" w:w="80"/>
              <w:right w:type="dxa" w:w="110"/>
            </w:tcMar>
          </w:tcPr>
          <w:p>
            <w:pPr>
              <w:spacing w:after="0" w:line="260"/>
              <w:jc w:val="left"/>
            </w:pPr>
            <w:r>
              <w:rPr>
                <w:b w:val="false"/>
                <w:bCs w:val="false"/>
                <w:sz w:val="20"/>
                <w:szCs w:val="20"/>
              </w:rPr>
              <w:t xml:space="preserve">L2</w:t>
            </w:r>
          </w:p>
        </w:tc>
        <w:tc>
          <w:tcPr>
            <w:tcW w:type="dxa" w:w="3226"/>
            <w:tcMar>
              <w:top w:type="dxa" w:w="80"/>
              <w:left w:type="dxa" w:w="110"/>
              <w:bottom w:type="dxa" w:w="80"/>
              <w:right w:type="dxa" w:w="110"/>
            </w:tcMar>
          </w:tcPr>
          <w:p>
            <w:pPr>
              <w:spacing w:after="0" w:line="260"/>
              <w:jc w:val="left"/>
            </w:pPr>
            <w:r>
              <w:rPr>
                <w:b w:val="false"/>
                <w:bCs w:val="false"/>
                <w:sz w:val="20"/>
                <w:szCs w:val="20"/>
              </w:rPr>
              <w:t xml:space="preserve">Unresolved L1 issue after the applicable response window</w:t>
            </w:r>
          </w:p>
        </w:tc>
        <w:tc>
          <w:tcPr>
            <w:tcW w:type="dxa" w:w="2250"/>
            <w:tcMar>
              <w:top w:type="dxa" w:w="80"/>
              <w:left w:type="dxa" w:w="110"/>
              <w:bottom w:type="dxa" w:w="80"/>
              <w:right w:type="dxa" w:w="110"/>
            </w:tcMar>
          </w:tcPr>
          <w:p>
            <w:pPr>
              <w:spacing w:after="0" w:line="260"/>
              <w:jc w:val="left"/>
            </w:pPr>
            <w:r>
              <w:rPr>
                <w:b w:val="false"/>
                <w:bCs w:val="false"/>
                <w:sz w:val="20"/>
                <w:szCs w:val="20"/>
              </w:rPr>
              <w:t xml:space="preserve">Account Manager</w:t>
            </w:r>
          </w:p>
        </w:tc>
        <w:tc>
          <w:tcPr>
            <w:tcW w:type="dxa" w:w="2250"/>
            <w:tcMar>
              <w:top w:type="dxa" w:w="80"/>
              <w:left w:type="dxa" w:w="110"/>
              <w:bottom w:type="dxa" w:w="80"/>
              <w:right w:type="dxa" w:w="110"/>
            </w:tcMar>
          </w:tcPr>
          <w:p>
            <w:pPr>
              <w:spacing w:after="0" w:line="260"/>
              <w:jc w:val="left"/>
            </w:pPr>
            <w:r>
              <w:rPr>
                <w:b w:val="false"/>
                <w:bCs w:val="false"/>
                <w:sz w:val="20"/>
                <w:szCs w:val="20"/>
              </w:rPr>
              <w:t xml:space="preserve">1 business day</w:t>
            </w:r>
          </w:p>
        </w:tc>
      </w:tr>
      <w:tr>
        <w:trPr>
          <w:tblHeader w:val="false"/>
        </w:trPr>
        <w:tc>
          <w:tcPr>
            <w:tcW w:type="dxa" w:w="1300"/>
            <w:tcMar>
              <w:top w:type="dxa" w:w="80"/>
              <w:left w:type="dxa" w:w="110"/>
              <w:bottom w:type="dxa" w:w="80"/>
              <w:right w:type="dxa" w:w="110"/>
            </w:tcMar>
          </w:tcPr>
          <w:p>
            <w:pPr>
              <w:spacing w:after="0" w:line="260"/>
              <w:jc w:val="left"/>
            </w:pPr>
            <w:r>
              <w:rPr>
                <w:b w:val="false"/>
                <w:bCs w:val="false"/>
                <w:sz w:val="20"/>
                <w:szCs w:val="20"/>
              </w:rPr>
              <w:t xml:space="preserve">L3</w:t>
            </w:r>
          </w:p>
        </w:tc>
        <w:tc>
          <w:tcPr>
            <w:tcW w:type="dxa" w:w="3226"/>
            <w:tcMar>
              <w:top w:type="dxa" w:w="80"/>
              <w:left w:type="dxa" w:w="110"/>
              <w:bottom w:type="dxa" w:w="80"/>
              <w:right w:type="dxa" w:w="110"/>
            </w:tcMar>
          </w:tcPr>
          <w:p>
            <w:pPr>
              <w:spacing w:after="0" w:line="260"/>
              <w:jc w:val="left"/>
            </w:pPr>
            <w:r>
              <w:rPr>
                <w:b w:val="false"/>
                <w:bCs w:val="false"/>
                <w:sz w:val="20"/>
                <w:szCs w:val="20"/>
              </w:rPr>
              <w:t xml:space="preserve">Service failure, repeated escalation, or commercial dispute</w:t>
            </w:r>
          </w:p>
        </w:tc>
        <w:tc>
          <w:tcPr>
            <w:tcW w:type="dxa" w:w="2250"/>
            <w:tcMar>
              <w:top w:type="dxa" w:w="80"/>
              <w:left w:type="dxa" w:w="110"/>
              <w:bottom w:type="dxa" w:w="80"/>
              <w:right w:type="dxa" w:w="110"/>
            </w:tcMar>
          </w:tcPr>
          <w:p>
            <w:pPr>
              <w:spacing w:after="0" w:line="260"/>
              <w:jc w:val="left"/>
            </w:pPr>
            <w:r>
              <w:rPr>
                <w:b w:val="false"/>
                <w:bCs w:val="false"/>
                <w:sz w:val="20"/>
                <w:szCs w:val="20"/>
              </w:rPr>
              <w:t xml:space="preserve">Head of Operations</w:t>
            </w:r>
          </w:p>
        </w:tc>
        <w:tc>
          <w:tcPr>
            <w:tcW w:type="dxa" w:w="2250"/>
            <w:tcMar>
              <w:top w:type="dxa" w:w="80"/>
              <w:left w:type="dxa" w:w="110"/>
              <w:bottom w:type="dxa" w:w="80"/>
              <w:right w:type="dxa" w:w="110"/>
            </w:tcMar>
          </w:tcPr>
          <w:p>
            <w:pPr>
              <w:spacing w:after="0" w:line="260"/>
              <w:jc w:val="left"/>
            </w:pPr>
            <w:r>
              <w:rPr>
                <w:b w:val="false"/>
                <w:bCs w:val="false"/>
                <w:sz w:val="20"/>
                <w:szCs w:val="20"/>
              </w:rPr>
              <w:t xml:space="preserve">2 business days</w:t>
            </w:r>
          </w:p>
        </w:tc>
      </w:tr>
      <w:tr>
        <w:trPr>
          <w:tblHeader w:val="false"/>
        </w:trPr>
        <w:tc>
          <w:tcPr>
            <w:tcW w:type="dxa" w:w="1300"/>
            <w:tcMar>
              <w:top w:type="dxa" w:w="80"/>
              <w:left w:type="dxa" w:w="110"/>
              <w:bottom w:type="dxa" w:w="80"/>
              <w:right w:type="dxa" w:w="110"/>
            </w:tcMar>
          </w:tcPr>
          <w:p>
            <w:pPr>
              <w:spacing w:after="0" w:line="260"/>
              <w:jc w:val="left"/>
            </w:pPr>
            <w:r>
              <w:rPr>
                <w:b w:val="false"/>
                <w:bCs w:val="false"/>
                <w:sz w:val="20"/>
                <w:szCs w:val="20"/>
              </w:rPr>
              <w:t xml:space="preserve">L4</w:t>
            </w:r>
          </w:p>
        </w:tc>
        <w:tc>
          <w:tcPr>
            <w:tcW w:type="dxa" w:w="3226"/>
            <w:tcMar>
              <w:top w:type="dxa" w:w="80"/>
              <w:left w:type="dxa" w:w="110"/>
              <w:bottom w:type="dxa" w:w="80"/>
              <w:right w:type="dxa" w:w="110"/>
            </w:tcMar>
          </w:tcPr>
          <w:p>
            <w:pPr>
              <w:spacing w:after="0" w:line="260"/>
              <w:jc w:val="left"/>
            </w:pPr>
            <w:r>
              <w:rPr>
                <w:b w:val="false"/>
                <w:bCs w:val="false"/>
                <w:sz w:val="20"/>
                <w:szCs w:val="20"/>
              </w:rPr>
              <w:t xml:space="preserve">Unresolved L3 issue or matter of contractual significance</w:t>
            </w:r>
          </w:p>
        </w:tc>
        <w:tc>
          <w:tcPr>
            <w:tcW w:type="dxa" w:w="2250"/>
            <w:tcMar>
              <w:top w:type="dxa" w:w="80"/>
              <w:left w:type="dxa" w:w="110"/>
              <w:bottom w:type="dxa" w:w="80"/>
              <w:right w:type="dxa" w:w="110"/>
            </w:tcMar>
          </w:tcPr>
          <w:p>
            <w:pPr>
              <w:spacing w:after="0" w:line="260"/>
              <w:jc w:val="left"/>
            </w:pPr>
            <w:r>
              <w:rPr>
                <w:b w:val="false"/>
                <w:bCs w:val="false"/>
                <w:sz w:val="20"/>
                <w:szCs w:val="20"/>
              </w:rPr>
              <w:t xml:space="preserve">Authorised Representative (Service Provider)</w:t>
            </w:r>
          </w:p>
        </w:tc>
        <w:tc>
          <w:tcPr>
            <w:tcW w:type="dxa" w:w="2250"/>
            <w:tcMar>
              <w:top w:type="dxa" w:w="80"/>
              <w:left w:type="dxa" w:w="110"/>
              <w:bottom w:type="dxa" w:w="80"/>
              <w:right w:type="dxa" w:w="110"/>
            </w:tcMar>
          </w:tcPr>
          <w:p>
            <w:pPr>
              <w:spacing w:after="0" w:line="260"/>
              <w:jc w:val="left"/>
            </w:pPr>
            <w:r>
              <w:rPr>
                <w:b w:val="false"/>
                <w:bCs w:val="false"/>
                <w:sz w:val="20"/>
                <w:szCs w:val="20"/>
              </w:rPr>
              <w:t xml:space="preserve">3 business days</w:t>
            </w:r>
          </w:p>
        </w:tc>
      </w:tr>
    </w:tbl>
    <w:p>
      <w:pPr>
        <w:spacing w:after="240"/>
      </w:pPr>
    </w:p>
    <w:p>
      <w:pPr>
        <w:spacing w:after="140" w:line="276"/>
        <w:jc w:val="both"/>
      </w:pPr>
      <w:r>
        <w:rPr>
          <w:b/>
          <w:bCs/>
          <w:i w:val="false"/>
          <w:iCs w:val="false"/>
          <w:sz w:val="22"/>
          <w:szCs w:val="22"/>
        </w:rPr>
        <w:t xml:space="preserve">IN WITNESS WHEREOF</w:t>
      </w:r>
      <w:r>
        <w:rPr>
          <w:b w:val="false"/>
          <w:bCs w:val="false"/>
          <w:i w:val="false"/>
          <w:iCs w:val="false"/>
          <w:sz w:val="22"/>
          <w:szCs w:val="22"/>
        </w:rPr>
        <w:t xml:space="preserve">, the Parties have caused this Annexure I to be executed by their duly authorised representatives as of the date first above written.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Mar>
              <w:top w:type="dxa" w:w="120"/>
              <w:left w:type="dxa" w:w="140"/>
              <w:bottom w:type="dxa" w:w="120"/>
              <w:right w:type="dxa" w:w="140"/>
            </w:tcMar>
          </w:tcPr>
          <w:p>
            <w:pPr>
              <w:spacing w:after="90" w:line="260"/>
            </w:pPr>
            <w:r>
              <w:rPr>
                <w:b/>
                <w:bCs/>
                <w:sz w:val="20"/>
                <w:szCs w:val="20"/>
              </w:rPr>
              <w:t xml:space="preserve">For Peachmint Trips and Planners Pvt. Ltd.</w:t>
            </w:r>
          </w:p>
          <w:p>
            <w:pPr>
              <w:spacing w:after="90" w:line="260"/>
            </w:pPr>
            <w:r>
              <w:rPr>
                <w:b w:val="false"/>
                <w:bCs w:val="false"/>
                <w:sz w:val="20"/>
                <w:szCs w:val="20"/>
              </w:rPr>
              <w:t xml:space="preserve">(Service Provider)</w:t>
            </w:r>
          </w:p>
          <w:p>
            <w:pPr>
              <w:spacing w:after="90" w:line="260"/>
            </w:pPr>
            <w:r>
              <w:rPr>
                <w:sz w:val="20"/>
                <w:szCs w:val="20"/>
              </w:rPr>
              <w:t xml:space="preserve"/>
            </w:r>
          </w:p>
          <w:p>
            <w:pPr>
              <w:spacing w:after="90" w:line="260"/>
            </w:pPr>
            <w:r>
              <w:rPr>
                <w:b w:val="false"/>
                <w:bCs w:val="false"/>
                <w:sz w:val="20"/>
                <w:szCs w:val="20"/>
              </w:rPr>
              <w:t xml:space="preserve">_______________________________</w:t>
            </w:r>
          </w:p>
          <w:p>
            <w:pPr>
              <w:spacing w:after="90" w:line="260"/>
            </w:pPr>
            <w:r>
              <w:rPr>
                <w:sz w:val="20"/>
                <w:szCs w:val="20"/>
              </w:rPr>
              <w:t xml:space="preserve"/>
            </w:r>
          </w:p>
          <w:p>
            <w:pPr>
              <w:spacing w:after="90" w:line="260"/>
            </w:pPr>
            <w:r>
              <w:rPr>
                <w:b w:val="false"/>
                <w:bCs w:val="false"/>
                <w:sz w:val="20"/>
                <w:szCs w:val="20"/>
              </w:rPr>
              <w:t xml:space="preserve">Name: Saurabh Kumar Jha</w:t>
            </w:r>
          </w:p>
          <w:p>
            <w:pPr>
              <w:spacing w:after="90" w:line="260"/>
            </w:pPr>
            <w:r>
              <w:rPr>
                <w:b w:val="false"/>
                <w:bCs w:val="false"/>
                <w:sz w:val="20"/>
                <w:szCs w:val="20"/>
              </w:rPr>
              <w:t xml:space="preserve">Designation: Chief Executive Officer</w:t>
            </w:r>
          </w:p>
          <w:p>
            <w:pPr>
              <w:spacing w:after="90" w:line="260"/>
            </w:pPr>
            <w:r>
              <w:rPr>
                <w:b w:val="false"/>
                <w:bCs w:val="false"/>
                <w:sz w:val="20"/>
                <w:szCs w:val="20"/>
              </w:rPr>
              <w:t xml:space="preserve">Date: ______________________</w:t>
            </w:r>
          </w:p>
          <w:p>
            <w:pPr>
              <w:spacing w:after="90" w:line="260"/>
            </w:pPr>
            <w:r>
              <w:rPr>
                <w:b w:val="false"/>
                <w:bCs w:val="false"/>
                <w:sz w:val="20"/>
                <w:szCs w:val="20"/>
              </w:rPr>
              <w:t xml:space="preserve">Place: ______________________</w:t>
            </w:r>
          </w:p>
        </w:tc>
        <w:tc>
          <w:tcPr>
            <w:tcW w:type="dxa" w:w="4513"/>
            <w:tcMar>
              <w:top w:type="dxa" w:w="120"/>
              <w:left w:type="dxa" w:w="140"/>
              <w:bottom w:type="dxa" w:w="120"/>
              <w:right w:type="dxa" w:w="140"/>
            </w:tcMar>
          </w:tcPr>
          <w:p>
            <w:pPr>
              <w:spacing w:after="90" w:line="260"/>
            </w:pPr>
            <w:r>
              <w:rPr>
                <w:b/>
                <w:bCs/>
                <w:sz w:val="20"/>
                <w:szCs w:val="20"/>
              </w:rPr>
              <w:t xml:space="preserve">For {client_name}</w:t>
            </w:r>
          </w:p>
          <w:p>
            <w:pPr>
              <w:spacing w:after="90" w:line="260"/>
            </w:pPr>
            <w:r>
              <w:rPr>
                <w:b w:val="false"/>
                <w:bCs w:val="false"/>
                <w:sz w:val="20"/>
                <w:szCs w:val="20"/>
              </w:rPr>
              <w:t xml:space="preserve">(Client)</w:t>
            </w:r>
          </w:p>
          <w:p>
            <w:pPr>
              <w:spacing w:after="90" w:line="260"/>
            </w:pPr>
            <w:r>
              <w:rPr>
                <w:sz w:val="20"/>
                <w:szCs w:val="20"/>
              </w:rPr>
              <w:t xml:space="preserve"/>
            </w:r>
          </w:p>
          <w:p>
            <w:pPr>
              <w:spacing w:after="90" w:line="260"/>
            </w:pPr>
            <w:r>
              <w:rPr>
                <w:b w:val="false"/>
                <w:bCs w:val="false"/>
                <w:sz w:val="20"/>
                <w:szCs w:val="20"/>
              </w:rPr>
              <w:t xml:space="preserve">_______________________________</w:t>
            </w:r>
          </w:p>
          <w:p>
            <w:pPr>
              <w:spacing w:after="90" w:line="260"/>
            </w:pPr>
            <w:r>
              <w:rPr>
                <w:sz w:val="20"/>
                <w:szCs w:val="20"/>
              </w:rPr>
              <w:t xml:space="preserve"/>
            </w:r>
          </w:p>
          <w:p>
            <w:pPr>
              <w:spacing w:after="90" w:line="260"/>
            </w:pPr>
            <w:r>
              <w:rPr>
                <w:b w:val="false"/>
                <w:bCs w:val="false"/>
                <w:sz w:val="20"/>
                <w:szCs w:val="20"/>
              </w:rPr>
              <w:t xml:space="preserve">Name: {client_signatory_name}</w:t>
            </w:r>
          </w:p>
          <w:p>
            <w:pPr>
              <w:spacing w:after="90" w:line="260"/>
            </w:pPr>
            <w:r>
              <w:rPr>
                <w:b w:val="false"/>
                <w:bCs w:val="false"/>
                <w:sz w:val="20"/>
                <w:szCs w:val="20"/>
              </w:rPr>
              <w:t xml:space="preserve">Designation: {client_signatory_designation}</w:t>
            </w:r>
          </w:p>
          <w:p>
            <w:pPr>
              <w:spacing w:after="90" w:line="260"/>
            </w:pPr>
            <w:r>
              <w:rPr>
                <w:b w:val="false"/>
                <w:bCs w:val="false"/>
                <w:sz w:val="20"/>
                <w:szCs w:val="20"/>
              </w:rPr>
              <w:t xml:space="preserve">Date: ______________________</w:t>
            </w:r>
          </w:p>
          <w:p>
            <w:pPr>
              <w:spacing w:after="90" w:line="260"/>
            </w:pPr>
            <w:r>
              <w:rPr>
                <w:b w:val="false"/>
                <w:bCs w:val="false"/>
                <w:sz w:val="20"/>
                <w:szCs w:val="20"/>
              </w:rPr>
              <w:t xml:space="preserve">Place: ______________________</w:t>
            </w:r>
          </w:p>
        </w:tc>
      </w:tr>
    </w:tbl>
    <w:p>
      <w:pPr>
        <w:pageBreakBefore/>
        <w:spacing w:after="60"/>
        <w:jc w:val="center"/>
      </w:pPr>
      <w:r>
        <w:rPr>
          <w:b/>
          <w:bCs/>
          <w:sz w:val="28"/>
          <w:szCs w:val="28"/>
        </w:rPr>
        <w:t xml:space="preserve">ANNEXURE II</w:t>
      </w:r>
    </w:p>
    <w:p>
      <w:pPr>
        <w:spacing w:after="300"/>
        <w:jc w:val="center"/>
      </w:pPr>
      <w:r>
        <w:rPr>
          <w:i/>
          <w:iCs/>
          <w:sz w:val="22"/>
          <w:szCs w:val="22"/>
        </w:rPr>
        <w:t xml:space="preserve">Scope of Services, Service Channels and Support Matrix</w:t>
      </w:r>
    </w:p>
    <w:p>
      <w:pPr>
        <w:spacing w:after="140" w:line="276"/>
        <w:jc w:val="both"/>
      </w:pPr>
      <w:r>
        <w:rPr>
          <w:b w:val="false"/>
          <w:bCs w:val="false"/>
          <w:i w:val="false"/>
          <w:iCs w:val="false"/>
          <w:sz w:val="22"/>
          <w:szCs w:val="22"/>
        </w:rPr>
        <w:t xml:space="preserve">This Annexure II forms an integral part of the Master Service Agreement dated ______________ between </w:t>
      </w:r>
      <w:r>
        <w:rPr>
          <w:b/>
          <w:bCs/>
          <w:i w:val="false"/>
          <w:iCs w:val="false"/>
          <w:sz w:val="22"/>
          <w:szCs w:val="22"/>
        </w:rPr>
        <w:t xml:space="preserve">Peachmint Trips and Planners Pvt. Ltd.</w:t>
      </w:r>
      <w:r>
        <w:rPr>
          <w:b w:val="false"/>
          <w:bCs w:val="false"/>
          <w:i w:val="false"/>
          <w:iCs w:val="false"/>
          <w:sz w:val="22"/>
          <w:szCs w:val="22"/>
        </w:rPr>
        <w:t xml:space="preserve"> and </w:t>
      </w:r>
      <w:r>
        <w:rPr>
          <w:b/>
          <w:bCs/>
          <w:i w:val="false"/>
          <w:iCs w:val="false"/>
          <w:sz w:val="22"/>
          <w:szCs w:val="22"/>
        </w:rPr>
        <w:t xml:space="preserve">{client_name}</w:t>
      </w:r>
      <w:r>
        <w:rPr>
          <w:b w:val="false"/>
          <w:bCs w:val="false"/>
          <w:i w:val="false"/>
          <w:iCs w:val="false"/>
          <w:sz w:val="22"/>
          <w:szCs w:val="22"/>
        </w:rPr>
        <w:t xml:space="preserve">, and is executed pursuant to Clause 2 thereof. Capitalised terms not defined herein shall have the meanings ascribed to them in the MSA.</w:t>
      </w:r>
    </w:p>
    <w:p>
      <w:pPr>
        <w:pStyle w:val="Heading1"/>
        <w:spacing w:after="160" w:before="260"/>
      </w:pPr>
      <w:r>
        <w:rPr>
          <w:b/>
          <w:bCs/>
          <w:sz w:val="24"/>
          <w:szCs w:val="24"/>
        </w:rPr>
        <w:t xml:space="preserve">1. Scope of Services</w:t>
      </w:r>
    </w:p>
    <w:p>
      <w:pPr>
        <w:spacing w:after="140" w:line="276"/>
        <w:jc w:val="both"/>
      </w:pPr>
      <w:r>
        <w:rPr>
          <w:b w:val="false"/>
          <w:bCs w:val="false"/>
          <w:i w:val="false"/>
          <w:iCs w:val="false"/>
          <w:sz w:val="22"/>
          <w:szCs w:val="22"/>
        </w:rPr>
        <w:t xml:space="preserve">The Service Provider shall make available to the Client the following end-to-end corporate travel management services. All figures relating to inventory reach are indicative as at the Effective Date and are subject to Clause 2.14 of the MSA.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Service Line</w:t>
            </w:r>
          </w:p>
        </w:tc>
        <w:tc>
          <w:tcPr>
            <w:tcW w:type="dxa" w:w="64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Description</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Air travel</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Access to 70+ airlines across domestic and international sectors, including published, negotiated, and corporate fares available to the Service Provider</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Accommodation</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Access to 88,000+ hotel properties across India and international destinations, including negotiated corporate rates where available</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Geographic coverage</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Booking capability across 160+ countries</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Airline value-adds</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Pre-booked meals and seat upgrades arranged at no additional Service Fee on eligible airlines and eligible fare classes, subject to paragraph 2 below</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Visa services</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Documentation, application support, and submission, delivered through Helloviza.com; Clause 2.11 of the MSA applies</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Ground transfers</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Airport transfers, intercity transfers, and chauffeur services</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Foreign exchange</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Currency and forex card facilitation; advance payment only, Clause 3.17 of the MSA applies</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eSIM and connectivity</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International eSIM and roaming connectivity</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Group bookings</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Group air and hotel bookings, conferences, and events, scoped and quoted separately</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Travel insurance</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Facilitation of travel insurance underwritten by IRDAI-registered insurers; Clause 2.13 of the MSA applies</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Self-Booking Tool</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Online booking platform with Travel Policy configuration, approval workflows, employee-wise compliance controls, and management reporting</w:t>
            </w:r>
          </w:p>
        </w:tc>
      </w:tr>
      <w:tr>
        <w:trPr>
          <w:tblHeader w:val="false"/>
        </w:trPr>
        <w:tc>
          <w:tcPr>
            <w:tcW w:type="dxa" w:w="2600"/>
            <w:tcMar>
              <w:top w:type="dxa" w:w="80"/>
              <w:left w:type="dxa" w:w="110"/>
              <w:bottom w:type="dxa" w:w="80"/>
              <w:right w:type="dxa" w:w="110"/>
            </w:tcMar>
          </w:tcPr>
          <w:p>
            <w:pPr>
              <w:spacing w:after="0" w:line="260"/>
              <w:jc w:val="left"/>
            </w:pPr>
            <w:r>
              <w:rPr>
                <w:b w:val="false"/>
                <w:bCs w:val="false"/>
                <w:sz w:val="20"/>
                <w:szCs w:val="20"/>
              </w:rPr>
              <w:t xml:space="preserve">Concierge Desk</w:t>
            </w:r>
          </w:p>
        </w:tc>
        <w:tc>
          <w:tcPr>
            <w:tcW w:type="dxa" w:w="6426"/>
            <w:tcMar>
              <w:top w:type="dxa" w:w="80"/>
              <w:left w:type="dxa" w:w="110"/>
              <w:bottom w:type="dxa" w:w="80"/>
              <w:right w:type="dxa" w:w="110"/>
            </w:tcMar>
          </w:tcPr>
          <w:p>
            <w:pPr>
              <w:spacing w:after="0" w:line="260"/>
              <w:jc w:val="left"/>
            </w:pPr>
            <w:r>
              <w:rPr>
                <w:b w:val="false"/>
                <w:bCs w:val="false"/>
                <w:sz w:val="20"/>
                <w:szCs w:val="20"/>
              </w:rPr>
              <w:t xml:space="preserve">Dedicated human-assisted travel support and concierge assistance, on the support window set out in paragraph 3 below</w:t>
            </w:r>
          </w:p>
        </w:tc>
      </w:tr>
    </w:tbl>
    <w:p>
      <w:pPr>
        <w:spacing w:after="180"/>
      </w:pPr>
    </w:p>
    <w:p>
      <w:pPr>
        <w:pStyle w:val="Heading1"/>
        <w:spacing w:after="160" w:before="260"/>
      </w:pPr>
      <w:r>
        <w:rPr>
          <w:b/>
          <w:bCs/>
          <w:sz w:val="24"/>
          <w:szCs w:val="24"/>
        </w:rPr>
        <w:t xml:space="preserve">2. Airline Value-Added Services</w:t>
      </w:r>
    </w:p>
    <w:p>
      <w:pPr>
        <w:spacing w:after="140" w:line="276"/>
        <w:jc w:val="both"/>
      </w:pPr>
      <w:r>
        <w:rPr>
          <w:b w:val="false"/>
          <w:bCs w:val="false"/>
          <w:i w:val="false"/>
          <w:iCs w:val="false"/>
          <w:sz w:val="22"/>
          <w:szCs w:val="22"/>
        </w:rPr>
        <w:t xml:space="preserve">Pre-booked meals and seat upgrades shall be arranged by the Service Provider at no additional Service Fee, on a best-endeavours basis, in respect of eligible airlines and eligible fare classes only. The Client acknowledges that the availability of such benefits is determined solely by the relevant airline and depends on the fare class booked, the airline’s corporate programme terms, seat and catering inventory at the time of request, and the airline’s discretion. Any charge levied by the airline for a meal, seat, or upgrade shall be payable by the Client and shall be disclosed prior to confirmation under Clause 3.15 of the MSA. The Service Provider does not warrant the availability of any such benefit on any particular Booking, and the non-availability of such benefit shall not constitute a breach of the MSA.</w:t>
      </w:r>
    </w:p>
    <w:p>
      <w:pPr>
        <w:spacing w:after="180"/>
      </w:pPr>
    </w:p>
    <w:p>
      <w:pPr>
        <w:pStyle w:val="Heading1"/>
        <w:spacing w:after="160" w:before="260"/>
      </w:pPr>
      <w:r>
        <w:rPr>
          <w:b/>
          <w:bCs/>
          <w:sz w:val="24"/>
          <w:szCs w:val="24"/>
        </w:rPr>
        <w:t xml:space="preserve">3. Cancellations and Amendments</w:t>
      </w:r>
    </w:p>
    <w:p>
      <w:pPr>
        <w:spacing w:after="140" w:line="276"/>
        <w:jc w:val="both"/>
      </w:pPr>
      <w:r>
        <w:rPr>
          <w:b w:val="false"/>
          <w:bCs w:val="false"/>
          <w:i w:val="false"/>
          <w:iCs w:val="false"/>
          <w:sz w:val="22"/>
          <w:szCs w:val="22"/>
        </w:rPr>
        <w:t xml:space="preserve">Cancellation, refund, rescheduling, and reissue of Bookings shall be governed by the fare rules, rate terms, and corporate programme conditions of the relevant Supplier, as applicable to the specific fare or rate booked. The Service Provider shall disclose the applicable cancellation terms to the Client prior to confirmation of each Booking under Clause 3.15 of the MSA, and shall lodge and pursue cancellation and amendment requests with the relevant Supplier within the timelines set out in paragraph 5 below. Clause 2.10 of the MSA shall apply to all Supplier-driven outcomes.</w:t>
      </w:r>
    </w:p>
    <w:p>
      <w:pPr>
        <w:spacing w:after="180"/>
      </w:pPr>
    </w:p>
    <w:p>
      <w:pPr>
        <w:pStyle w:val="Heading1"/>
        <w:spacing w:after="160" w:before="260"/>
      </w:pPr>
      <w:r>
        <w:rPr>
          <w:b/>
          <w:bCs/>
          <w:sz w:val="24"/>
          <w:szCs w:val="24"/>
        </w:rPr>
        <w:t xml:space="preserve">4. Booking Channel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tblHeader/>
        </w:trPr>
        <w:tc>
          <w:tcPr>
            <w:tcW w:type="dxa" w:w="30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Service</w:t>
            </w:r>
          </w:p>
        </w:tc>
        <w:tc>
          <w:tcPr>
            <w:tcW w:type="dxa" w:w="26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Primary Channel</w:t>
            </w:r>
          </w:p>
        </w:tc>
        <w:tc>
          <w:tcPr>
            <w:tcW w:type="dxa" w:w="34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Notes</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Domestic flights</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SBT</w:t>
            </w:r>
          </w:p>
        </w:tc>
        <w:tc>
          <w:tcPr>
            <w:tcW w:type="dxa" w:w="3426"/>
            <w:tcMar>
              <w:top w:type="dxa" w:w="80"/>
              <w:left w:type="dxa" w:w="110"/>
              <w:bottom w:type="dxa" w:w="80"/>
              <w:right w:type="dxa" w:w="110"/>
            </w:tcMar>
          </w:tcPr>
          <w:p>
            <w:pPr>
              <w:spacing w:after="0" w:line="260"/>
              <w:jc w:val="left"/>
            </w:pPr>
            <w:r>
              <w:rPr>
                <w:b w:val="false"/>
                <w:bCs w:val="false"/>
                <w:sz w:val="20"/>
                <w:szCs w:val="20"/>
              </w:rPr>
              <w:t xml:space="preserve">Concierge Desk available as fallback under Clause 2.4</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International flights — point to point</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SBT</w:t>
            </w:r>
          </w:p>
        </w:tc>
        <w:tc>
          <w:tcPr>
            <w:tcW w:type="dxa" w:w="3426"/>
            <w:tcMar>
              <w:top w:type="dxa" w:w="80"/>
              <w:left w:type="dxa" w:w="110"/>
              <w:bottom w:type="dxa" w:w="80"/>
              <w:right w:type="dxa" w:w="110"/>
            </w:tcMar>
          </w:tcPr>
          <w:p>
            <w:pPr>
              <w:spacing w:after="0" w:line="260"/>
              <w:jc w:val="left"/>
            </w:pPr>
            <w:r>
              <w:rPr>
                <w:b w:val="false"/>
                <w:bCs w:val="false"/>
                <w:sz w:val="20"/>
                <w:szCs w:val="20"/>
              </w:rPr>
              <w:t xml:space="preserve">Concierge Desk for complex fare constructions</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International flights — multi-city / multi-sector</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Concierge Desk</w:t>
            </w:r>
          </w:p>
        </w:tc>
        <w:tc>
          <w:tcPr>
            <w:tcW w:type="dxa" w:w="3426"/>
            <w:tcMar>
              <w:top w:type="dxa" w:w="80"/>
              <w:left w:type="dxa" w:w="110"/>
              <w:bottom w:type="dxa" w:w="80"/>
              <w:right w:type="dxa" w:w="110"/>
            </w:tcMar>
          </w:tcPr>
          <w:p>
            <w:pPr>
              <w:spacing w:after="0" w:line="260"/>
              <w:jc w:val="left"/>
            </w:pPr>
            <w:r>
              <w:rPr>
                <w:b w:val="false"/>
                <w:bCs w:val="false"/>
                <w:sz w:val="20"/>
                <w:szCs w:val="20"/>
              </w:rPr>
              <w:t xml:space="preserve">Quoted individually</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Hotels — domestic and international</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SBT</w:t>
            </w:r>
          </w:p>
        </w:tc>
        <w:tc>
          <w:tcPr>
            <w:tcW w:type="dxa" w:w="3426"/>
            <w:tcMar>
              <w:top w:type="dxa" w:w="80"/>
              <w:left w:type="dxa" w:w="110"/>
              <w:bottom w:type="dxa" w:w="80"/>
              <w:right w:type="dxa" w:w="110"/>
            </w:tcMar>
          </w:tcPr>
          <w:p>
            <w:pPr>
              <w:spacing w:after="0" w:line="260"/>
              <w:jc w:val="left"/>
            </w:pPr>
            <w:r>
              <w:rPr>
                <w:b w:val="false"/>
                <w:bCs w:val="false"/>
                <w:sz w:val="20"/>
                <w:szCs w:val="20"/>
              </w:rPr>
              <w:t xml:space="preserve">Negotiated corporate rates loaded where available</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Group bookings (9 or more travellers)</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Concierge Desk</w:t>
            </w:r>
          </w:p>
        </w:tc>
        <w:tc>
          <w:tcPr>
            <w:tcW w:type="dxa" w:w="3426"/>
            <w:tcMar>
              <w:top w:type="dxa" w:w="80"/>
              <w:left w:type="dxa" w:w="110"/>
              <w:bottom w:type="dxa" w:w="80"/>
              <w:right w:type="dxa" w:w="110"/>
            </w:tcMar>
          </w:tcPr>
          <w:p>
            <w:pPr>
              <w:spacing w:after="0" w:line="260"/>
              <w:jc w:val="left"/>
            </w:pPr>
            <w:r>
              <w:rPr>
                <w:b w:val="false"/>
                <w:bCs w:val="false"/>
                <w:sz w:val="20"/>
                <w:szCs w:val="20"/>
              </w:rPr>
              <w:t xml:space="preserve">Subject to Supplier group fare terms and deposit conditions</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Visa documentation and submission</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Concierge Desk</w:t>
            </w:r>
          </w:p>
        </w:tc>
        <w:tc>
          <w:tcPr>
            <w:tcW w:type="dxa" w:w="3426"/>
            <w:tcMar>
              <w:top w:type="dxa" w:w="80"/>
              <w:left w:type="dxa" w:w="110"/>
              <w:bottom w:type="dxa" w:w="80"/>
              <w:right w:type="dxa" w:w="110"/>
            </w:tcMar>
          </w:tcPr>
          <w:p>
            <w:pPr>
              <w:spacing w:after="0" w:line="260"/>
              <w:jc w:val="left"/>
            </w:pPr>
            <w:r>
              <w:rPr>
                <w:b w:val="false"/>
                <w:bCs w:val="false"/>
                <w:sz w:val="20"/>
                <w:szCs w:val="20"/>
              </w:rPr>
              <w:t xml:space="preserve">Serviced through Helloviza.com; Clause 2.11 applies</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Ground transfers and chauffeur services</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Concierge Desk</w:t>
            </w:r>
          </w:p>
        </w:tc>
        <w:tc>
          <w:tcPr>
            <w:tcW w:type="dxa" w:w="3426"/>
            <w:tcMar>
              <w:top w:type="dxa" w:w="80"/>
              <w:left w:type="dxa" w:w="110"/>
              <w:bottom w:type="dxa" w:w="80"/>
              <w:right w:type="dxa" w:w="110"/>
            </w:tcMar>
          </w:tcPr>
          <w:p>
            <w:pPr>
              <w:spacing w:after="0" w:line="260"/>
              <w:jc w:val="left"/>
            </w:pP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Foreign exchange and forex cards</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Concierge Desk</w:t>
            </w:r>
          </w:p>
        </w:tc>
        <w:tc>
          <w:tcPr>
            <w:tcW w:type="dxa" w:w="3426"/>
            <w:tcMar>
              <w:top w:type="dxa" w:w="80"/>
              <w:left w:type="dxa" w:w="110"/>
              <w:bottom w:type="dxa" w:w="80"/>
              <w:right w:type="dxa" w:w="110"/>
            </w:tcMar>
          </w:tcPr>
          <w:p>
            <w:pPr>
              <w:spacing w:after="0" w:line="260"/>
              <w:jc w:val="left"/>
            </w:pPr>
            <w:r>
              <w:rPr>
                <w:b w:val="false"/>
                <w:bCs w:val="false"/>
                <w:sz w:val="20"/>
                <w:szCs w:val="20"/>
              </w:rPr>
              <w:t xml:space="preserve">Advance payment only; Clause 3.17 applies</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eSIM and connectivity</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Concierge Desk</w:t>
            </w:r>
          </w:p>
        </w:tc>
        <w:tc>
          <w:tcPr>
            <w:tcW w:type="dxa" w:w="3426"/>
            <w:tcMar>
              <w:top w:type="dxa" w:w="80"/>
              <w:left w:type="dxa" w:w="110"/>
              <w:bottom w:type="dxa" w:w="80"/>
              <w:right w:type="dxa" w:w="110"/>
            </w:tcMar>
          </w:tcPr>
          <w:p>
            <w:pPr>
              <w:spacing w:after="0" w:line="260"/>
              <w:jc w:val="left"/>
            </w:pP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Events, conferences, and MICE</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Concierge Desk</w:t>
            </w:r>
          </w:p>
        </w:tc>
        <w:tc>
          <w:tcPr>
            <w:tcW w:type="dxa" w:w="3426"/>
            <w:tcMar>
              <w:top w:type="dxa" w:w="80"/>
              <w:left w:type="dxa" w:w="110"/>
              <w:bottom w:type="dxa" w:w="80"/>
              <w:right w:type="dxa" w:w="110"/>
            </w:tcMar>
          </w:tcPr>
          <w:p>
            <w:pPr>
              <w:spacing w:after="0" w:line="260"/>
              <w:jc w:val="left"/>
            </w:pPr>
            <w:r>
              <w:rPr>
                <w:b w:val="false"/>
                <w:bCs w:val="false"/>
                <w:sz w:val="20"/>
                <w:szCs w:val="20"/>
              </w:rPr>
              <w:t xml:space="preserve">Scoped and quoted separately</w:t>
            </w:r>
          </w:p>
        </w:tc>
      </w:tr>
    </w:tbl>
    <w:p>
      <w:pPr>
        <w:spacing w:after="200"/>
      </w:pPr>
    </w:p>
    <w:p>
      <w:pPr>
        <w:pStyle w:val="Heading1"/>
        <w:spacing w:after="160" w:before="260"/>
      </w:pPr>
      <w:r>
        <w:rPr>
          <w:b/>
          <w:bCs/>
          <w:sz w:val="24"/>
          <w:szCs w:val="24"/>
        </w:rPr>
        <w:t xml:space="preserve">5. Concierge Desk Support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Parameter</w:t>
            </w:r>
          </w:p>
        </w:tc>
        <w:tc>
          <w:tcPr>
            <w:tcW w:type="dxa" w:w="60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Value</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Concierge Desk availability</w:t>
            </w:r>
          </w:p>
        </w:tc>
        <w:tc>
          <w:tcPr>
            <w:tcW w:type="dxa" w:w="6026"/>
            <w:tcMar>
              <w:top w:type="dxa" w:w="80"/>
              <w:left w:type="dxa" w:w="110"/>
              <w:bottom w:type="dxa" w:w="80"/>
              <w:right w:type="dxa" w:w="110"/>
            </w:tcMar>
          </w:tcPr>
          <w:p>
            <w:pPr>
              <w:spacing w:after="0" w:line="260"/>
              <w:jc w:val="left"/>
            </w:pPr>
            <w:r>
              <w:rPr>
                <w:b w:val="false"/>
                <w:bCs w:val="false"/>
                <w:sz w:val="20"/>
                <w:szCs w:val="20"/>
              </w:rPr>
              <w:t xml:space="preserve">24 hours a day, Sunday to Saturday, including gazetted public holidays</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Dedicated servicing hours</w:t>
            </w:r>
          </w:p>
        </w:tc>
        <w:tc>
          <w:tcPr>
            <w:tcW w:type="dxa" w:w="6026"/>
            <w:tcMar>
              <w:top w:type="dxa" w:w="80"/>
              <w:left w:type="dxa" w:w="110"/>
              <w:bottom w:type="dxa" w:w="80"/>
              <w:right w:type="dxa" w:w="110"/>
            </w:tcMar>
          </w:tcPr>
          <w:p>
            <w:pPr>
              <w:spacing w:after="0" w:line="260"/>
              <w:jc w:val="left"/>
            </w:pPr>
            <w:r>
              <w:rPr>
                <w:b w:val="false"/>
                <w:bCs w:val="false"/>
                <w:sz w:val="20"/>
                <w:szCs w:val="20"/>
              </w:rPr>
              <w:t xml:space="preserve">09:00 to 21:00 IST — assigned account team available for quotations, itinerary planning, group requests, and non-urgent servicing</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Out-of-hours servicing</w:t>
            </w:r>
          </w:p>
        </w:tc>
        <w:tc>
          <w:tcPr>
            <w:tcW w:type="dxa" w:w="6026"/>
            <w:tcMar>
              <w:top w:type="dxa" w:w="80"/>
              <w:left w:type="dxa" w:w="110"/>
              <w:bottom w:type="dxa" w:w="80"/>
              <w:right w:type="dxa" w:w="110"/>
            </w:tcMar>
          </w:tcPr>
          <w:p>
            <w:pPr>
              <w:spacing w:after="0" w:line="260"/>
              <w:jc w:val="left"/>
            </w:pPr>
            <w:r>
              <w:rPr>
                <w:b w:val="false"/>
                <w:bCs w:val="false"/>
                <w:sz w:val="20"/>
                <w:szCs w:val="20"/>
              </w:rPr>
              <w:t xml:space="preserve">Duty desk available at all other times for confirmations, amendments, cancellations, and in-trip support</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Emergency support</w:t>
            </w:r>
          </w:p>
        </w:tc>
        <w:tc>
          <w:tcPr>
            <w:tcW w:type="dxa" w:w="6026"/>
            <w:tcMar>
              <w:top w:type="dxa" w:w="80"/>
              <w:left w:type="dxa" w:w="110"/>
              <w:bottom w:type="dxa" w:w="80"/>
              <w:right w:type="dxa" w:w="110"/>
            </w:tcMar>
          </w:tcPr>
          <w:p>
            <w:pPr>
              <w:spacing w:after="0" w:line="260"/>
              <w:jc w:val="left"/>
            </w:pPr>
            <w:r>
              <w:rPr>
                <w:b w:val="false"/>
                <w:bCs w:val="false"/>
                <w:sz w:val="20"/>
                <w:szCs w:val="20"/>
              </w:rPr>
              <w:t xml:space="preserve">24 x 7 x 365 for live-trip disruptions (flight cancellation, denied boarding, in-trip hotel failure, medical or security exigency)</w:t>
            </w:r>
          </w:p>
        </w:tc>
      </w:tr>
      <w:tr>
        <w:trPr>
          <w:tblHeader w:val="false"/>
        </w:trPr>
        <w:tc>
          <w:tcPr>
            <w:tcW w:type="dxa" w:w="3000"/>
            <w:tcMar>
              <w:top w:type="dxa" w:w="80"/>
              <w:left w:type="dxa" w:w="110"/>
              <w:bottom w:type="dxa" w:w="80"/>
              <w:right w:type="dxa" w:w="110"/>
            </w:tcMar>
          </w:tcPr>
          <w:p>
            <w:pPr>
              <w:spacing w:after="0" w:line="260"/>
              <w:jc w:val="left"/>
            </w:pPr>
            <w:r>
              <w:rPr>
                <w:b w:val="false"/>
                <w:bCs w:val="false"/>
                <w:sz w:val="20"/>
                <w:szCs w:val="20"/>
              </w:rPr>
              <w:t xml:space="preserve">Contact channels</w:t>
            </w:r>
          </w:p>
        </w:tc>
        <w:tc>
          <w:tcPr>
            <w:tcW w:type="dxa" w:w="6026"/>
            <w:tcMar>
              <w:top w:type="dxa" w:w="80"/>
              <w:left w:type="dxa" w:w="110"/>
              <w:bottom w:type="dxa" w:w="80"/>
              <w:right w:type="dxa" w:w="110"/>
            </w:tcMar>
          </w:tcPr>
          <w:p>
            <w:pPr>
              <w:spacing w:after="0" w:line="260"/>
              <w:jc w:val="left"/>
            </w:pPr>
            <w:r>
              <w:rPr>
                <w:b w:val="false"/>
                <w:bCs w:val="false"/>
                <w:sz w:val="20"/>
                <w:szCs w:val="20"/>
              </w:rPr>
              <w:t xml:space="preserve">Dedicated email, telephone hotline, and WhatsApp, as notified to the Client in writing on onboarding</w:t>
            </w:r>
          </w:p>
        </w:tc>
      </w:tr>
    </w:tbl>
    <w:p>
      <w:pPr>
        <w:spacing w:after="200"/>
      </w:pPr>
    </w:p>
    <w:p>
      <w:pPr>
        <w:pStyle w:val="Heading1"/>
        <w:spacing w:after="160" w:before="260"/>
      </w:pPr>
      <w:r>
        <w:rPr>
          <w:b/>
          <w:bCs/>
          <w:sz w:val="24"/>
          <w:szCs w:val="24"/>
        </w:rPr>
        <w:t xml:space="preserve">6. Service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926"/>
      </w:tblGrid>
      <w:tr>
        <w:trPr>
          <w:tblHeader/>
        </w:trPr>
        <w:tc>
          <w:tcPr>
            <w:tcW w:type="dxa" w:w="36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Activity</w:t>
            </w:r>
          </w:p>
        </w:tc>
        <w:tc>
          <w:tcPr>
            <w:tcW w:type="dxa" w:w="25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Target</w:t>
            </w:r>
          </w:p>
        </w:tc>
        <w:tc>
          <w:tcPr>
            <w:tcW w:type="dxa" w:w="29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Measured From</w:t>
            </w:r>
          </w:p>
        </w:tc>
      </w:tr>
      <w:tr>
        <w:trPr>
          <w:tblHeader w:val="false"/>
        </w:trPr>
        <w:tc>
          <w:tcPr>
            <w:tcW w:type="dxa" w:w="3600"/>
            <w:tcMar>
              <w:top w:type="dxa" w:w="80"/>
              <w:left w:type="dxa" w:w="110"/>
              <w:bottom w:type="dxa" w:w="80"/>
              <w:right w:type="dxa" w:w="110"/>
            </w:tcMar>
          </w:tcPr>
          <w:p>
            <w:pPr>
              <w:spacing w:after="0" w:line="260"/>
              <w:jc w:val="left"/>
            </w:pPr>
            <w:r>
              <w:rPr>
                <w:b w:val="false"/>
                <w:bCs w:val="false"/>
                <w:sz w:val="20"/>
                <w:szCs w:val="20"/>
              </w:rPr>
              <w:t xml:space="preserve">Acknowledgement of new request</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30 minutes</w:t>
            </w:r>
          </w:p>
        </w:tc>
        <w:tc>
          <w:tcPr>
            <w:tcW w:type="dxa" w:w="2926"/>
            <w:tcMar>
              <w:top w:type="dxa" w:w="80"/>
              <w:left w:type="dxa" w:w="110"/>
              <w:bottom w:type="dxa" w:w="80"/>
              <w:right w:type="dxa" w:w="110"/>
            </w:tcMar>
          </w:tcPr>
          <w:p>
            <w:pPr>
              <w:spacing w:after="0" w:line="260"/>
              <w:jc w:val="left"/>
            </w:pPr>
            <w:r>
              <w:rPr>
                <w:b w:val="false"/>
                <w:bCs w:val="false"/>
                <w:sz w:val="20"/>
                <w:szCs w:val="20"/>
              </w:rPr>
              <w:t xml:space="preserve">Receipt of request</w:t>
            </w:r>
          </w:p>
        </w:tc>
      </w:tr>
      <w:tr>
        <w:trPr>
          <w:tblHeader w:val="false"/>
        </w:trPr>
        <w:tc>
          <w:tcPr>
            <w:tcW w:type="dxa" w:w="3600"/>
            <w:tcMar>
              <w:top w:type="dxa" w:w="80"/>
              <w:left w:type="dxa" w:w="110"/>
              <w:bottom w:type="dxa" w:w="80"/>
              <w:right w:type="dxa" w:w="110"/>
            </w:tcMar>
          </w:tcPr>
          <w:p>
            <w:pPr>
              <w:spacing w:after="0" w:line="260"/>
              <w:jc w:val="left"/>
            </w:pPr>
            <w:r>
              <w:rPr>
                <w:b w:val="false"/>
                <w:bCs w:val="false"/>
                <w:sz w:val="20"/>
                <w:szCs w:val="20"/>
              </w:rPr>
              <w:t xml:space="preserve">Quote — domestic itinerary</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4 hours within dedicated servicing hours</w:t>
            </w:r>
          </w:p>
        </w:tc>
        <w:tc>
          <w:tcPr>
            <w:tcW w:type="dxa" w:w="2926"/>
            <w:tcMar>
              <w:top w:type="dxa" w:w="80"/>
              <w:left w:type="dxa" w:w="110"/>
              <w:bottom w:type="dxa" w:w="80"/>
              <w:right w:type="dxa" w:w="110"/>
            </w:tcMar>
          </w:tcPr>
          <w:p>
            <w:pPr>
              <w:spacing w:after="0" w:line="260"/>
              <w:jc w:val="left"/>
            </w:pPr>
            <w:r>
              <w:rPr>
                <w:b w:val="false"/>
                <w:bCs w:val="false"/>
                <w:sz w:val="20"/>
                <w:szCs w:val="20"/>
              </w:rPr>
              <w:t xml:space="preserve">Receipt of complete request</w:t>
            </w:r>
          </w:p>
        </w:tc>
      </w:tr>
      <w:tr>
        <w:trPr>
          <w:tblHeader w:val="false"/>
        </w:trPr>
        <w:tc>
          <w:tcPr>
            <w:tcW w:type="dxa" w:w="3600"/>
            <w:tcMar>
              <w:top w:type="dxa" w:w="80"/>
              <w:left w:type="dxa" w:w="110"/>
              <w:bottom w:type="dxa" w:w="80"/>
              <w:right w:type="dxa" w:w="110"/>
            </w:tcMar>
          </w:tcPr>
          <w:p>
            <w:pPr>
              <w:spacing w:after="0" w:line="260"/>
              <w:jc w:val="left"/>
            </w:pPr>
            <w:r>
              <w:rPr>
                <w:b w:val="false"/>
                <w:bCs w:val="false"/>
                <w:sz w:val="20"/>
                <w:szCs w:val="20"/>
              </w:rPr>
              <w:t xml:space="preserve">Quote — international or multi-city itinerary</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8 hours within dedicated servicing hours</w:t>
            </w:r>
          </w:p>
        </w:tc>
        <w:tc>
          <w:tcPr>
            <w:tcW w:type="dxa" w:w="2926"/>
            <w:tcMar>
              <w:top w:type="dxa" w:w="80"/>
              <w:left w:type="dxa" w:w="110"/>
              <w:bottom w:type="dxa" w:w="80"/>
              <w:right w:type="dxa" w:w="110"/>
            </w:tcMar>
          </w:tcPr>
          <w:p>
            <w:pPr>
              <w:spacing w:after="0" w:line="260"/>
              <w:jc w:val="left"/>
            </w:pPr>
            <w:r>
              <w:rPr>
                <w:b w:val="false"/>
                <w:bCs w:val="false"/>
                <w:sz w:val="20"/>
                <w:szCs w:val="20"/>
              </w:rPr>
              <w:t xml:space="preserve">Receipt of complete request</w:t>
            </w:r>
          </w:p>
        </w:tc>
      </w:tr>
      <w:tr>
        <w:trPr>
          <w:tblHeader w:val="false"/>
        </w:trPr>
        <w:tc>
          <w:tcPr>
            <w:tcW w:type="dxa" w:w="3600"/>
            <w:tcMar>
              <w:top w:type="dxa" w:w="80"/>
              <w:left w:type="dxa" w:w="110"/>
              <w:bottom w:type="dxa" w:w="80"/>
              <w:right w:type="dxa" w:w="110"/>
            </w:tcMar>
          </w:tcPr>
          <w:p>
            <w:pPr>
              <w:spacing w:after="0" w:line="260"/>
              <w:jc w:val="left"/>
            </w:pPr>
            <w:r>
              <w:rPr>
                <w:b w:val="false"/>
                <w:bCs w:val="false"/>
                <w:sz w:val="20"/>
                <w:szCs w:val="20"/>
              </w:rPr>
              <w:t xml:space="preserve">Ticket or voucher issuance post-approval</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2 hours</w:t>
            </w:r>
          </w:p>
        </w:tc>
        <w:tc>
          <w:tcPr>
            <w:tcW w:type="dxa" w:w="2926"/>
            <w:tcMar>
              <w:top w:type="dxa" w:w="80"/>
              <w:left w:type="dxa" w:w="110"/>
              <w:bottom w:type="dxa" w:w="80"/>
              <w:right w:type="dxa" w:w="110"/>
            </w:tcMar>
          </w:tcPr>
          <w:p>
            <w:pPr>
              <w:spacing w:after="0" w:line="260"/>
              <w:jc w:val="left"/>
            </w:pPr>
            <w:r>
              <w:rPr>
                <w:b w:val="false"/>
                <w:bCs w:val="false"/>
                <w:sz w:val="20"/>
                <w:szCs w:val="20"/>
              </w:rPr>
              <w:t xml:space="preserve">Receipt of written approval</w:t>
            </w:r>
          </w:p>
        </w:tc>
      </w:tr>
      <w:tr>
        <w:trPr>
          <w:tblHeader w:val="false"/>
        </w:trPr>
        <w:tc>
          <w:tcPr>
            <w:tcW w:type="dxa" w:w="3600"/>
            <w:tcMar>
              <w:top w:type="dxa" w:w="80"/>
              <w:left w:type="dxa" w:w="110"/>
              <w:bottom w:type="dxa" w:w="80"/>
              <w:right w:type="dxa" w:w="110"/>
            </w:tcMar>
          </w:tcPr>
          <w:p>
            <w:pPr>
              <w:spacing w:after="0" w:line="260"/>
              <w:jc w:val="left"/>
            </w:pPr>
            <w:r>
              <w:rPr>
                <w:b w:val="false"/>
                <w:bCs w:val="false"/>
                <w:sz w:val="20"/>
                <w:szCs w:val="20"/>
              </w:rPr>
              <w:t xml:space="preserve">Cancellation or amendment request lodged with Supplier</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2 hours</w:t>
            </w:r>
          </w:p>
        </w:tc>
        <w:tc>
          <w:tcPr>
            <w:tcW w:type="dxa" w:w="2926"/>
            <w:tcMar>
              <w:top w:type="dxa" w:w="80"/>
              <w:left w:type="dxa" w:w="110"/>
              <w:bottom w:type="dxa" w:w="80"/>
              <w:right w:type="dxa" w:w="110"/>
            </w:tcMar>
          </w:tcPr>
          <w:p>
            <w:pPr>
              <w:spacing w:after="0" w:line="260"/>
              <w:jc w:val="left"/>
            </w:pPr>
            <w:r>
              <w:rPr>
                <w:b w:val="false"/>
                <w:bCs w:val="false"/>
                <w:sz w:val="20"/>
                <w:szCs w:val="20"/>
              </w:rPr>
              <w:t xml:space="preserve">Receipt of written request</w:t>
            </w:r>
          </w:p>
        </w:tc>
      </w:tr>
      <w:tr>
        <w:trPr>
          <w:tblHeader w:val="false"/>
        </w:trPr>
        <w:tc>
          <w:tcPr>
            <w:tcW w:type="dxa" w:w="3600"/>
            <w:tcMar>
              <w:top w:type="dxa" w:w="80"/>
              <w:left w:type="dxa" w:w="110"/>
              <w:bottom w:type="dxa" w:w="80"/>
              <w:right w:type="dxa" w:w="110"/>
            </w:tcMar>
          </w:tcPr>
          <w:p>
            <w:pPr>
              <w:spacing w:after="0" w:line="260"/>
              <w:jc w:val="left"/>
            </w:pPr>
            <w:r>
              <w:rPr>
                <w:b w:val="false"/>
                <w:bCs w:val="false"/>
                <w:sz w:val="20"/>
                <w:szCs w:val="20"/>
              </w:rPr>
              <w:t xml:space="preserve">Emergency response</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30 minutes</w:t>
            </w:r>
          </w:p>
        </w:tc>
        <w:tc>
          <w:tcPr>
            <w:tcW w:type="dxa" w:w="2926"/>
            <w:tcMar>
              <w:top w:type="dxa" w:w="80"/>
              <w:left w:type="dxa" w:w="110"/>
              <w:bottom w:type="dxa" w:w="80"/>
              <w:right w:type="dxa" w:w="110"/>
            </w:tcMar>
          </w:tcPr>
          <w:p>
            <w:pPr>
              <w:spacing w:after="0" w:line="260"/>
              <w:jc w:val="left"/>
            </w:pPr>
            <w:r>
              <w:rPr>
                <w:b w:val="false"/>
                <w:bCs w:val="false"/>
                <w:sz w:val="20"/>
                <w:szCs w:val="20"/>
              </w:rPr>
              <w:t xml:space="preserve">Receipt of request on the emergency channel</w:t>
            </w:r>
          </w:p>
        </w:tc>
      </w:tr>
      <w:tr>
        <w:trPr>
          <w:tblHeader w:val="false"/>
        </w:trPr>
        <w:tc>
          <w:tcPr>
            <w:tcW w:type="dxa" w:w="3600"/>
            <w:tcMar>
              <w:top w:type="dxa" w:w="80"/>
              <w:left w:type="dxa" w:w="110"/>
              <w:bottom w:type="dxa" w:w="80"/>
              <w:right w:type="dxa" w:w="110"/>
            </w:tcMar>
          </w:tcPr>
          <w:p>
            <w:pPr>
              <w:spacing w:after="0" w:line="260"/>
              <w:jc w:val="left"/>
            </w:pPr>
            <w:r>
              <w:rPr>
                <w:b w:val="false"/>
                <w:bCs w:val="false"/>
                <w:sz w:val="20"/>
                <w:szCs w:val="20"/>
              </w:rPr>
              <w:t xml:space="preserve">SBT availability</w:t>
            </w:r>
          </w:p>
        </w:tc>
        <w:tc>
          <w:tcPr>
            <w:tcW w:type="dxa" w:w="2500"/>
            <w:tcMar>
              <w:top w:type="dxa" w:w="80"/>
              <w:left w:type="dxa" w:w="110"/>
              <w:bottom w:type="dxa" w:w="80"/>
              <w:right w:type="dxa" w:w="110"/>
            </w:tcMar>
          </w:tcPr>
          <w:p>
            <w:pPr>
              <w:spacing w:after="0" w:line="260"/>
              <w:jc w:val="left"/>
            </w:pPr>
            <w:r>
              <w:rPr>
                <w:b w:val="false"/>
                <w:bCs w:val="false"/>
                <w:sz w:val="20"/>
                <w:szCs w:val="20"/>
              </w:rPr>
              <w:t xml:space="preserve">99.0% per calendar month</w:t>
            </w:r>
          </w:p>
        </w:tc>
        <w:tc>
          <w:tcPr>
            <w:tcW w:type="dxa" w:w="2926"/>
            <w:tcMar>
              <w:top w:type="dxa" w:w="80"/>
              <w:left w:type="dxa" w:w="110"/>
              <w:bottom w:type="dxa" w:w="80"/>
              <w:right w:type="dxa" w:w="110"/>
            </w:tcMar>
          </w:tcPr>
          <w:p>
            <w:pPr>
              <w:spacing w:after="0" w:line="260"/>
              <w:jc w:val="left"/>
            </w:pPr>
            <w:r>
              <w:rPr>
                <w:b w:val="false"/>
                <w:bCs w:val="false"/>
                <w:sz w:val="20"/>
                <w:szCs w:val="20"/>
              </w:rPr>
              <w:t xml:space="preserve">Excluding scheduled maintenance</w:t>
            </w:r>
          </w:p>
        </w:tc>
      </w:tr>
    </w:tbl>
    <w:p>
      <w:pPr>
        <w:spacing w:after="100"/>
      </w:pPr>
    </w:p>
    <w:p>
      <w:pPr>
        <w:spacing w:after="140" w:line="276"/>
        <w:jc w:val="both"/>
      </w:pPr>
      <w:r>
        <w:rPr>
          <w:b w:val="false"/>
          <w:bCs w:val="false"/>
          <w:i w:val="false"/>
          <w:iCs w:val="false"/>
          <w:sz w:val="22"/>
          <w:szCs w:val="22"/>
        </w:rPr>
        <w:t xml:space="preserve">The targets set out in this paragraph 6 are performance objectives against which the Service Provider will manage and report its performance. In accordance with Clause 2.9 of the MSA, they do not constitute conditions of the MSA, guarantees, or a basis for service credits, liquidated damages, or termination for cause.</w:t>
      </w:r>
    </w:p>
    <w:p>
      <w:pPr>
        <w:spacing w:after="200"/>
      </w:pPr>
    </w:p>
    <w:p>
      <w:pPr>
        <w:pStyle w:val="Heading1"/>
        <w:spacing w:after="160" w:before="260"/>
      </w:pPr>
      <w:r>
        <w:rPr>
          <w:b/>
          <w:bCs/>
          <w:sz w:val="24"/>
          <w:szCs w:val="24"/>
        </w:rPr>
        <w:t xml:space="preserve">7. Implementation and Onboarding</w:t>
      </w:r>
    </w:p>
    <w:p>
      <w:pPr>
        <w:spacing w:after="140" w:line="276"/>
        <w:jc w:val="both"/>
      </w:pPr>
      <w:r>
        <w:rPr>
          <w:b/>
          <w:bCs/>
          <w:i w:val="false"/>
          <w:iCs w:val="false"/>
          <w:sz w:val="22"/>
          <w:szCs w:val="22"/>
        </w:rPr>
        <w:t xml:space="preserve">4.1</w:t>
      </w:r>
      <w:r>
        <w:rPr>
          <w:b w:val="false"/>
          <w:bCs w:val="false"/>
          <w:i w:val="false"/>
          <w:iCs w:val="false"/>
          <w:sz w:val="22"/>
          <w:szCs w:val="22"/>
        </w:rPr>
        <w:t xml:space="preserve"> The Service Provider shall complete configuration of the SBT and activation of the Concierge Desk within ten (10) business days of the later of (a) the Effective Date and (b) receipt from the Client of the onboarding inputs listed in paragraph 7.2.</w:t>
      </w:r>
    </w:p>
    <w:p>
      <w:pPr>
        <w:spacing w:after="140" w:line="276"/>
        <w:jc w:val="both"/>
      </w:pPr>
      <w:r>
        <w:rPr>
          <w:b/>
          <w:bCs/>
          <w:i w:val="false"/>
          <w:iCs w:val="false"/>
          <w:sz w:val="22"/>
          <w:szCs w:val="22"/>
        </w:rPr>
        <w:t xml:space="preserve">4.2</w:t>
      </w:r>
      <w:r>
        <w:rPr>
          <w:b w:val="false"/>
          <w:bCs w:val="false"/>
          <w:i w:val="false"/>
          <w:iCs w:val="false"/>
          <w:sz w:val="22"/>
          <w:szCs w:val="22"/>
        </w:rPr>
        <w:t xml:space="preserve"> The Client shall provide, in a format reasonably specified by the Service Provider: (a) the employee and Authorised User master, including email addresses and cost centre mapping; (b) the Travel Policy; (c) the approval hierarchy and approval thresholds; (d) billing entity details, including GSTIN, place of supply, and billing address for each entity to be invoiced; and (e) the names and contact details of the Authorised Representatives for the purposes of Annexure I.</w:t>
      </w:r>
    </w:p>
    <w:p>
      <w:pPr>
        <w:spacing w:after="140" w:line="276"/>
        <w:jc w:val="both"/>
      </w:pPr>
      <w:r>
        <w:rPr>
          <w:b/>
          <w:bCs/>
          <w:i w:val="false"/>
          <w:iCs w:val="false"/>
          <w:sz w:val="22"/>
          <w:szCs w:val="22"/>
        </w:rPr>
        <w:t xml:space="preserve">4.3</w:t>
      </w:r>
      <w:r>
        <w:rPr>
          <w:b w:val="false"/>
          <w:bCs w:val="false"/>
          <w:i w:val="false"/>
          <w:iCs w:val="false"/>
          <w:sz w:val="22"/>
          <w:szCs w:val="22"/>
        </w:rPr>
        <w:t xml:space="preserve"> The Service Provider shall provide onboarding and training sessions for Authorised Users and administrators at no additional charge, by remote session, during the implementation period and thereafter on reasonable request.</w:t>
      </w:r>
    </w:p>
    <w:p>
      <w:pPr>
        <w:spacing w:after="240"/>
      </w:pPr>
    </w:p>
    <w:p>
      <w:pPr>
        <w:spacing w:after="140" w:line="276"/>
        <w:jc w:val="both"/>
      </w:pPr>
      <w:r>
        <w:rPr>
          <w:b/>
          <w:bCs/>
          <w:i w:val="false"/>
          <w:iCs w:val="false"/>
          <w:sz w:val="22"/>
          <w:szCs w:val="22"/>
        </w:rPr>
        <w:t xml:space="preserve">IN WITNESS WHEREOF</w:t>
      </w:r>
      <w:r>
        <w:rPr>
          <w:b w:val="false"/>
          <w:bCs w:val="false"/>
          <w:i w:val="false"/>
          <w:iCs w:val="false"/>
          <w:sz w:val="22"/>
          <w:szCs w:val="22"/>
        </w:rPr>
        <w:t xml:space="preserve">, the Parties have caused this Annexure II to be executed by their duly authorised representatives as of the date first above written.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Mar>
              <w:top w:type="dxa" w:w="120"/>
              <w:left w:type="dxa" w:w="140"/>
              <w:bottom w:type="dxa" w:w="120"/>
              <w:right w:type="dxa" w:w="140"/>
            </w:tcMar>
          </w:tcPr>
          <w:p>
            <w:pPr>
              <w:spacing w:after="90" w:line="260"/>
            </w:pPr>
            <w:r>
              <w:rPr>
                <w:b/>
                <w:bCs/>
                <w:sz w:val="20"/>
                <w:szCs w:val="20"/>
              </w:rPr>
              <w:t xml:space="preserve">For Peachmint Trips and Planners Pvt. Ltd.</w:t>
            </w:r>
          </w:p>
          <w:p>
            <w:pPr>
              <w:spacing w:after="90" w:line="260"/>
            </w:pPr>
            <w:r>
              <w:rPr>
                <w:b w:val="false"/>
                <w:bCs w:val="false"/>
                <w:sz w:val="20"/>
                <w:szCs w:val="20"/>
              </w:rPr>
              <w:t xml:space="preserve">(Service Provider)</w:t>
            </w:r>
          </w:p>
          <w:p>
            <w:pPr>
              <w:spacing w:after="90" w:line="260"/>
            </w:pPr>
            <w:r>
              <w:rPr>
                <w:sz w:val="20"/>
                <w:szCs w:val="20"/>
              </w:rPr>
              <w:t xml:space="preserve"/>
            </w:r>
          </w:p>
          <w:p>
            <w:pPr>
              <w:spacing w:after="90" w:line="260"/>
            </w:pPr>
            <w:r>
              <w:rPr>
                <w:b w:val="false"/>
                <w:bCs w:val="false"/>
                <w:sz w:val="20"/>
                <w:szCs w:val="20"/>
              </w:rPr>
              <w:t xml:space="preserve">_______________________________</w:t>
            </w:r>
          </w:p>
          <w:p>
            <w:pPr>
              <w:spacing w:after="90" w:line="260"/>
            </w:pPr>
            <w:r>
              <w:rPr>
                <w:sz w:val="20"/>
                <w:szCs w:val="20"/>
              </w:rPr>
              <w:t xml:space="preserve"/>
            </w:r>
          </w:p>
          <w:p>
            <w:pPr>
              <w:spacing w:after="90" w:line="260"/>
            </w:pPr>
            <w:r>
              <w:rPr>
                <w:b w:val="false"/>
                <w:bCs w:val="false"/>
                <w:sz w:val="20"/>
                <w:szCs w:val="20"/>
              </w:rPr>
              <w:t xml:space="preserve">Name: Saurabh Kumar Jha</w:t>
            </w:r>
          </w:p>
          <w:p>
            <w:pPr>
              <w:spacing w:after="90" w:line="260"/>
            </w:pPr>
            <w:r>
              <w:rPr>
                <w:b w:val="false"/>
                <w:bCs w:val="false"/>
                <w:sz w:val="20"/>
                <w:szCs w:val="20"/>
              </w:rPr>
              <w:t xml:space="preserve">Designation: Chief Executive Officer</w:t>
            </w:r>
          </w:p>
          <w:p>
            <w:pPr>
              <w:spacing w:after="90" w:line="260"/>
            </w:pPr>
            <w:r>
              <w:rPr>
                <w:b w:val="false"/>
                <w:bCs w:val="false"/>
                <w:sz w:val="20"/>
                <w:szCs w:val="20"/>
              </w:rPr>
              <w:t xml:space="preserve">Date: ______________________</w:t>
            </w:r>
          </w:p>
          <w:p>
            <w:pPr>
              <w:spacing w:after="90" w:line="260"/>
            </w:pPr>
            <w:r>
              <w:rPr>
                <w:b w:val="false"/>
                <w:bCs w:val="false"/>
                <w:sz w:val="20"/>
                <w:szCs w:val="20"/>
              </w:rPr>
              <w:t xml:space="preserve">Place: ______________________</w:t>
            </w:r>
          </w:p>
        </w:tc>
        <w:tc>
          <w:tcPr>
            <w:tcW w:type="dxa" w:w="4513"/>
            <w:tcMar>
              <w:top w:type="dxa" w:w="120"/>
              <w:left w:type="dxa" w:w="140"/>
              <w:bottom w:type="dxa" w:w="120"/>
              <w:right w:type="dxa" w:w="140"/>
            </w:tcMar>
          </w:tcPr>
          <w:p>
            <w:pPr>
              <w:spacing w:after="90" w:line="260"/>
            </w:pPr>
            <w:r>
              <w:rPr>
                <w:b/>
                <w:bCs/>
                <w:sz w:val="20"/>
                <w:szCs w:val="20"/>
              </w:rPr>
              <w:t xml:space="preserve">For {client_name}</w:t>
            </w:r>
          </w:p>
          <w:p>
            <w:pPr>
              <w:spacing w:after="90" w:line="260"/>
            </w:pPr>
            <w:r>
              <w:rPr>
                <w:b w:val="false"/>
                <w:bCs w:val="false"/>
                <w:sz w:val="20"/>
                <w:szCs w:val="20"/>
              </w:rPr>
              <w:t xml:space="preserve">(Client)</w:t>
            </w:r>
          </w:p>
          <w:p>
            <w:pPr>
              <w:spacing w:after="90" w:line="260"/>
            </w:pPr>
            <w:r>
              <w:rPr>
                <w:sz w:val="20"/>
                <w:szCs w:val="20"/>
              </w:rPr>
              <w:t xml:space="preserve"/>
            </w:r>
          </w:p>
          <w:p>
            <w:pPr>
              <w:spacing w:after="90" w:line="260"/>
            </w:pPr>
            <w:r>
              <w:rPr>
                <w:b w:val="false"/>
                <w:bCs w:val="false"/>
                <w:sz w:val="20"/>
                <w:szCs w:val="20"/>
              </w:rPr>
              <w:t xml:space="preserve">_______________________________</w:t>
            </w:r>
          </w:p>
          <w:p>
            <w:pPr>
              <w:spacing w:after="90" w:line="260"/>
            </w:pPr>
            <w:r>
              <w:rPr>
                <w:sz w:val="20"/>
                <w:szCs w:val="20"/>
              </w:rPr>
              <w:t xml:space="preserve"/>
            </w:r>
          </w:p>
          <w:p>
            <w:pPr>
              <w:spacing w:after="90" w:line="260"/>
            </w:pPr>
            <w:r>
              <w:rPr>
                <w:b w:val="false"/>
                <w:bCs w:val="false"/>
                <w:sz w:val="20"/>
                <w:szCs w:val="20"/>
              </w:rPr>
              <w:t xml:space="preserve">Name: {client_signatory_name}</w:t>
            </w:r>
          </w:p>
          <w:p>
            <w:pPr>
              <w:spacing w:after="90" w:line="260"/>
            </w:pPr>
            <w:r>
              <w:rPr>
                <w:b w:val="false"/>
                <w:bCs w:val="false"/>
                <w:sz w:val="20"/>
                <w:szCs w:val="20"/>
              </w:rPr>
              <w:t xml:space="preserve">Designation: {client_signatory_designation}</w:t>
            </w:r>
          </w:p>
          <w:p>
            <w:pPr>
              <w:spacing w:after="90" w:line="260"/>
            </w:pPr>
            <w:r>
              <w:rPr>
                <w:b w:val="false"/>
                <w:bCs w:val="false"/>
                <w:sz w:val="20"/>
                <w:szCs w:val="20"/>
              </w:rPr>
              <w:t xml:space="preserve">Date: ______________________</w:t>
            </w:r>
          </w:p>
          <w:p>
            <w:pPr>
              <w:spacing w:after="90" w:line="260"/>
            </w:pPr>
            <w:r>
              <w:rPr>
                <w:b w:val="false"/>
                <w:bCs w:val="false"/>
                <w:sz w:val="20"/>
                <w:szCs w:val="20"/>
              </w:rPr>
              <w:t xml:space="preserve">Place: ______________________</w:t>
            </w:r>
          </w:p>
        </w:tc>
      </w:tr>
    </w:tbl>
    <w:p>
      <w:pPr>
        <w:pageBreakBefore/>
        <w:spacing w:after="60"/>
        <w:jc w:val="center"/>
      </w:pPr>
      <w:r>
        <w:rPr>
          <w:b/>
          <w:bCs/>
          <w:sz w:val="28"/>
          <w:szCs w:val="28"/>
        </w:rPr>
        <w:t xml:space="preserve">ANNEXURE III</w:t>
      </w:r>
    </w:p>
    <w:p>
      <w:pPr>
        <w:spacing w:after="300"/>
        <w:jc w:val="center"/>
      </w:pPr>
      <w:r>
        <w:rPr>
          <w:i/>
          <w:iCs/>
          <w:sz w:val="22"/>
          <w:szCs w:val="22"/>
        </w:rPr>
        <w:t xml:space="preserve">Commercial Offering and Loyalty Programme</w:t>
      </w:r>
    </w:p>
    <w:p>
      <w:pPr>
        <w:spacing w:after="140" w:line="276"/>
        <w:jc w:val="both"/>
      </w:pPr>
      <w:r>
        <w:rPr>
          <w:b w:val="false"/>
          <w:bCs w:val="false"/>
          <w:i w:val="false"/>
          <w:iCs w:val="false"/>
          <w:sz w:val="22"/>
          <w:szCs w:val="22"/>
        </w:rPr>
        <w:t xml:space="preserve">This Annexure III forms an integral part of the Master Service Agreement dated ______________ between </w:t>
      </w:r>
      <w:r>
        <w:rPr>
          <w:b/>
          <w:bCs/>
          <w:i w:val="false"/>
          <w:iCs w:val="false"/>
          <w:sz w:val="22"/>
          <w:szCs w:val="22"/>
        </w:rPr>
        <w:t xml:space="preserve">Peachmint Trips and Planners Pvt. Ltd.</w:t>
      </w:r>
      <w:r>
        <w:rPr>
          <w:b w:val="false"/>
          <w:bCs w:val="false"/>
          <w:i w:val="false"/>
          <w:iCs w:val="false"/>
          <w:sz w:val="22"/>
          <w:szCs w:val="22"/>
        </w:rPr>
        <w:t xml:space="preserve"> and </w:t>
      </w:r>
      <w:r>
        <w:rPr>
          <w:b/>
          <w:bCs/>
          <w:i w:val="false"/>
          <w:iCs w:val="false"/>
          <w:sz w:val="22"/>
          <w:szCs w:val="22"/>
        </w:rPr>
        <w:t xml:space="preserve">{client_name}</w:t>
      </w:r>
      <w:r>
        <w:rPr>
          <w:b w:val="false"/>
          <w:bCs w:val="false"/>
          <w:i w:val="false"/>
          <w:iCs w:val="false"/>
          <w:sz w:val="22"/>
          <w:szCs w:val="22"/>
        </w:rPr>
        <w:t xml:space="preserve">, and is executed pursuant to Clauses 3.11 and 3.16 thereof. Capitalised terms not defined herein shall have the meanings ascribed to them in the MSA.</w:t>
      </w:r>
    </w:p>
    <w:p>
      <w:pPr>
        <w:pStyle w:val="Heading1"/>
        <w:spacing w:after="160" w:before="260"/>
      </w:pPr>
      <w:r>
        <w:rPr>
          <w:b/>
          <w:bCs/>
          <w:sz w:val="24"/>
          <w:szCs w:val="24"/>
        </w:rPr>
        <w:t xml:space="preserve">1. Service Fee Waiver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Parameter</w:t>
            </w:r>
          </w:p>
        </w:tc>
        <w:tc>
          <w:tcPr>
            <w:tcW w:type="dxa" w:w="58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Value / Terms</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Service Fee during Waiver Period</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Zero per cent (0%)</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Applicable service lines</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Flight and hotel Bookings only</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Geographic scope</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Across 160+ countries, indicative and subject to Clause 2.14 of the MSA</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Waiver Period</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Twelve (12) months from the Effective Date</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Booking Channels covered</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Both the SBT and the Concierge Desk</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Payment Modes covered</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Both the Wallet Model and the Invoice Model</w:t>
            </w:r>
          </w:p>
        </w:tc>
      </w:tr>
      <w:tr>
        <w:trPr>
          <w:tblHeader w:val="false"/>
        </w:trPr>
        <w:tc>
          <w:tcPr>
            <w:tcW w:type="dxa" w:w="3200"/>
            <w:tcMar>
              <w:top w:type="dxa" w:w="80"/>
              <w:left w:type="dxa" w:w="110"/>
              <w:bottom w:type="dxa" w:w="80"/>
              <w:right w:type="dxa" w:w="110"/>
            </w:tcMar>
          </w:tcPr>
          <w:p>
            <w:pPr>
              <w:spacing w:after="0" w:line="260"/>
              <w:jc w:val="left"/>
            </w:pPr>
            <w:r>
              <w:rPr>
                <w:b w:val="false"/>
                <w:bCs w:val="false"/>
                <w:sz w:val="20"/>
                <w:szCs w:val="20"/>
              </w:rPr>
              <w:t xml:space="preserve">Position after the Waiver Period</w:t>
            </w:r>
          </w:p>
        </w:tc>
        <w:tc>
          <w:tcPr>
            <w:tcW w:type="dxa" w:w="5826"/>
            <w:tcMar>
              <w:top w:type="dxa" w:w="80"/>
              <w:left w:type="dxa" w:w="110"/>
              <w:bottom w:type="dxa" w:w="80"/>
              <w:right w:type="dxa" w:w="110"/>
            </w:tcMar>
          </w:tcPr>
          <w:p>
            <w:pPr>
              <w:spacing w:after="0" w:line="260"/>
              <w:jc w:val="left"/>
            </w:pPr>
            <w:r>
              <w:rPr>
                <w:b w:val="false"/>
                <w:bCs w:val="false"/>
                <w:sz w:val="20"/>
                <w:szCs w:val="20"/>
              </w:rPr>
              <w:t xml:space="preserve">Service Fee as mutually agreed in writing, failing which the Service Provider’s then-prevailing standard rate card applies on thirty (30) days’ prior written notice</w:t>
            </w:r>
          </w:p>
        </w:tc>
      </w:tr>
    </w:tbl>
    <w:p>
      <w:pPr>
        <w:spacing w:after="100"/>
      </w:pPr>
    </w:p>
    <w:p>
      <w:pPr>
        <w:spacing w:after="140" w:line="276"/>
        <w:jc w:val="both"/>
      </w:pPr>
      <w:r>
        <w:rPr>
          <w:b w:val="false"/>
          <w:bCs w:val="false"/>
          <w:i w:val="false"/>
          <w:iCs w:val="false"/>
          <w:sz w:val="22"/>
          <w:szCs w:val="22"/>
        </w:rPr>
        <w:t xml:space="preserve">The exclusions set out in Clause 3.11 of the MSA apply to the waiver. In particular, and for the avoidance of doubt, the waiver does not extend to the Booking price payable to the Supplier, supplier-embedded charges, markup-inclusive pricing, Supplier cancellation, amendment, reissue, and no-show charges, service lines other than flights and hotels, Payment Gateway charges, or applicable taxes.</w:t>
      </w:r>
    </w:p>
    <w:p>
      <w:pPr>
        <w:spacing w:after="200"/>
      </w:pPr>
    </w:p>
    <w:p>
      <w:pPr>
        <w:pStyle w:val="Heading1"/>
        <w:spacing w:after="160" w:before="260"/>
      </w:pPr>
      <w:r>
        <w:rPr>
          <w:b/>
          <w:bCs/>
          <w:sz w:val="24"/>
          <w:szCs w:val="24"/>
        </w:rPr>
        <w:t xml:space="preserve">2. Loyalty Programme</w:t>
      </w:r>
    </w:p>
    <w:p>
      <w:pPr>
        <w:spacing w:after="140" w:line="276"/>
        <w:jc w:val="both"/>
      </w:pPr>
      <w:r>
        <w:rPr>
          <w:b/>
          <w:bCs/>
          <w:i w:val="false"/>
          <w:iCs w:val="false"/>
          <w:sz w:val="22"/>
          <w:szCs w:val="22"/>
        </w:rPr>
        <w:t xml:space="preserve">2.1 Accrual.</w:t>
      </w:r>
      <w:r>
        <w:rPr>
          <w:b w:val="false"/>
          <w:bCs w:val="false"/>
          <w:i w:val="false"/>
          <w:iCs w:val="false"/>
          <w:sz w:val="22"/>
          <w:szCs w:val="22"/>
        </w:rPr>
        <w:t xml:space="preserve"> The Service Provider shall credit Loyalty Points to the Client’s loyalty account on the following basis: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rPr>
          <w:tblHeader/>
        </w:trPr>
        <w:tc>
          <w:tcPr>
            <w:tcW w:type="dxa" w:w="34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Qualifying Spend in a Programme Year</w:t>
            </w:r>
          </w:p>
        </w:tc>
        <w:tc>
          <w:tcPr>
            <w:tcW w:type="dxa" w:w="2600"/>
            <w:shd w:fill="E8E8E8" w:color="auto" w:val="clear"/>
            <w:tcMar>
              <w:top w:type="dxa" w:w="80"/>
              <w:left w:type="dxa" w:w="110"/>
              <w:bottom w:type="dxa" w:w="80"/>
              <w:right w:type="dxa" w:w="110"/>
            </w:tcMar>
          </w:tcPr>
          <w:p>
            <w:pPr>
              <w:spacing w:after="0" w:line="260"/>
              <w:jc w:val="left"/>
            </w:pPr>
            <w:r>
              <w:rPr>
                <w:b w:val="false"/>
                <w:bCs w:val="false"/>
                <w:sz w:val="20"/>
                <w:szCs w:val="20"/>
              </w:rPr>
              <w:t xml:space="preserve">Loyalty Points Credited</w:t>
            </w:r>
          </w:p>
        </w:tc>
        <w:tc>
          <w:tcPr>
            <w:tcW w:type="dxa" w:w="3026"/>
            <w:shd w:fill="E8E8E8" w:color="auto" w:val="clear"/>
            <w:tcMar>
              <w:top w:type="dxa" w:w="80"/>
              <w:left w:type="dxa" w:w="110"/>
              <w:bottom w:type="dxa" w:w="80"/>
              <w:right w:type="dxa" w:w="110"/>
            </w:tcMar>
          </w:tcPr>
          <w:p>
            <w:pPr>
              <w:spacing w:after="0" w:line="260"/>
              <w:jc w:val="left"/>
            </w:pPr>
            <w:r>
              <w:rPr>
                <w:b w:val="false"/>
                <w:bCs w:val="false"/>
                <w:sz w:val="20"/>
                <w:szCs w:val="20"/>
              </w:rPr>
              <w:t xml:space="preserve">Indicative Redemption Value</w:t>
            </w:r>
          </w:p>
        </w:tc>
      </w:tr>
      <w:tr>
        <w:trPr>
          <w:tblHeader w:val="false"/>
        </w:trPr>
        <w:tc>
          <w:tcPr>
            <w:tcW w:type="dxa" w:w="3400"/>
            <w:tcMar>
              <w:top w:type="dxa" w:w="80"/>
              <w:left w:type="dxa" w:w="110"/>
              <w:bottom w:type="dxa" w:w="80"/>
              <w:right w:type="dxa" w:w="110"/>
            </w:tcMar>
          </w:tcPr>
          <w:p>
            <w:pPr>
              <w:spacing w:after="0" w:line="260"/>
              <w:jc w:val="left"/>
            </w:pPr>
            <w:r>
              <w:rPr>
                <w:b w:val="false"/>
                <w:bCs w:val="false"/>
                <w:sz w:val="20"/>
                <w:szCs w:val="20"/>
              </w:rPr>
              <w:t xml:space="preserve">INR 5,00,000</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5,000 points</w:t>
            </w:r>
          </w:p>
        </w:tc>
        <w:tc>
          <w:tcPr>
            <w:tcW w:type="dxa" w:w="3026"/>
            <w:tcMar>
              <w:top w:type="dxa" w:w="80"/>
              <w:left w:type="dxa" w:w="110"/>
              <w:bottom w:type="dxa" w:w="80"/>
              <w:right w:type="dxa" w:w="110"/>
            </w:tcMar>
          </w:tcPr>
          <w:p>
            <w:pPr>
              <w:spacing w:after="0" w:line="260"/>
              <w:jc w:val="left"/>
            </w:pPr>
            <w:r>
              <w:rPr>
                <w:b w:val="false"/>
                <w:bCs w:val="false"/>
                <w:sz w:val="20"/>
                <w:szCs w:val="20"/>
              </w:rPr>
              <w:t xml:space="preserve">INR 5,000</w:t>
            </w:r>
          </w:p>
        </w:tc>
      </w:tr>
      <w:tr>
        <w:trPr>
          <w:tblHeader w:val="false"/>
        </w:trPr>
        <w:tc>
          <w:tcPr>
            <w:tcW w:type="dxa" w:w="3400"/>
            <w:tcMar>
              <w:top w:type="dxa" w:w="80"/>
              <w:left w:type="dxa" w:w="110"/>
              <w:bottom w:type="dxa" w:w="80"/>
              <w:right w:type="dxa" w:w="110"/>
            </w:tcMar>
          </w:tcPr>
          <w:p>
            <w:pPr>
              <w:spacing w:after="0" w:line="260"/>
              <w:jc w:val="left"/>
            </w:pPr>
            <w:r>
              <w:rPr>
                <w:b w:val="false"/>
                <w:bCs w:val="false"/>
                <w:sz w:val="20"/>
                <w:szCs w:val="20"/>
              </w:rPr>
              <w:t xml:space="preserve">INR 10,00,000</w:t>
            </w:r>
          </w:p>
        </w:tc>
        <w:tc>
          <w:tcPr>
            <w:tcW w:type="dxa" w:w="2600"/>
            <w:tcMar>
              <w:top w:type="dxa" w:w="80"/>
              <w:left w:type="dxa" w:w="110"/>
              <w:bottom w:type="dxa" w:w="80"/>
              <w:right w:type="dxa" w:w="110"/>
            </w:tcMar>
          </w:tcPr>
          <w:p>
            <w:pPr>
              <w:spacing w:after="0" w:line="260"/>
              <w:jc w:val="left"/>
            </w:pPr>
            <w:r>
              <w:rPr>
                <w:b w:val="false"/>
                <w:bCs w:val="false"/>
                <w:sz w:val="20"/>
                <w:szCs w:val="20"/>
              </w:rPr>
              <w:t xml:space="preserve">10,000 points</w:t>
            </w:r>
          </w:p>
        </w:tc>
        <w:tc>
          <w:tcPr>
            <w:tcW w:type="dxa" w:w="3026"/>
            <w:tcMar>
              <w:top w:type="dxa" w:w="80"/>
              <w:left w:type="dxa" w:w="110"/>
              <w:bottom w:type="dxa" w:w="80"/>
              <w:right w:type="dxa" w:w="110"/>
            </w:tcMar>
          </w:tcPr>
          <w:p>
            <w:pPr>
              <w:spacing w:after="0" w:line="260"/>
              <w:jc w:val="left"/>
            </w:pPr>
            <w:r>
              <w:rPr>
                <w:b w:val="false"/>
                <w:bCs w:val="false"/>
                <w:sz w:val="20"/>
                <w:szCs w:val="20"/>
              </w:rPr>
              <w:t xml:space="preserve">INR 10,000</w:t>
            </w:r>
          </w:p>
        </w:tc>
      </w:tr>
    </w:tbl>
    <w:p>
      <w:pPr>
        <w:spacing w:after="100"/>
      </w:pPr>
    </w:p>
    <w:p>
      <w:pPr>
        <w:spacing w:after="140" w:line="276"/>
        <w:jc w:val="both"/>
      </w:pPr>
      <w:r>
        <w:rPr>
          <w:b w:val="false"/>
          <w:bCs w:val="false"/>
          <w:i w:val="false"/>
          <w:iCs w:val="false"/>
          <w:sz w:val="22"/>
          <w:szCs w:val="22"/>
        </w:rPr>
        <w:t xml:space="preserve">Loyalty Points accrue at the rate of one (1) point for every INR 100 of Qualifying Spend, credited on attainment of each slab set out above, and thereafter in increments of INR 5,00,000 of Qualifying Spend within the same Programme Year.</w:t>
      </w:r>
    </w:p>
    <w:p>
      <w:pPr>
        <w:spacing w:after="140" w:line="276"/>
        <w:jc w:val="both"/>
      </w:pPr>
      <w:r>
        <w:rPr>
          <w:b/>
          <w:bCs/>
          <w:i w:val="false"/>
          <w:iCs w:val="false"/>
          <w:sz w:val="22"/>
          <w:szCs w:val="22"/>
        </w:rPr>
        <w:t xml:space="preserve">2.2 Qualifying Spend.</w:t>
      </w:r>
      <w:r>
        <w:rPr>
          <w:b w:val="false"/>
          <w:bCs w:val="false"/>
          <w:i w:val="false"/>
          <w:iCs w:val="false"/>
          <w:sz w:val="22"/>
          <w:szCs w:val="22"/>
        </w:rPr>
        <w:t xml:space="preserve"> </w:t>
      </w:r>
      <w:r>
        <w:rPr>
          <w:b/>
          <w:bCs/>
          <w:i w:val="false"/>
          <w:iCs w:val="false"/>
          <w:sz w:val="22"/>
          <w:szCs w:val="22"/>
        </w:rPr>
        <w:t xml:space="preserve">"Qualifying Spend"</w:t>
      </w:r>
      <w:r>
        <w:rPr>
          <w:b w:val="false"/>
          <w:bCs w:val="false"/>
          <w:i w:val="false"/>
          <w:iCs w:val="false"/>
          <w:sz w:val="22"/>
          <w:szCs w:val="22"/>
        </w:rPr>
        <w:t xml:space="preserve"> means the aggregate value of Bookings confirmed and paid for by the Client in a Programme Year, </w:t>
      </w:r>
      <w:r>
        <w:rPr>
          <w:b/>
          <w:bCs/>
          <w:i w:val="false"/>
          <w:iCs w:val="false"/>
          <w:sz w:val="22"/>
          <w:szCs w:val="22"/>
        </w:rPr>
        <w:t xml:space="preserve">excluding</w:t>
      </w:r>
      <w:r>
        <w:rPr>
          <w:b w:val="false"/>
          <w:bCs w:val="false"/>
          <w:i w:val="false"/>
          <w:iCs w:val="false"/>
          <w:sz w:val="22"/>
          <w:szCs w:val="22"/>
        </w:rPr>
        <w:t xml:space="preserve">: (a) Goods and Services Tax and all other applicable taxes and statutory levies; (b) Supplier cancellation, amendment, reissue, and no-show charges; (c) the value of any Booking that is subsequently cancelled or refunded, in whole or in part, the corresponding Loyalty Points in respect of which shall be reversed; (d) foreign exchange transactions; (e) insurance premia in respect of policies facilitated under Clause 2.13 of the MSA; (f) Payment Gateway charges; and (g) any amount the subject of an unresolved payment default.</w:t>
      </w:r>
    </w:p>
    <w:p>
      <w:pPr>
        <w:spacing w:after="140" w:line="276"/>
        <w:jc w:val="both"/>
      </w:pPr>
      <w:r>
        <w:rPr>
          <w:b/>
          <w:bCs/>
          <w:i w:val="false"/>
          <w:iCs w:val="false"/>
          <w:sz w:val="22"/>
          <w:szCs w:val="22"/>
        </w:rPr>
        <w:t xml:space="preserve">2.3 Programme Year.</w:t>
      </w:r>
      <w:r>
        <w:rPr>
          <w:b w:val="false"/>
          <w:bCs w:val="false"/>
          <w:i w:val="false"/>
          <w:iCs w:val="false"/>
          <w:sz w:val="22"/>
          <w:szCs w:val="22"/>
        </w:rPr>
        <w:t xml:space="preserve"> </w:t>
      </w:r>
      <w:r>
        <w:rPr>
          <w:b/>
          <w:bCs/>
          <w:i w:val="false"/>
          <w:iCs w:val="false"/>
          <w:sz w:val="22"/>
          <w:szCs w:val="22"/>
        </w:rPr>
        <w:t xml:space="preserve">"Programme Year"</w:t>
      </w:r>
      <w:r>
        <w:rPr>
          <w:b w:val="false"/>
          <w:bCs w:val="false"/>
          <w:i w:val="false"/>
          <w:iCs w:val="false"/>
          <w:sz w:val="22"/>
          <w:szCs w:val="22"/>
        </w:rPr>
        <w:t xml:space="preserve"> means each period of twelve (12) consecutive months commencing on the Effective Date and on each anniversary thereof. Qualifying Spend shall not be carried forward between Programme Years.</w:t>
      </w:r>
    </w:p>
    <w:p>
      <w:pPr>
        <w:spacing w:after="140" w:line="276"/>
        <w:jc w:val="both"/>
      </w:pPr>
      <w:r>
        <w:rPr>
          <w:b/>
          <w:bCs/>
          <w:i w:val="false"/>
          <w:iCs w:val="false"/>
          <w:sz w:val="22"/>
          <w:szCs w:val="22"/>
        </w:rPr>
        <w:t xml:space="preserve">2.4 Redemption.</w:t>
      </w:r>
      <w:r>
        <w:rPr>
          <w:b w:val="false"/>
          <w:bCs w:val="false"/>
          <w:i w:val="false"/>
          <w:iCs w:val="false"/>
          <w:sz w:val="22"/>
          <w:szCs w:val="22"/>
        </w:rPr>
        <w:t xml:space="preserve"> Loyalty Points may be redeemed against Service Charges payable to the Service Provider in respect of future Bookings, at the redemption value set out in paragraph 2.1, upon written request from the Client’s Authorised Representative. Redemption shall be effected as a discount recorded on the relevant Invoice and linked to the corresponding supply, in accordance with Section 15(3) of the Central Goods and Services Tax Act, 2017. Loyalty Points may not be redeemed against taxes, statutory levies, Supplier cancellation charges, or amounts payable to third parties.</w:t>
      </w:r>
    </w:p>
    <w:p>
      <w:pPr>
        <w:spacing w:after="140" w:line="276"/>
        <w:jc w:val="both"/>
      </w:pPr>
      <w:r>
        <w:rPr>
          <w:b/>
          <w:bCs/>
          <w:i w:val="false"/>
          <w:iCs w:val="false"/>
          <w:sz w:val="22"/>
          <w:szCs w:val="22"/>
        </w:rPr>
        <w:t xml:space="preserve">2.5 Entitlement.</w:t>
      </w:r>
      <w:r>
        <w:rPr>
          <w:b w:val="false"/>
          <w:bCs w:val="false"/>
          <w:i w:val="false"/>
          <w:iCs w:val="false"/>
          <w:sz w:val="22"/>
          <w:szCs w:val="22"/>
        </w:rPr>
        <w:t xml:space="preserve"> Loyalty Points accrue to and vest exclusively in the </w:t>
      </w:r>
      <w:r>
        <w:rPr>
          <w:b/>
          <w:bCs/>
          <w:i w:val="false"/>
          <w:iCs w:val="false"/>
          <w:sz w:val="22"/>
          <w:szCs w:val="22"/>
        </w:rPr>
        <w:t xml:space="preserve">Client as a body corporate</w:t>
      </w:r>
      <w:r>
        <w:rPr>
          <w:b w:val="false"/>
          <w:bCs w:val="false"/>
          <w:i w:val="false"/>
          <w:iCs w:val="false"/>
          <w:sz w:val="22"/>
          <w:szCs w:val="22"/>
        </w:rPr>
        <w:t xml:space="preserve">. No Loyalty Points shall accrue to, be credited to, or be redeemable by any individual employee, director, officer, or traveller of the Client in a personal capacity. The Client shall be solely responsible for the accounting and tax treatment of Loyalty Points in its own books.</w:t>
      </w:r>
    </w:p>
    <w:p>
      <w:pPr>
        <w:spacing w:after="140" w:line="276"/>
        <w:jc w:val="both"/>
      </w:pPr>
      <w:r>
        <w:rPr>
          <w:b/>
          <w:bCs/>
          <w:i w:val="false"/>
          <w:iCs w:val="false"/>
          <w:sz w:val="22"/>
          <w:szCs w:val="22"/>
        </w:rPr>
        <w:t xml:space="preserve">2.6 Expiry and Forfeiture.</w:t>
      </w:r>
      <w:r>
        <w:rPr>
          <w:b w:val="false"/>
          <w:bCs w:val="false"/>
          <w:i w:val="false"/>
          <w:iCs w:val="false"/>
          <w:sz w:val="22"/>
          <w:szCs w:val="22"/>
        </w:rPr>
        <w:t xml:space="preserve"> Loyalty Points shall expire twelve (12) months from the date of credit if unredeemed. All unredeemed Loyalty Points shall lapse and stand forfeited, without compensation, upon (a) termination or expiry of the MSA for any reason; or (b) suspension of the Client’s access to the Services under Clause 3.10 of the MSA, for so long as such suspension subsists.</w:t>
      </w:r>
    </w:p>
    <w:p>
      <w:pPr>
        <w:spacing w:after="140" w:line="276"/>
        <w:jc w:val="both"/>
      </w:pPr>
      <w:r>
        <w:rPr>
          <w:b/>
          <w:bCs/>
          <w:i w:val="false"/>
          <w:iCs w:val="false"/>
          <w:sz w:val="22"/>
          <w:szCs w:val="22"/>
        </w:rPr>
        <w:t xml:space="preserve">2.7 No Cash Value.</w:t>
      </w:r>
      <w:r>
        <w:rPr>
          <w:b w:val="false"/>
          <w:bCs w:val="false"/>
          <w:i w:val="false"/>
          <w:iCs w:val="false"/>
          <w:sz w:val="22"/>
          <w:szCs w:val="22"/>
        </w:rPr>
        <w:t xml:space="preserve"> Loyalty Points carry no cash value, are not transferable or assignable, are not encashable, and confer no proprietary right on the Client. The Loyalty Points balance shall not be treated as a debt owed by the Service Provider to the Client, and shall not be capable of set-off against any amount payable under the MSA.</w:t>
      </w:r>
    </w:p>
    <w:p>
      <w:pPr>
        <w:spacing w:after="140" w:line="276"/>
        <w:jc w:val="both"/>
      </w:pPr>
      <w:r>
        <w:rPr>
          <w:b/>
          <w:bCs/>
          <w:i w:val="false"/>
          <w:iCs w:val="false"/>
          <w:sz w:val="22"/>
          <w:szCs w:val="22"/>
        </w:rPr>
        <w:t xml:space="preserve">2.8 Statements and Variation.</w:t>
      </w:r>
      <w:r>
        <w:rPr>
          <w:b w:val="false"/>
          <w:bCs w:val="false"/>
          <w:i w:val="false"/>
          <w:iCs w:val="false"/>
          <w:sz w:val="22"/>
          <w:szCs w:val="22"/>
        </w:rPr>
        <w:t xml:space="preserve"> The Service Provider shall make a Loyalty Points statement available to the Client on request. The Service Provider may vary or withdraw the loyalty programme prospectively on not less than sixty (60) days’ prior written notice to the Client; any such variation or withdrawal shall not affect Loyalty Points already credited, which shall remain redeemable in accordance with this Annexure III until their expiry.</w:t>
      </w:r>
    </w:p>
    <w:p>
      <w:pPr>
        <w:spacing w:after="240"/>
      </w:pPr>
    </w:p>
    <w:p>
      <w:pPr>
        <w:spacing w:after="140" w:line="276"/>
        <w:jc w:val="both"/>
      </w:pPr>
      <w:r>
        <w:rPr>
          <w:b/>
          <w:bCs/>
          <w:i w:val="false"/>
          <w:iCs w:val="false"/>
          <w:sz w:val="22"/>
          <w:szCs w:val="22"/>
        </w:rPr>
        <w:t xml:space="preserve">IN WITNESS WHEREOF</w:t>
      </w:r>
      <w:r>
        <w:rPr>
          <w:b w:val="false"/>
          <w:bCs w:val="false"/>
          <w:i w:val="false"/>
          <w:iCs w:val="false"/>
          <w:sz w:val="22"/>
          <w:szCs w:val="22"/>
        </w:rPr>
        <w:t xml:space="preserve">, the Parties have caused this Annexure III to be executed by their duly authorised representatives as of the date first above written.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Mar>
              <w:top w:type="dxa" w:w="120"/>
              <w:left w:type="dxa" w:w="140"/>
              <w:bottom w:type="dxa" w:w="120"/>
              <w:right w:type="dxa" w:w="140"/>
            </w:tcMar>
          </w:tcPr>
          <w:p>
            <w:pPr>
              <w:spacing w:after="90" w:line="260"/>
            </w:pPr>
            <w:r>
              <w:rPr>
                <w:b/>
                <w:bCs/>
                <w:sz w:val="20"/>
                <w:szCs w:val="20"/>
              </w:rPr>
              <w:t xml:space="preserve">For Peachmint Trips and Planners Pvt. Ltd.</w:t>
            </w:r>
          </w:p>
          <w:p>
            <w:pPr>
              <w:spacing w:after="90" w:line="260"/>
            </w:pPr>
            <w:r>
              <w:rPr>
                <w:b w:val="false"/>
                <w:bCs w:val="false"/>
                <w:sz w:val="20"/>
                <w:szCs w:val="20"/>
              </w:rPr>
              <w:t xml:space="preserve">(Service Provider)</w:t>
            </w:r>
          </w:p>
          <w:p>
            <w:pPr>
              <w:spacing w:after="90" w:line="260"/>
            </w:pPr>
            <w:r>
              <w:rPr>
                <w:sz w:val="20"/>
                <w:szCs w:val="20"/>
              </w:rPr>
              <w:t xml:space="preserve"/>
            </w:r>
          </w:p>
          <w:p>
            <w:pPr>
              <w:spacing w:after="90" w:line="260"/>
            </w:pPr>
            <w:r>
              <w:rPr>
                <w:b w:val="false"/>
                <w:bCs w:val="false"/>
                <w:sz w:val="20"/>
                <w:szCs w:val="20"/>
              </w:rPr>
              <w:t xml:space="preserve">_______________________________</w:t>
            </w:r>
          </w:p>
          <w:p>
            <w:pPr>
              <w:spacing w:after="90" w:line="260"/>
            </w:pPr>
            <w:r>
              <w:rPr>
                <w:sz w:val="20"/>
                <w:szCs w:val="20"/>
              </w:rPr>
              <w:t xml:space="preserve"/>
            </w:r>
          </w:p>
          <w:p>
            <w:pPr>
              <w:spacing w:after="90" w:line="260"/>
            </w:pPr>
            <w:r>
              <w:rPr>
                <w:b w:val="false"/>
                <w:bCs w:val="false"/>
                <w:sz w:val="20"/>
                <w:szCs w:val="20"/>
              </w:rPr>
              <w:t xml:space="preserve">Name: Saurabh Kumar Jha</w:t>
            </w:r>
          </w:p>
          <w:p>
            <w:pPr>
              <w:spacing w:after="90" w:line="260"/>
            </w:pPr>
            <w:r>
              <w:rPr>
                <w:b w:val="false"/>
                <w:bCs w:val="false"/>
                <w:sz w:val="20"/>
                <w:szCs w:val="20"/>
              </w:rPr>
              <w:t xml:space="preserve">Designation: Chief Executive Officer</w:t>
            </w:r>
          </w:p>
          <w:p>
            <w:pPr>
              <w:spacing w:after="90" w:line="260"/>
            </w:pPr>
            <w:r>
              <w:rPr>
                <w:b w:val="false"/>
                <w:bCs w:val="false"/>
                <w:sz w:val="20"/>
                <w:szCs w:val="20"/>
              </w:rPr>
              <w:t xml:space="preserve">Date: ______________________</w:t>
            </w:r>
          </w:p>
          <w:p>
            <w:pPr>
              <w:spacing w:after="90" w:line="260"/>
            </w:pPr>
            <w:r>
              <w:rPr>
                <w:b w:val="false"/>
                <w:bCs w:val="false"/>
                <w:sz w:val="20"/>
                <w:szCs w:val="20"/>
              </w:rPr>
              <w:t xml:space="preserve">Place: ______________________</w:t>
            </w:r>
          </w:p>
        </w:tc>
        <w:tc>
          <w:tcPr>
            <w:tcW w:type="dxa" w:w="4513"/>
            <w:tcMar>
              <w:top w:type="dxa" w:w="120"/>
              <w:left w:type="dxa" w:w="140"/>
              <w:bottom w:type="dxa" w:w="120"/>
              <w:right w:type="dxa" w:w="140"/>
            </w:tcMar>
          </w:tcPr>
          <w:p>
            <w:pPr>
              <w:spacing w:after="90" w:line="260"/>
            </w:pPr>
            <w:r>
              <w:rPr>
                <w:b/>
                <w:bCs/>
                <w:sz w:val="20"/>
                <w:szCs w:val="20"/>
              </w:rPr>
              <w:t xml:space="preserve">For {client_name}</w:t>
            </w:r>
          </w:p>
          <w:p>
            <w:pPr>
              <w:spacing w:after="90" w:line="260"/>
            </w:pPr>
            <w:r>
              <w:rPr>
                <w:b w:val="false"/>
                <w:bCs w:val="false"/>
                <w:sz w:val="20"/>
                <w:szCs w:val="20"/>
              </w:rPr>
              <w:t xml:space="preserve">(Client)</w:t>
            </w:r>
          </w:p>
          <w:p>
            <w:pPr>
              <w:spacing w:after="90" w:line="260"/>
            </w:pPr>
            <w:r>
              <w:rPr>
                <w:sz w:val="20"/>
                <w:szCs w:val="20"/>
              </w:rPr>
              <w:t xml:space="preserve"/>
            </w:r>
          </w:p>
          <w:p>
            <w:pPr>
              <w:spacing w:after="90" w:line="260"/>
            </w:pPr>
            <w:r>
              <w:rPr>
                <w:b w:val="false"/>
                <w:bCs w:val="false"/>
                <w:sz w:val="20"/>
                <w:szCs w:val="20"/>
              </w:rPr>
              <w:t xml:space="preserve">_______________________________</w:t>
            </w:r>
          </w:p>
          <w:p>
            <w:pPr>
              <w:spacing w:after="90" w:line="260"/>
            </w:pPr>
            <w:r>
              <w:rPr>
                <w:sz w:val="20"/>
                <w:szCs w:val="20"/>
              </w:rPr>
              <w:t xml:space="preserve"/>
            </w:r>
          </w:p>
          <w:p>
            <w:pPr>
              <w:spacing w:after="90" w:line="260"/>
            </w:pPr>
            <w:r>
              <w:rPr>
                <w:b w:val="false"/>
                <w:bCs w:val="false"/>
                <w:sz w:val="20"/>
                <w:szCs w:val="20"/>
              </w:rPr>
              <w:t xml:space="preserve">Name: {client_signatory_name}</w:t>
            </w:r>
          </w:p>
          <w:p>
            <w:pPr>
              <w:spacing w:after="90" w:line="260"/>
            </w:pPr>
            <w:r>
              <w:rPr>
                <w:b w:val="false"/>
                <w:bCs w:val="false"/>
                <w:sz w:val="20"/>
                <w:szCs w:val="20"/>
              </w:rPr>
              <w:t xml:space="preserve">Designation: {client_signatory_designation}</w:t>
            </w:r>
          </w:p>
          <w:p>
            <w:pPr>
              <w:spacing w:after="90" w:line="260"/>
            </w:pPr>
            <w:r>
              <w:rPr>
                <w:b w:val="false"/>
                <w:bCs w:val="false"/>
                <w:sz w:val="20"/>
                <w:szCs w:val="20"/>
              </w:rPr>
              <w:t xml:space="preserve">Date: ______________________</w:t>
            </w:r>
          </w:p>
          <w:p>
            <w:pPr>
              <w:spacing w:after="90" w:line="260"/>
            </w:pPr>
            <w:r>
              <w:rPr>
                <w:b w:val="false"/>
                <w:bCs w:val="false"/>
                <w:sz w:val="20"/>
                <w:szCs w:val="20"/>
              </w:rPr>
              <w:t xml:space="preserve">Place: ______________________</w:t>
            </w:r>
          </w:p>
        </w:tc>
      </w:tr>
    </w:tbl>
    <w:p>
      <w:pPr>
        <w:spacing w:after="300"/>
      </w:pPr>
    </w:p>
    <w:p>
      <w:pPr>
        <w:spacing w:after="140" w:line="276"/>
        <w:jc w:val="both"/>
      </w:pPr>
      <w:r>
        <w:rPr>
          <w:b w:val="false"/>
          <w:bCs w:val="false"/>
          <w:i/>
          <w:iCs/>
          <w:sz w:val="18"/>
          <w:szCs w:val="18"/>
        </w:rPr>
        <w:t xml:space="preserve">*Disclaimer: This document has been prepared as a drafting aid and does not constitute legal advice. It should be reviewed by a qualified advocate admitted to practise in India before execution. The drafter assumes no liability for its use.*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Plumtrips — Corporate Travel Master Service Agreement  |  Template v1.0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2026-07-23T11:35:16.172Z</dcterms:created>
  <dcterms:modified xsi:type="dcterms:W3CDTF">2026-07-23T11:35:16.173Z</dcterms:modified>
</cp:coreProperties>
</file>

<file path=docProps/custom.xml><?xml version="1.0" encoding="utf-8"?>
<Properties xmlns="http://schemas.openxmlformats.org/officeDocument/2006/custom-properties" xmlns:vt="http://schemas.openxmlformats.org/officeDocument/2006/docPropsVTypes"/>
</file>