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  <w:vAlign w:val="top"/>
          </w:tcPr>
          <w:p>
            <w:pPr>
              <w:spacing w:before="4596"/>
            </w:pPr>
          </w:p>
          <w:p>
            <w:pPr>
              <w:pBdr>
                <w:bottom w:val="single" w:color="C89F6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C89F62"/>
                <w:spacing w:val="40"/>
                <w:sz w:val="18"/>
                <w:szCs w:val="18"/>
              </w:rPr>
              <w:t xml:space="preserve">S  T  A  N  D  A  R  D     O  P  E  R  A  T  I  N  G     P  R  O  C  E  D  U  R  E  S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2A4A3A"/>
                <w:sz w:val="80"/>
                <w:szCs w:val="80"/>
              </w:rPr>
              <w:t xml:space="preserve">标准操作流程 SOP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芃远综合管理系统（PIMS）· 流程图版</w:t>
            </w:r>
          </w:p>
          <w:p>
            <w:pPr>
              <w:pBdr>
                <w:left w:val="single" w:color="C89F6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文档版本：V2.0（2026 年 8 月 17 日发布）</w:t>
            </w:r>
          </w:p>
          <w:p>
            <w:pPr>
              <w:pBdr>
                <w:left w:val="single" w:color="C89F6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编制单位：PIMS 系统管理组</w:t>
            </w:r>
          </w:p>
          <w:p>
            <w:pPr>
              <w:pBdr>
                <w:left w:val="single" w:color="C89F6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适用对象：全体系统操作人员</w:t>
            </w:r>
          </w:p>
          <w:p>
            <w:pPr>
              <w:pBdr>
                <w:left w:val="single" w:color="C89F6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文档密级：内部资料</w:t>
            </w:r>
          </w:p>
          <w:p>
            <w:pPr>
              <w:spacing w:before="4596"/>
            </w:pPr>
          </w:p>
          <w:p>
            <w:pPr>
              <w:pBdr>
                <w:top w:val="single" w:color="C89F62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A0A0A0"/>
                <w:sz w:val="16"/>
                <w:szCs w:val="16"/>
              </w:rPr>
              <w:t xml:space="preserve">广东芃远新材料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A0A0A0"/>
                <w:sz w:val="16"/>
                <w:szCs w:val="16"/>
              </w:rPr>
              <w:t xml:space="preserve">PIMS · V2.0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00" w:before="240"/>
        <w:jc w:val="center"/>
      </w:pPr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文 档 信 息</w:t>
      </w:r>
    </w:p>
    <w:p>
      <w:pPr>
        <w:keepNext/>
        <w:spacing w:after="60" w:before="120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表 0-1 文档控制信息</w:t>
      </w:r>
    </w:p>
    <w:tbl>
      <w:tblPr>
        <w:tblW w:type="pct" w:w="100%"/>
        <w:tblBorders>
          <w:top w:val="single" w:color="2A4A3A" w:sz="4"/>
          <w:left w:val="none" w:color="FFFFFF" w:sz="0"/>
          <w:bottom w:val="single" w:color="2A4A3A" w:sz="4"/>
          <w:right w:val="none" w:color="FFFFFF" w:sz="0"/>
          <w:insideH w:val="single" w:color="D0D8D0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78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文档名称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芃远综合管理系统（PIMS）标准操作流程（SOP）</w:t>
            </w:r>
          </w:p>
        </w:tc>
      </w:tr>
      <w:tr>
        <w:trPr>
          <w:cantSplit/>
        </w:trPr>
        <w:tc>
          <w:tcPr>
            <w:tcW w:type="pct" w:w="22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版本 / 日期</w:t>
            </w:r>
          </w:p>
        </w:tc>
        <w:tc>
          <w:tcPr>
            <w:tcW w:type="pct" w:w="7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V2.0 / 2026-08-17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版本性质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流程图版，全面改写；旧版 V1.14 纯文字手册归档于 docs/SOP-v1.14-archived.md</w:t>
            </w:r>
          </w:p>
        </w:tc>
      </w:tr>
      <w:tr>
        <w:trPr>
          <w:cantSplit/>
        </w:trPr>
        <w:tc>
          <w:tcPr>
            <w:tcW w:type="pct" w:w="22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适用范围</w:t>
            </w:r>
          </w:p>
        </w:tc>
        <w:tc>
          <w:tcPr>
            <w:tcW w:type="pct" w:w="7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采购、仓储、生产、排产、质检、委外、销售、财务、技术及系统管理全体岗位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配套文档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PRD.md（需求与修订记录）、API.md（接口）、DEPLOY.md（部署）</w:t>
            </w:r>
          </w:p>
        </w:tc>
      </w:tr>
      <w:tr>
        <w:trPr>
          <w:cantSplit/>
        </w:trPr>
        <w:tc>
          <w:tcPr>
            <w:tcW w:type="pct" w:w="22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主要变更</w:t>
            </w:r>
          </w:p>
        </w:tc>
        <w:tc>
          <w:tcPr>
            <w:tcW w:type="pct" w:w="7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补齐排产中心、投出比与异常订单闭环、不合格品库、油尾体系、期初库存导入、过期批次拦截、自动 FIFO 领料、销售转生产/转委外、结束订单、经营看板、质检模板体系、低库存预警按仓库口径、操作日志、AI 智能助手等模块</w:t>
            </w:r>
          </w:p>
        </w:tc>
      </w:tr>
    </w:tbl>
    <w:p>
      <w:pPr>
        <w:spacing w:after="300" w:before="400"/>
        <w:jc w:val="center"/>
      </w:pPr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一、全局操作铁律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二、角色与权限总览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三、业务全景图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四、系统上线初始化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五、配方与工艺路线（技术准备）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5.1 配方版本生命周期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5.2 工艺路线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5.3 制漆配方的油尾节点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六、采购与来料质检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七、生产管理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7.1 生产全流程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7.2 异常订单处理闭环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八、委外管理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九、销售管理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9.1 销售订单与发货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9.2 销售退货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9.3 油尾退回与消化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十、库存中心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10.1 出库通用校验链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10.2 库存查询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10.3 日常库存操作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10.4 库存预警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十一、质量管理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11.1 质检模板体系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11.2 质检判定与库存落点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十二、财务管理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十三、报表与看板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十四、系统管理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14.1 用户与角色权限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14.2 操作日志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14.3 运维提醒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附录 A 单据状态机速查表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附录 B 常见问题速查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说明：本目录由域代码生成。文档编辑后如需刷新页码，请在目录上点击右键并选择「更新域」。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00" w:line="312"/>
        <w:jc w:val="center"/>
      </w:pPr>
      <w:bookmarkStart w:id="100000" w:name="_Toc100000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一、全局操作铁律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以下十条规则适用于所有岗位、所有单据，是全系统必须遵守的基础约束，后续章节不再重复表述。</w:t>
      </w:r>
    </w:p>
    <w:p>
      <w:pPr>
        <w:keepNext/>
        <w:spacing w:after="60" w:before="120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表 1-1 全局操作铁律</w:t>
      </w:r>
    </w:p>
    <w:tbl>
      <w:tblPr>
        <w:tblW w:type="pct" w:w="100%"/>
        <w:tblBorders>
          <w:top w:val="single" w:color="2A4A3A" w:sz="4"/>
          <w:left w:val="none" w:color="FFFFFF" w:sz="0"/>
          <w:bottom w:val="single" w:color="2A4A3A" w:sz="4"/>
          <w:right w:val="none" w:color="FFFFFF" w:sz="0"/>
          <w:insideH w:val="single" w:color="D0D8D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pct" w:w="22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铁律</w:t>
            </w:r>
          </w:p>
        </w:tc>
        <w:tc>
          <w:tcPr>
            <w:tcW w:type="pct" w:w="70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质检前置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所有入库（采购、生产、委外、其他）必须质检合格方可入库，库存即合格品；出库不再校验质检。</w:t>
            </w:r>
          </w:p>
        </w:tc>
      </w:tr>
      <w:tr>
        <w:trPr>
          <w:cantSplit/>
        </w:trPr>
        <w:tc>
          <w:tcPr>
            <w:tcW w:type="pct" w:w="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2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批次必选</w:t>
            </w:r>
          </w:p>
        </w:tc>
        <w:tc>
          <w:tcPr>
            <w:tcW w:type="pct" w:w="7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所有出库（生产、委外、销售、其他）必须选批号，成本按批号单价直取；批号全局唯一，从到货、质检到库存全链贯通。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三级仓位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出入库均按仓库、分库、库位三级选择，下级联动。</w:t>
            </w:r>
          </w:p>
        </w:tc>
      </w:tr>
      <w:tr>
        <w:trPr>
          <w:cantSplit/>
        </w:trPr>
        <w:tc>
          <w:tcPr>
            <w:tcW w:type="pct" w:w="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2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单位统一 kg</w:t>
            </w:r>
          </w:p>
        </w:tc>
        <w:tc>
          <w:tcPr>
            <w:tcW w:type="pct" w:w="7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所有物料单位统一为公斤，生产、委外、配方单据单位不可修改。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财务联动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收货才立应付、发货审核才立应收，下单不立账；内部领料与入库不产生应收应付。</w:t>
            </w:r>
          </w:p>
        </w:tc>
      </w:tr>
      <w:tr>
        <w:trPr>
          <w:cantSplit/>
        </w:trPr>
        <w:tc>
          <w:tcPr>
            <w:tcW w:type="pct" w:w="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2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物料编码自动生成</w:t>
            </w:r>
          </w:p>
        </w:tc>
        <w:tc>
          <w:tcPr>
            <w:tcW w:type="pct" w:w="7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新建物料选完小类即自动生成编码，无手动按钮、不可编辑、全局唯一、无编码不能保存；编码此后不可修改。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过期批次拦截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过期批次（到期日早于当天）禁止一切正常出库与调拨；只有「其他出库」的报废、样品、退货用途放行。</w:t>
            </w:r>
          </w:p>
        </w:tc>
      </w:tr>
      <w:tr>
        <w:trPr>
          <w:cantSplit/>
        </w:trPr>
        <w:tc>
          <w:tcPr>
            <w:tcW w:type="pct" w:w="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22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特殊仓库隔离</w:t>
            </w:r>
          </w:p>
        </w:tc>
        <w:tc>
          <w:tcPr>
            <w:tcW w:type="pct" w:w="7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不合格品库（REJECT）、油尾库（TAILING）的库存被所有正常出库、调拨与自动 FIFO 排除，库存报表默认不显示。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单点登录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一个账号同一时间只能登录一处，新登录会自动顶掉旧会话；发现突然掉线或 401，先确认是否有人在别处使用同一账号。</w:t>
            </w:r>
          </w:p>
        </w:tc>
      </w:tr>
      <w:tr>
        <w:trPr>
          <w:cantSplit/>
        </w:trPr>
        <w:tc>
          <w:tcPr>
            <w:tcW w:type="pct" w:w="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22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状态中文化</w:t>
            </w:r>
          </w:p>
        </w:tc>
        <w:tc>
          <w:tcPr>
            <w:tcW w:type="pct" w:w="7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所有状态显示中文；若出现英文状态码，属于显示异常，请联系管理员。</w:t>
            </w:r>
          </w:p>
        </w:tc>
      </w:tr>
    </w:tbl>
    <w:p>
      <w:pPr>
        <w:pStyle w:val="Heading1"/>
        <w:spacing w:after="200" w:before="400" w:line="312"/>
        <w:jc w:val="center"/>
      </w:pPr>
      <w:bookmarkStart w:id="100001" w:name="_Toc100001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二、角色与权限总览</w:t>
      </w:r>
      <w:bookmarkEnd w:id="100001"/>
    </w:p>
    <w:p>
      <w:pPr>
        <w:keepNext/>
        <w:spacing w:after="60" w:before="120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表 2-1 系统预置角色与权限</w:t>
      </w:r>
    </w:p>
    <w:tbl>
      <w:tblPr>
        <w:tblW w:type="pct" w:w="100%"/>
        <w:tblBorders>
          <w:top w:val="single" w:color="2A4A3A" w:sz="4"/>
          <w:left w:val="none" w:color="FFFFFF" w:sz="0"/>
          <w:bottom w:val="single" w:color="2A4A3A" w:sz="4"/>
          <w:right w:val="none" w:color="FFFFFF" w:sz="0"/>
          <w:insideH w:val="single" w:color="D0D8D0" w:sz="1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14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定位</w:t>
            </w:r>
          </w:p>
        </w:tc>
        <w:tc>
          <w:tcPr>
            <w:tcW w:type="pct" w:w="38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核心权限</w:t>
            </w:r>
          </w:p>
        </w:tc>
        <w:tc>
          <w:tcPr>
            <w:tcW w:type="pct" w:w="28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主要工作菜单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SS 系统管理员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系统维护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全部权限（admin 账号）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系统设置全部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GM 总经理</w:t>
            </w:r>
          </w:p>
        </w:tc>
        <w:tc>
          <w:tcPr>
            <w:tcW w:type="pct" w:w="1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经营决策</w:t>
            </w:r>
          </w:p>
        </w:tc>
        <w:tc>
          <w:tcPr>
            <w:tcW w:type="pct" w:w="3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全模块查看、采购审核与反审核、财务金额可见</w:t>
            </w:r>
          </w:p>
        </w:tc>
        <w:tc>
          <w:tcPr>
            <w:tcW w:type="pct" w:w="2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报表中心、经营看板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PM 生产管理员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生产组织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生产、配方、采购做单与审核，库存写，质检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生产管理、排产中心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BUYER 采购员</w:t>
            </w:r>
          </w:p>
        </w:tc>
        <w:tc>
          <w:tcPr>
            <w:tcW w:type="pct" w:w="1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采购执行</w:t>
            </w:r>
          </w:p>
        </w:tc>
        <w:tc>
          <w:tcPr>
            <w:tcW w:type="pct" w:w="3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供应商与物料维护、采购做单、价格可见</w:t>
            </w:r>
          </w:p>
        </w:tc>
        <w:tc>
          <w:tcPr>
            <w:tcW w:type="pct" w:w="2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采购管理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TECH_LEAD 技术主管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配方工艺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配方读写、工艺路线读写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配方管理、工艺路线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TECHNICIAN 技术员</w:t>
            </w:r>
          </w:p>
        </w:tc>
        <w:tc>
          <w:tcPr>
            <w:tcW w:type="pct" w:w="1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配方查阅</w:t>
            </w:r>
          </w:p>
        </w:tc>
        <w:tc>
          <w:tcPr>
            <w:tcW w:type="pct" w:w="3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配方只读为主</w:t>
            </w:r>
          </w:p>
        </w:tc>
        <w:tc>
          <w:tcPr>
            <w:tcW w:type="pct" w:w="2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配方管理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OUTSOURCE 委外管理员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委外加工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委外单、委外出入库、库存写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委外管理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STOREKEEPER 仓管</w:t>
            </w:r>
          </w:p>
        </w:tc>
        <w:tc>
          <w:tcPr>
            <w:tcW w:type="pct" w:w="1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仓库收发</w:t>
            </w:r>
          </w:p>
        </w:tc>
        <w:tc>
          <w:tcPr>
            <w:tcW w:type="pct" w:w="3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仓库与库存写、生产与委外出入库、各类查看</w:t>
            </w:r>
          </w:p>
        </w:tc>
        <w:tc>
          <w:tcPr>
            <w:tcW w:type="pct" w:w="2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库存中心、各类出入库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SALES 销售员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销售执行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客户、销售单、发货、退货，财务金额可见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销售管理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FINANCE 财务</w:t>
            </w:r>
          </w:p>
        </w:tc>
        <w:tc>
          <w:tcPr>
            <w:tcW w:type="pct" w:w="1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资金账务</w:t>
            </w:r>
          </w:p>
        </w:tc>
        <w:tc>
          <w:tcPr>
            <w:tcW w:type="pct" w:w="3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收付款、财务审核与反审核、价格与付款条件</w:t>
            </w:r>
          </w:p>
        </w:tc>
        <w:tc>
          <w:tcPr>
            <w:tcW w:type="pct" w:w="28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财务管理、账龄报表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QC 质检员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质量判定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质检判定（qc:write）与全模块只读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质量管理</w:t>
            </w:r>
          </w:p>
        </w:tc>
      </w:tr>
    </w:tbl>
    <w:p>
      <w:pPr>
        <w:spacing w:after="120" w:before="60" w:line="312"/>
        <w:ind w:firstLine="480"/>
        <w:jc w:val="both"/>
      </w:pPr>
      <w:r>
        <w:rPr>
          <w:rFonts w:ascii="Times New Roman" w:eastAsia="SimSun"/>
          <w:b/>
          <w:bCs/>
          <w:color w:val="2A4A3A"/>
          <w:sz w:val="24"/>
          <w:szCs w:val="24"/>
        </w:rPr>
        <w:t xml:space="preserve">注意：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权限变更保存后，该角色所有在线用户会被立即踢下线，重新登录后新权限生效，属于正常保护机制。</w:t>
      </w:r>
    </w:p>
    <w:p>
      <w:pPr>
        <w:pStyle w:val="Heading1"/>
        <w:spacing w:after="200" w:before="400" w:line="312"/>
        <w:jc w:val="center"/>
      </w:pPr>
      <w:bookmarkStart w:id="100002" w:name="_Toc100002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三、业务全景图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一张图看懂 PIMS 主业务流：左边进料、中间造货、右边卖货、底下钱流。采购进料经来料质检入原料仓；配方与工艺路线作为技术支撑驱动自制生产与委外加工两条造货线；产出的半成品与成品经质检入库；成品经销售发货送达客户；收货立应付、发货审核立应收，收付款单按 FIFO 自动冲减。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72125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3-1 PIMS 业务全景图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核心串联模型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：物料表是系统的中心，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物料编码（productCode）是唯一纽带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——配方、销售订单明细、生产订单都指向同一物料编码。配方与销售订单录入都必须从物料库中选择 B（半成品）或 C（成品）产品，不允许出现游离编码。</w:t>
      </w:r>
    </w:p>
    <w:p>
      <w:pPr>
        <w:spacing w:after="120" w:before="60" w:line="312"/>
        <w:ind w:firstLine="480"/>
        <w:jc w:val="both"/>
      </w:pPr>
      <w:r>
        <w:rPr>
          <w:rFonts w:ascii="Times New Roman" w:eastAsia="SimSun"/>
          <w:b/>
          <w:bCs/>
          <w:color w:val="2A4A3A"/>
          <w:sz w:val="24"/>
          <w:szCs w:val="24"/>
        </w:rPr>
        <w:t xml:space="preserve">注意：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判断半成品或成品必须查看物料的「大类」字段，不能按编码首字母猜测，例如半成品编码是 PJ 开头而不是 B 开头。</w:t>
      </w:r>
    </w:p>
    <w:p>
      <w:pPr>
        <w:pStyle w:val="Heading1"/>
        <w:spacing w:after="200" w:before="400" w:line="312"/>
        <w:jc w:val="center"/>
      </w:pPr>
      <w:bookmarkStart w:id="100003" w:name="_Toc100003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四、系统上线初始化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本章适用于系统首次启用或新仓库启用场景，由系统管理员（SS）或总经理（GM）操作。初始化顺序如图 4-1。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0515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4-1 系统上线初始化流程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期初库存导入的操作要点：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期初模板 8 列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：物料编码、物料名称、仓库名称、数量为必填；单价、批号、生产日期、过期日期选填。模板从库存查询页工具栏「下载期初模板」获取。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防重闸门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：已有库存的物料禁止导入，同一文件二次导入会全部拒绝——期初导入是一次性动作。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每行落一个批次；批号可填（须全局唯一）也可留空自动生成；过期日期留空按物料质保期推算；导入后质检状态直接记为合格，立即可用。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特殊仓库（自有仓、委外仓、不合格品库、油尾库）由系统启动时自动创建，无需手工建立；不合格品库与油尾库禁止修改类型、删除或停用。</w:t>
      </w:r>
    </w:p>
    <w:p>
      <w:pPr>
        <w:pStyle w:val="Heading1"/>
        <w:spacing w:after="200" w:before="400" w:line="312"/>
        <w:jc w:val="center"/>
      </w:pPr>
      <w:bookmarkStart w:id="100004" w:name="_Toc100004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五、配方与工艺路线（技术准备）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本章由技术主管（TECH_LEAD）或生产管理员（PM）操作，菜单位置：生产管理、配方管理、工艺路线。</w:t>
      </w:r>
    </w:p>
    <w:p>
      <w:pPr>
        <w:pStyle w:val="Heading2"/>
        <w:spacing w:after="140" w:before="280" w:line="312"/>
      </w:pPr>
      <w:bookmarkStart w:id="100005" w:name="_Toc100005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5.1 配方版本生命周期</w:t>
      </w:r>
      <w:bookmarkEnd w:id="100005"/>
    </w:p>
    <w:p>
      <w:pPr>
        <w:keepNext/>
        <w:spacing w:after="40" w:before="120"/>
        <w:jc w:val="center"/>
      </w:pPr>
      <w:r>
        <w:drawing>
          <wp:inline distT="0" distB="0" distL="0" distR="0">
            <wp:extent cx="463867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5-1 配方版本生命周期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只有已发布（RELEASED）版本可被生产订单与委外订单引用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；生产订单始终取该产品最新发布版。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配方树可引用子配方（半成品）：展开时自动递归取子配方的已发布版本，实现「制浆到制漆」两阶段生产。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制浆产半成品（B 类，研磨浆），制漆产成品（C 类，成品漆）——浆和漆是两类物料。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原材料节点支持配置平替物料（双向关系），配方树中可一键切换，用量保持不变。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打印贯通：配方工艺指导单、生产投料单、委外单均按配方绑定的路线打印工序与步骤。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配方名称（产品名）不允许重复，保存时系统自动查重。</w:t>
      </w:r>
    </w:p>
    <w:p>
      <w:pPr>
        <w:pStyle w:val="Heading2"/>
        <w:spacing w:after="140" w:before="280" w:line="312"/>
      </w:pPr>
      <w:bookmarkStart w:id="100006" w:name="_Toc100006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5.2 工艺路线</w:t>
      </w:r>
      <w:bookmarkEnd w:id="100006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路线由工序、步骤（支持投料顺序占位符）、工序质检项三级构成。同类型可建多条命名路线，每类型一条默认路线（新建配方时自动带出）。被配方引用的路线以及默认路线均不可删除。系统预置默认路线：制浆 6 工序（预混、砂磨、调色、过滤、打包留样送检、刷缸）与制漆 5 工序（预混/调漆、调色、过滤、打包留样送检、刷缸），可直接在管理页修改。</w:t>
      </w:r>
    </w:p>
    <w:p>
      <w:pPr>
        <w:pStyle w:val="Heading2"/>
        <w:spacing w:after="140" w:before="280" w:line="312"/>
      </w:pPr>
      <w:bookmarkStart w:id="100007" w:name="_Toc100007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5.3 制漆配方的油尾节点</w:t>
      </w:r>
      <w:bookmarkEnd w:id="100007"/>
    </w:p>
    <w:p>
      <w:pPr>
        <w:keepNext/>
        <w:spacing w:after="40" w:before="120"/>
        <w:jc w:val="center"/>
      </w:pPr>
      <w:r>
        <w:drawing>
          <wp:inline distT="0" distB="0" distL="0" distR="0">
            <wp:extent cx="5572125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5-2 制漆配方油尾节点校验链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油尾节点允许制漆配方直接投用油尾库中的同体系成品漆。系统执行硬校验：仅制漆配方、必须为 C 类成品、主材体系一致、且编码相同或色系相同、油尾库有库存，任一不满足即拒绝保存。校验通过后配方含油尾投料，消化方式为生产人工领料（自动 FIFO 出库排除油尾库）。</w:t>
      </w:r>
    </w:p>
    <w:p>
      <w:pPr>
        <w:pStyle w:val="Heading1"/>
        <w:spacing w:after="200" w:before="400" w:line="312"/>
        <w:jc w:val="center"/>
      </w:pPr>
      <w:bookmarkStart w:id="100008" w:name="_Toc100008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六、采购与来料质检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本章由采购员（BUYER）做单、总经理或生产管理员审核、质检员（QC）判定、仓管（STOREKEEPER）收货，菜单位置：采购管理。全流程如图 6-1。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7052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6-1 采购到货质检全流程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审核后的采购单才允许到货录入；已审核单据可以反审核退回开立状态。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到货录入时批号由系统自动生成（B+日期+3 位序号），一个批号从到货、质检到库存全链贯通；判定弹窗中检验员可按实物包装批号补填或修正。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质检不合格的货从未入库：退货单审核通过即视为退货完成（直接退供应商），系统不产生退货出库、也不冲应付（收货才立应付）。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质检判定按物料大类自动套用检测项模板并逐项录入实测值（详见第十一章）。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低库存预警按「物料+仓库」口径触发，报表中可一键生成采购单（建议量为平均月用量，自动带目标仓库）。</w:t>
      </w:r>
    </w:p>
    <w:p>
      <w:pPr>
        <w:pStyle w:val="Heading1"/>
        <w:spacing w:after="200" w:before="400" w:line="312"/>
        <w:jc w:val="center"/>
      </w:pPr>
      <w:bookmarkStart w:id="100009" w:name="_Toc100009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七、生产管理</w:t>
      </w:r>
      <w:bookmarkEnd w:id="100009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本章由生产管理员（PM）组织订单与排产、仓管（STOREKEEPER）执行领料与入库、质检员（QC）判定，菜单位置：生产管理。</w:t>
      </w:r>
    </w:p>
    <w:p>
      <w:pPr>
        <w:pStyle w:val="Heading2"/>
        <w:spacing w:after="140" w:before="280" w:line="312"/>
      </w:pPr>
      <w:bookmarkStart w:id="100010" w:name="_Toc100010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7.1 生产全流程</w:t>
      </w:r>
      <w:bookmarkEnd w:id="100010"/>
    </w:p>
    <w:p>
      <w:pPr>
        <w:keepNext/>
        <w:spacing w:after="40" w:before="120"/>
        <w:jc w:val="center"/>
      </w:pPr>
      <w:r>
        <w:drawing>
          <wp:inline distT="0" distB="0" distL="0" distR="0">
            <wp:extent cx="235267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7-1 生产全流程（订单、排产、领料、入库、完工）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排产中心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只处理已确认订单，排产时做全量库存校验：缺任何原料都会被拦截，且一次性列出所有缺口，无需反复试。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生产出库单（领料）创建即确认并直接扣库存，没有确认按钮。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生产入库前置校验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：订单必须存在已确认的领料出库单（未领料不能入库）；同一订单禁止重复参照入库；已完工订单不出现在参照下拉。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自动完工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：入库质检合格（入库单完成）后订单状态自动置为已完工，无需手动操作；手动「完工」按钮仅作兜底。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投出比口径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：投入为已确认领料量合计，产出为已入库合格量合计，比率等于产出除以投入乘百分之百；阈值 95%；无投入显示未知。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订单展示状态优先级：已发货、已完工、已入库、已投料。</w:t>
      </w:r>
    </w:p>
    <w:p>
      <w:pPr>
        <w:pStyle w:val="Heading2"/>
        <w:spacing w:after="140" w:before="280" w:line="312"/>
      </w:pPr>
      <w:bookmarkStart w:id="100011" w:name="_Toc100011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7.2 异常订单处理闭环</w:t>
      </w:r>
      <w:bookmarkEnd w:id="100011"/>
    </w:p>
    <w:p>
      <w:pPr>
        <w:keepNext/>
        <w:spacing w:after="40" w:before="120"/>
        <w:jc w:val="center"/>
      </w:pPr>
      <w:r>
        <w:drawing>
          <wp:inline distT="0" distB="0" distL="0" distR="0">
            <wp:extent cx="5572125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7-2 异常订单处理闭环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已完工且投出比低于 95% 的订单自动进入异常列表（生产管理、异常订单处理），处置流程为待处理、处理中、已闭环三步闭环，需记录原因、措施与处理人，支持重开与 Excel 导出存档。生产订单页「已完工」页签中异常单标红，可就地弹窗处理。</w:t>
      </w:r>
    </w:p>
    <w:p>
      <w:pPr>
        <w:pStyle w:val="Heading1"/>
        <w:spacing w:after="200" w:before="400" w:line="312"/>
        <w:jc w:val="center"/>
      </w:pPr>
      <w:bookmarkStart w:id="100012" w:name="_Toc100012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八、委外管理</w:t>
      </w:r>
      <w:bookmarkEnd w:id="100012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本章由委外管理员（OUTSOURCE）操作，菜单位置：委外管理。全流程如图 8-1。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8607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8-1 委外加工全流程</w:t>
      </w:r>
    </w:p>
    <w:p>
      <w:pPr>
        <w:pStyle w:val="ListParagraph"/>
        <w:numPr>
          <w:ilvl w:val="0"/>
          <w:numId w:val="6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委外发料不做调拨：人工发料直接从自有仓扣减；自动 FIFO 从代工厂名下的委外仓扣减，按实际业务二选一。</w:t>
      </w:r>
    </w:p>
    <w:p>
      <w:pPr>
        <w:pStyle w:val="ListParagraph"/>
        <w:numPr>
          <w:ilvl w:val="0"/>
          <w:numId w:val="6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委外入库与生产入库同样走质检前置，前置校验为必须已委外出库。</w:t>
      </w:r>
    </w:p>
    <w:p>
      <w:pPr>
        <w:pStyle w:val="ListParagraph"/>
        <w:numPr>
          <w:ilvl w:val="0"/>
          <w:numId w:val="6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质检合格自动入库并按入库量乘加工费单价生成加工费应付；不合格货物自动转入不合格品库。</w:t>
      </w:r>
    </w:p>
    <w:p>
      <w:pPr>
        <w:pStyle w:val="ListParagraph"/>
        <w:numPr>
          <w:ilvl w:val="0"/>
          <w:numId w:val="6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委外入库支持溯源查询：配方谱系、发料批次与代工厂信息全程可追溯。</w:t>
      </w:r>
    </w:p>
    <w:p>
      <w:pPr>
        <w:pStyle w:val="Heading1"/>
        <w:spacing w:after="200" w:before="400" w:line="312"/>
        <w:jc w:val="center"/>
      </w:pPr>
      <w:bookmarkStart w:id="100013" w:name="_Toc100013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九、销售管理</w:t>
      </w:r>
      <w:bookmarkEnd w:id="10001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本章由销售员（SALES）做单、仓管（STOREKEEPER）发货，菜单位置：销售管理。</w:t>
      </w:r>
    </w:p>
    <w:p>
      <w:pPr>
        <w:pStyle w:val="Heading2"/>
        <w:spacing w:after="140" w:before="280" w:line="312"/>
      </w:pPr>
      <w:bookmarkStart w:id="100014" w:name="_Toc100014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9.1 销售订单与发货</w:t>
      </w:r>
      <w:bookmarkEnd w:id="100014"/>
    </w:p>
    <w:p>
      <w:pPr>
        <w:keepNext/>
        <w:spacing w:after="40" w:before="120"/>
        <w:jc w:val="center"/>
      </w:pPr>
      <w:r>
        <w:drawing>
          <wp:inline distT="0" distB="0" distL="0" distR="0">
            <wp:extent cx="5572125" cy="766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9-1 销售订单与发货流程</w:t>
      </w:r>
    </w:p>
    <w:p>
      <w:pPr>
        <w:pStyle w:val="ListParagraph"/>
        <w:numPr>
          <w:ilvl w:val="0"/>
          <w:numId w:val="7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两步式录入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：必须先选「销售大类」（材料、半成品、成品），明细下拉才会显示该大类物料；切换大类会清空已录明细。搜物料用编码或名称，不是配方号。</w:t>
      </w:r>
    </w:p>
    <w:p>
      <w:pPr>
        <w:pStyle w:val="ListParagraph"/>
        <w:numPr>
          <w:ilvl w:val="0"/>
          <w:numId w:val="7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应收到期日规则：款到发货为发货当天；账期 N 天为发货日加 N 天；月结、两月结、三月结为次月、次两月、次三月 1 号；货到付款为立账当天。</w:t>
      </w:r>
    </w:p>
    <w:p>
      <w:pPr>
        <w:pStyle w:val="ListParagraph"/>
        <w:numPr>
          <w:ilvl w:val="0"/>
          <w:numId w:val="7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发货单生成时不占库存、不立应收；仓管审核那一刻才按批号扣库存并生成应收，审核前系统会校验明细必须已定价。</w:t>
      </w:r>
    </w:p>
    <w:p>
      <w:pPr>
        <w:pStyle w:val="Heading2"/>
        <w:spacing w:after="140" w:before="280" w:line="312"/>
      </w:pPr>
      <w:bookmarkStart w:id="100015" w:name="_Toc100015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9.2 销售退货</w:t>
      </w:r>
      <w:bookmarkEnd w:id="100015"/>
    </w:p>
    <w:p>
      <w:pPr>
        <w:keepNext/>
        <w:spacing w:after="40" w:before="120"/>
        <w:jc w:val="center"/>
      </w:pPr>
      <w:r>
        <w:drawing>
          <wp:inline distT="0" distB="0" distL="0" distR="0">
            <wp:extent cx="5572125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9-2 销售退货流程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退货单创建时客户可不从档案选择（参照原出库单带出或直接输入客户名）；销售员审核后由仓管执行退货入库，系统自动生成新批号并按 FIFO 自动红冲应收。</w:t>
      </w:r>
    </w:p>
    <w:p>
      <w:pPr>
        <w:pStyle w:val="Heading2"/>
        <w:spacing w:after="140" w:before="280" w:line="312"/>
      </w:pPr>
      <w:bookmarkStart w:id="100016" w:name="_Toc100016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9.3 油尾退回与消化</w:t>
      </w:r>
      <w:bookmarkEnd w:id="100016"/>
    </w:p>
    <w:p>
      <w:pPr>
        <w:keepNext/>
        <w:spacing w:after="40" w:before="120"/>
        <w:jc w:val="center"/>
      </w:pPr>
      <w:r>
        <w:drawing>
          <wp:inline distT="0" distB="0" distL="0" distR="0">
            <wp:extent cx="5572125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9-3 油尾退回与消化流程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油尾退回是客户退回未用完油漆（已加稀料）的专门通道：参照原销售出库单创建退回单（YW 单号），确认后自动入油尾库（原批号带回、质检状态记 TAILING、单位成本 0、不走质检、精确到库位），此后不可再销售。结算两种方式：折价退（单价大于 0）冲减客户应收；付费回收（单价小于 0）生成客户应收。唯一消化途径是制漆配方添加油尾节点（见图 5-2）后生产人工领料。销售、委外、调拨与自动 FIFO 一律禁止动用油尾库。</w:t>
      </w:r>
    </w:p>
    <w:p>
      <w:pPr>
        <w:pStyle w:val="Heading1"/>
        <w:spacing w:after="200" w:before="400" w:line="312"/>
        <w:jc w:val="center"/>
      </w:pPr>
      <w:bookmarkStart w:id="100017" w:name="_Toc100017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十、库存中心</w:t>
      </w:r>
      <w:bookmarkEnd w:id="100017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本章由仓管（STOREKEEPER）操作，菜单位置：库存中心。</w:t>
      </w:r>
    </w:p>
    <w:p>
      <w:pPr>
        <w:pStyle w:val="Heading2"/>
        <w:spacing w:after="140" w:before="280" w:line="312"/>
      </w:pPr>
      <w:bookmarkStart w:id="100018" w:name="_Toc100018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10.1 出库通用校验链</w:t>
      </w:r>
      <w:bookmarkEnd w:id="100018"/>
    </w:p>
    <w:p>
      <w:pPr>
        <w:keepNext/>
        <w:spacing w:after="40" w:before="120"/>
        <w:jc w:val="center"/>
      </w:pPr>
      <w:r>
        <w:drawing>
          <wp:inline distT="0" distB="0" distL="0" distR="0">
            <wp:extent cx="5572125" cy="668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10-1 出库通用校验链（每次出库系统自动执行）</w:t>
      </w:r>
    </w:p>
    <w:p>
      <w:pPr>
        <w:pStyle w:val="Heading2"/>
        <w:spacing w:after="140" w:before="280" w:line="312"/>
      </w:pPr>
      <w:bookmarkStart w:id="100019" w:name="_Toc100019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10.2 库存查询</w:t>
      </w:r>
      <w:bookmarkEnd w:id="100019"/>
    </w:p>
    <w:p>
      <w:pPr>
        <w:pStyle w:val="ListParagraph"/>
        <w:numPr>
          <w:ilvl w:val="0"/>
          <w:numId w:val="8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双视图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：按编码视图显示该编码跨批次合计总量与均价；按批次视图显示每个批次的余量与质检信息。</w:t>
      </w:r>
    </w:p>
    <w:p>
      <w:pPr>
        <w:pStyle w:val="ListParagraph"/>
        <w:numPr>
          <w:ilvl w:val="0"/>
          <w:numId w:val="8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批次视图质检贯通：批次行直接显示质检单号、检测结果、检验员与检验日期；行首展开可查看逐项检测明细；点击检测结果可弹出完整质检报告单并支持打印。</w:t>
      </w:r>
    </w:p>
    <w:p>
      <w:pPr>
        <w:pStyle w:val="ListParagraph"/>
        <w:numPr>
          <w:ilvl w:val="0"/>
          <w:numId w:val="8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历史批次显示「未质检」属正常现象：该批次无质检记录时系统只做精确匹配，不跨批次兜底。</w:t>
      </w:r>
    </w:p>
    <w:p>
      <w:pPr>
        <w:pStyle w:val="Heading2"/>
        <w:spacing w:after="140" w:before="280" w:line="312"/>
      </w:pPr>
      <w:bookmarkStart w:id="100020" w:name="_Toc100020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10.3 日常库存操作</w:t>
      </w:r>
      <w:bookmarkEnd w:id="100020"/>
    </w:p>
    <w:p>
      <w:pPr>
        <w:keepNext/>
        <w:spacing w:after="60" w:before="120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表 10-1 日常库存操作一览</w:t>
      </w:r>
    </w:p>
    <w:tbl>
      <w:tblPr>
        <w:tblW w:type="pct" w:w="100%"/>
        <w:tblBorders>
          <w:top w:val="single" w:color="2A4A3A" w:sz="4"/>
          <w:left w:val="none" w:color="FFFFFF" w:sz="0"/>
          <w:bottom w:val="single" w:color="2A4A3A" w:sz="4"/>
          <w:right w:val="none" w:color="FFFFFF" w:sz="0"/>
          <w:insideH w:val="single" w:color="D0D8D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pct" w:w="22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入口</w:t>
            </w:r>
          </w:p>
        </w:tc>
        <w:tc>
          <w:tcPr>
            <w:tcW w:type="pct" w:w="62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跨仓调拨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库存查询/库存操作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禁止过期批次；不合格品库物料不可调出。</w:t>
            </w:r>
          </w:p>
        </w:tc>
      </w:tr>
      <w:tr>
        <w:trPr>
          <w:cantSplit/>
        </w:trPr>
        <w:tc>
          <w:tcPr>
            <w:tcW w:type="pct" w:w="1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盘点</w:t>
            </w:r>
          </w:p>
        </w:tc>
        <w:tc>
          <w:tcPr>
            <w:tcW w:type="pct" w:w="22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盘库管理</w:t>
            </w:r>
          </w:p>
        </w:tc>
        <w:tc>
          <w:tcPr>
            <w:tcW w:type="pct" w:w="62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盘盈、盘亏、库位调整三类，确认立即生效。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其他入库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其他入库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创建即送检（无确认按钮），批号与库位必选。</w:t>
            </w:r>
          </w:p>
        </w:tc>
      </w:tr>
      <w:tr>
        <w:trPr>
          <w:cantSplit/>
        </w:trPr>
        <w:tc>
          <w:tcPr>
            <w:tcW w:type="pct" w:w="1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其他出库</w:t>
            </w:r>
          </w:p>
        </w:tc>
        <w:tc>
          <w:tcPr>
            <w:tcW w:type="pct" w:w="22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其他出库</w:t>
            </w:r>
          </w:p>
        </w:tc>
        <w:tc>
          <w:tcPr>
            <w:tcW w:type="pct" w:w="62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用途必须选择（报废、样品、退货等）；是过期料与隔离仓库存的唯一合法出口（限报废、退货、样品）；确认即扣库存。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期初导入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库存查询工具栏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详见第四章。</w:t>
            </w:r>
          </w:p>
        </w:tc>
      </w:tr>
    </w:tbl>
    <w:p>
      <w:pPr>
        <w:pStyle w:val="Heading2"/>
        <w:spacing w:after="140" w:before="280" w:line="312"/>
      </w:pPr>
      <w:bookmarkStart w:id="100021" w:name="_Toc100021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10.4 库存预警</w:t>
      </w:r>
      <w:bookmarkEnd w:id="100021"/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低库存预警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（报表中心）按「物料+仓库」口径计算月用量、日用量、安全库存与可用天数；委外仓无出库记录不预警；支持一键生成采购单。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过期预警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（报表中心）提供临期与已过期批次清单并支持导出；过期料的处理通道为其他出库报废。</w:t>
      </w:r>
    </w:p>
    <w:p>
      <w:pPr>
        <w:pStyle w:val="Heading1"/>
        <w:spacing w:after="200" w:before="400" w:line="312"/>
        <w:jc w:val="center"/>
      </w:pPr>
      <w:bookmarkStart w:id="100022" w:name="_Toc100022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十一、质量管理</w:t>
      </w:r>
      <w:bookmarkEnd w:id="100022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本章由质检员（QC）操作，菜单位置：质量管理、质检管理、质检模板。</w:t>
      </w:r>
    </w:p>
    <w:p>
      <w:pPr>
        <w:pStyle w:val="Heading2"/>
        <w:spacing w:after="140" w:before="280" w:line="312"/>
      </w:pPr>
      <w:bookmarkStart w:id="100023" w:name="_Toc100023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11.1 质检模板体系</w:t>
      </w:r>
      <w:bookmarkEnd w:id="10002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质检单创建时按物料大类自动套用检测项模板，共 7 套默认模板：</w:t>
      </w:r>
    </w:p>
    <w:p>
      <w:pPr>
        <w:keepNext/>
        <w:spacing w:after="60" w:before="120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表 11-1 质检检测项模板（按物料大类）</w:t>
      </w:r>
    </w:p>
    <w:tbl>
      <w:tblPr>
        <w:tblW w:type="pct" w:w="100%"/>
        <w:tblBorders>
          <w:top w:val="single" w:color="2A4A3A" w:sz="4"/>
          <w:left w:val="none" w:color="FFFFFF" w:sz="0"/>
          <w:bottom w:val="single" w:color="2A4A3A" w:sz="4"/>
          <w:right w:val="none" w:color="FFFFFF" w:sz="0"/>
          <w:insideH w:val="single" w:color="D0D8D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适用大类</w:t>
            </w:r>
          </w:p>
        </w:tc>
        <w:tc>
          <w:tcPr>
            <w:tcW w:type="pct" w:w="40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模板</w:t>
            </w:r>
          </w:p>
        </w:tc>
        <w:tc>
          <w:tcPr>
            <w:tcW w:type="pct" w:w="26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检测项数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 溶剂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溶剂模板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pct" w:w="3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 树脂</w:t>
            </w:r>
          </w:p>
        </w:tc>
        <w:tc>
          <w:tcPr>
            <w:tcW w:type="pct" w:w="4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树脂模板</w:t>
            </w:r>
          </w:p>
        </w:tc>
        <w:tc>
          <w:tcPr>
            <w:tcW w:type="pct" w:w="2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 助剂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助剂模板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pct" w:w="3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 颜料</w:t>
            </w:r>
          </w:p>
        </w:tc>
        <w:tc>
          <w:tcPr>
            <w:tcW w:type="pct" w:w="4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颜料模板</w:t>
            </w:r>
          </w:p>
        </w:tc>
        <w:tc>
          <w:tcPr>
            <w:tcW w:type="pct" w:w="2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 填料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填料模板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pct" w:w="3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 半成品</w:t>
            </w:r>
          </w:p>
        </w:tc>
        <w:tc>
          <w:tcPr>
            <w:tcW w:type="pct" w:w="4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研磨浆模板</w:t>
            </w:r>
          </w:p>
        </w:tc>
        <w:tc>
          <w:tcPr>
            <w:tcW w:type="pct" w:w="2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 成品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成品漆出厂模板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57212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11-1 质检模板快照机制</w:t>
      </w:r>
    </w:p>
    <w:p>
      <w:pPr>
        <w:pStyle w:val="ListParagraph"/>
        <w:numPr>
          <w:ilvl w:val="0"/>
          <w:numId w:val="9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检测项内容在质检模板管理页维护（改页面即可，不要改代码）；同类别可建多套模板，只有「默认」那套生效。</w:t>
      </w:r>
    </w:p>
    <w:p>
      <w:pPr>
        <w:pStyle w:val="ListParagraph"/>
        <w:numPr>
          <w:ilvl w:val="0"/>
          <w:numId w:val="9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质检管理按被检物料类型分材料、半成品、成品三个页签。</w:t>
      </w:r>
    </w:p>
    <w:p>
      <w:pPr>
        <w:pStyle w:val="ListParagraph"/>
        <w:numPr>
          <w:ilvl w:val="0"/>
          <w:numId w:val="9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打印与预览共用同一张报告单；模板页可「预览效果」。</w:t>
      </w:r>
    </w:p>
    <w:p>
      <w:pPr>
        <w:pStyle w:val="ListParagraph"/>
        <w:numPr>
          <w:ilvl w:val="0"/>
          <w:numId w:val="9"/>
        </w:numPr>
        <w:spacing w:after="60"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判定弹窗可补填批号，作为检验员按实物包装批号录入的兜底路径。</w:t>
      </w:r>
    </w:p>
    <w:p>
      <w:pPr>
        <w:pStyle w:val="Heading2"/>
        <w:spacing w:after="140" w:before="280" w:line="312"/>
      </w:pPr>
      <w:bookmarkStart w:id="100024" w:name="_Toc100024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11.2 质检判定与库存落点</w:t>
      </w:r>
      <w:bookmarkEnd w:id="100024"/>
    </w:p>
    <w:p>
      <w:pPr>
        <w:keepNext/>
        <w:spacing w:after="40" w:before="120"/>
        <w:jc w:val="center"/>
      </w:pPr>
      <w:r>
        <w:drawing>
          <wp:inline distT="0" distB="0" distL="0" distR="0">
            <wp:extent cx="5572125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11-2 质检判定与库存落点（全场景）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来料质检不合格自动生成采购退货单、货物退供应商；生产、委外与其他入库质检不合格时货物自动转入不合格品库（判定时选择存放库位，不选自动落默认库位），后续仅允许通过其他出库的报废或退货清账。所有库存与报表口径默认排除 REJECT 与 TAILING 两种状态；显式选择不合格品库可查看明细。</w:t>
      </w:r>
    </w:p>
    <w:p>
      <w:pPr>
        <w:pStyle w:val="Heading1"/>
        <w:spacing w:after="200" w:before="400" w:line="312"/>
        <w:jc w:val="center"/>
      </w:pPr>
      <w:bookmarkStart w:id="100025" w:name="_Toc100025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十二、财务管理</w:t>
      </w:r>
      <w:bookmarkEnd w:id="100025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由财务（FINANCE）操作，菜单位置：财务管理与报表中心财务类报表。应收应付的三个立账点：来料质检合格入库按到货单金额立应付；委外入库合格按入库量乘加工费单价立应付；销售出库审核按实际出库量乘单价立应收（到期日按客户收款条件自动计算）。收付款单选择客户或供应商后按 FIFO 自动冲减最早未清账单，账单状态自动流转为未付、部分收付、已结清。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72125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12-1 应收应付与收付款冲减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报表支撑：应收明细、应付明细、应收总表、应付总表、账龄分析、财务趋势分析（报表中心）。金额字段按权限显隐（需采购价格或财务金额权限）。</w:t>
      </w:r>
    </w:p>
    <w:p>
      <w:pPr>
        <w:pStyle w:val="Heading1"/>
        <w:spacing w:after="200" w:before="400" w:line="312"/>
        <w:jc w:val="center"/>
      </w:pPr>
      <w:bookmarkStart w:id="100026" w:name="_Toc100026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十三、报表与看板</w:t>
      </w:r>
      <w:bookmarkEnd w:id="100026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报表中心供总经理（GM）与各岗位使用，共 18 张报表加工作台驾驶舱。</w:t>
      </w:r>
    </w:p>
    <w:p>
      <w:pPr>
        <w:keepNext/>
        <w:spacing w:after="60" w:before="120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表 13-1 报表与看板一览</w:t>
      </w:r>
    </w:p>
    <w:tbl>
      <w:tblPr>
        <w:tblW w:type="pct" w:w="100%"/>
        <w:tblBorders>
          <w:top w:val="single" w:color="2A4A3A" w:sz="4"/>
          <w:left w:val="none" w:color="FFFFFF" w:sz="0"/>
          <w:bottom w:val="single" w:color="2A4A3A" w:sz="4"/>
          <w:right w:val="none" w:color="FFFFFF" w:sz="0"/>
          <w:insideH w:val="single" w:color="D0D8D0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6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看板/报表</w:t>
            </w:r>
          </w:p>
        </w:tc>
        <w:tc>
          <w:tcPr>
            <w:tcW w:type="pct" w:w="64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经营看板（驾驶舱）</w:t>
            </w:r>
          </w:p>
        </w:tc>
        <w:tc>
          <w:tcPr>
            <w:tcW w:type="pct" w:w="6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区间累计销售额与毛利 KPI、销售与毛利排行 TOP8、库存预警、订单执行全景，月份联动。</w:t>
            </w:r>
          </w:p>
        </w:tc>
      </w:tr>
      <w:tr>
        <w:trPr>
          <w:cantSplit/>
        </w:trPr>
        <w:tc>
          <w:tcPr>
            <w:tcW w:type="pct" w:w="3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工作台</w:t>
            </w:r>
          </w:p>
        </w:tc>
        <w:tc>
          <w:tcPr>
            <w:tcW w:type="pct" w:w="6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统计卡、快捷操作、最新采购与销售订单、委外工单、月度订单与财务汇总。</w:t>
            </w:r>
          </w:p>
        </w:tc>
      </w:tr>
      <w:tr>
        <w:trPr>
          <w:cantSplit/>
        </w:trPr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销售报表 / 采购报表 / 采购分析</w:t>
            </w:r>
          </w:p>
        </w:tc>
        <w:tc>
          <w:tcPr>
            <w:tcW w:type="pct" w:w="6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量价走势、供应商结构。</w:t>
            </w:r>
          </w:p>
        </w:tc>
      </w:tr>
      <w:tr>
        <w:trPr>
          <w:cantSplit/>
        </w:trPr>
        <w:tc>
          <w:tcPr>
            <w:tcW w:type="pct" w:w="3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生产报表 / 生产进度表</w:t>
            </w:r>
          </w:p>
        </w:tc>
        <w:tc>
          <w:tcPr>
            <w:tcW w:type="pct" w:w="6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产量、订单执行进度。</w:t>
            </w:r>
          </w:p>
        </w:tc>
      </w:tr>
      <w:tr>
        <w:trPr>
          <w:cantSplit/>
        </w:trPr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库存报表 / 库存分析</w:t>
            </w:r>
          </w:p>
        </w:tc>
        <w:tc>
          <w:tcPr>
            <w:tcW w:type="pct" w:w="6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库存结构、周转。</w:t>
            </w:r>
          </w:p>
        </w:tc>
      </w:tr>
      <w:tr>
        <w:trPr>
          <w:cantSplit/>
        </w:trPr>
        <w:tc>
          <w:tcPr>
            <w:tcW w:type="pct" w:w="3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委外报表</w:t>
            </w:r>
          </w:p>
        </w:tc>
        <w:tc>
          <w:tcPr>
            <w:tcW w:type="pct" w:w="6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加工量与费用。</w:t>
            </w:r>
          </w:p>
        </w:tc>
      </w:tr>
      <w:tr>
        <w:trPr>
          <w:cantSplit/>
        </w:trPr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低库存预警 / 过期预警</w:t>
            </w:r>
          </w:p>
        </w:tc>
        <w:tc>
          <w:tcPr>
            <w:tcW w:type="pct" w:w="6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详见 10.4 节。</w:t>
            </w:r>
          </w:p>
        </w:tc>
      </w:tr>
      <w:tr>
        <w:trPr>
          <w:cantSplit/>
        </w:trPr>
        <w:tc>
          <w:tcPr>
            <w:tcW w:type="pct" w:w="3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质检报表</w:t>
            </w:r>
          </w:p>
        </w:tc>
        <w:tc>
          <w:tcPr>
            <w:tcW w:type="pct" w:w="6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合格率统计，含检测明细。</w:t>
            </w:r>
          </w:p>
        </w:tc>
      </w:tr>
      <w:tr>
        <w:trPr>
          <w:cantSplit/>
        </w:trPr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账龄 / 应收应付 / 趋势</w:t>
            </w:r>
          </w:p>
        </w:tc>
        <w:tc>
          <w:tcPr>
            <w:tcW w:type="pct" w:w="6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财务分析（详见第十二章）。</w:t>
            </w:r>
          </w:p>
        </w:tc>
      </w:tr>
    </w:tbl>
    <w:p>
      <w:pPr>
        <w:pStyle w:val="Heading1"/>
        <w:spacing w:after="200" w:before="400" w:line="312"/>
        <w:jc w:val="center"/>
      </w:pPr>
      <w:bookmarkStart w:id="100027" w:name="_Toc100027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十四、系统管理</w:t>
      </w:r>
      <w:bookmarkEnd w:id="100027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本章由系统管理员（SS）操作，菜单位置：系统设置。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72125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图 14-1 系统管理流程</w:t>
      </w:r>
    </w:p>
    <w:p>
      <w:pPr>
        <w:pStyle w:val="Heading2"/>
        <w:spacing w:after="140" w:before="280" w:line="312"/>
      </w:pPr>
      <w:bookmarkStart w:id="100028" w:name="_Toc100028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14.1 用户与角色权限</w:t>
      </w:r>
      <w:bookmarkEnd w:id="100028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用户管理负责建账号、分配角色与重置密码；角色权限为树形勾选（模块可见、做单、审核、敏感字段四级）。保存后该角色在线用户立即被踢下线，重新登录后新权限生效。</w:t>
      </w:r>
    </w:p>
    <w:p>
      <w:pPr>
        <w:pStyle w:val="Heading2"/>
        <w:spacing w:after="140" w:before="280" w:line="312"/>
      </w:pPr>
      <w:bookmarkStart w:id="100029" w:name="_Toc100029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14.2 操作日志</w:t>
      </w:r>
      <w:bookmarkEnd w:id="100029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记录所有写操作（增、删、改）与登录成功失败，查询类操作不记录；内容包含时间、账号、IP、模块、参数（密码与密钥自动脱敏）与耗时。保留策略：在线可查近 30 天（查询跨度上限 93 天）；超 30 天自动归档，归档数据按月检索；归档保留 12 个月后自动清理，全程无需人工维护。</w:t>
      </w:r>
    </w:p>
    <w:p>
      <w:pPr>
        <w:pStyle w:val="Heading2"/>
        <w:spacing w:after="140" w:before="280" w:line="312"/>
      </w:pPr>
      <w:bookmarkStart w:id="100030" w:name="_Toc100030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14.3 运维提醒</w:t>
      </w:r>
      <w:bookmarkEnd w:id="10003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系统升级部署后，各用户浏览器可能仍在使用旧页面缓存，需刷新页面（必要时强制刷新）才能看到新功能。</w:t>
      </w:r>
    </w:p>
    <w:p>
      <w:pPr>
        <w:pStyle w:val="Heading1"/>
        <w:spacing w:after="200" w:before="400" w:line="312"/>
        <w:jc w:val="center"/>
      </w:pPr>
      <w:bookmarkStart w:id="100031" w:name="_Toc100031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附录 A 单据状态机速查表</w:t>
      </w:r>
      <w:bookmarkEnd w:id="100031"/>
    </w:p>
    <w:p>
      <w:pPr>
        <w:keepNext/>
        <w:spacing w:after="60" w:before="120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表 A-1 单据状态机速查</w:t>
      </w:r>
    </w:p>
    <w:tbl>
      <w:tblPr>
        <w:tblW w:type="pct" w:w="100%"/>
        <w:tblBorders>
          <w:top w:val="single" w:color="2A4A3A" w:sz="4"/>
          <w:left w:val="none" w:color="FFFFFF" w:sz="0"/>
          <w:bottom w:val="single" w:color="2A4A3A" w:sz="4"/>
          <w:right w:val="none" w:color="FFFFFF" w:sz="0"/>
          <w:insideH w:val="single" w:color="D0D8D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单据</w:t>
            </w:r>
          </w:p>
        </w:tc>
        <w:tc>
          <w:tcPr>
            <w:tcW w:type="pct" w:w="44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状态流转</w:t>
            </w:r>
          </w:p>
        </w:tc>
        <w:tc>
          <w:tcPr>
            <w:tcW w:type="pct" w:w="36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关键自动点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采购单（原料/成品）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开立、已审核、全部到货、已结束（可反审核）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到货量达标自动「全部到货」。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来料/出厂质检单</w:t>
            </w:r>
          </w:p>
        </w:tc>
        <w:tc>
          <w:tcPr>
            <w:tcW w:type="pct" w:w="4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待检、合格、让步接收、退货</w:t>
            </w:r>
          </w:p>
        </w:tc>
        <w:tc>
          <w:tcPr>
            <w:tcW w:type="pct" w:w="3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合格自动入库并立应付；不合格自动开退货单。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生产订单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开立、已确认、已排产、已完工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入库质检合格自动完工；投出比低于 95% 进异常列表。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生产出库单（领料）</w:t>
            </w:r>
          </w:p>
        </w:tc>
        <w:tc>
          <w:tcPr>
            <w:tcW w:type="pct" w:w="4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创建即已确认（扣库存）</w:t>
            </w:r>
          </w:p>
        </w:tc>
        <w:tc>
          <w:tcPr>
            <w:tcW w:type="pct" w:w="3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自动 FIFO 跳过过期与隔离仓。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生产/委外入库单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确认（即待质检）、完成、质检退货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合格自动入正式仓；不合格自动入不合格品库。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委外订单</w:t>
            </w:r>
          </w:p>
        </w:tc>
        <w:tc>
          <w:tcPr>
            <w:tcW w:type="pct" w:w="4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开立、已确认、已委外、已完工（可取消排产）</w:t>
            </w:r>
          </w:p>
        </w:tc>
        <w:tc>
          <w:tcPr>
            <w:tcW w:type="pct" w:w="3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排产校验库存；入库合格生成加工费应付。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销售订单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开立、已确认、已发货、已结束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全部发完自动「已发货」；结束后不可再发货或转单。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销售出库单</w:t>
            </w:r>
          </w:p>
        </w:tc>
        <w:tc>
          <w:tcPr>
            <w:tcW w:type="pct" w:w="4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草稿（不扣库存）、已确认（扣库存并立应收）</w:t>
            </w:r>
          </w:p>
        </w:tc>
        <w:tc>
          <w:tcPr>
            <w:tcW w:type="pct" w:w="3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未定价拦截审核。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采购退货单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草稿、完成（质检退货）；草稿、已审核、完成（手工退货）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质检退货不出库、不冲应付。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销售退货单</w:t>
            </w:r>
          </w:p>
        </w:tc>
        <w:tc>
          <w:tcPr>
            <w:tcW w:type="pct" w:w="4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草稿、已审核、完成</w:t>
            </w:r>
          </w:p>
        </w:tc>
        <w:tc>
          <w:tcPr>
            <w:tcW w:type="pct" w:w="3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退货入库自动红冲应收。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油尾退回单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草稿、完成（确认即入油尾库）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不走质检；折价退冲应收。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其他入库单</w:t>
            </w:r>
          </w:p>
        </w:tc>
        <w:tc>
          <w:tcPr>
            <w:tcW w:type="pct" w:w="4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创建即待质检、判定后入库</w:t>
            </w:r>
          </w:p>
        </w:tc>
        <w:tc>
          <w:tcPr>
            <w:tcW w:type="pct" w:w="3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其他出库单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草稿、已确认（扣库存）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过期料与隔离仓唯一合法出口（限报废、退货、样品）。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盘库单</w:t>
            </w:r>
          </w:p>
        </w:tc>
        <w:tc>
          <w:tcPr>
            <w:tcW w:type="pct" w:w="4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确认即生效</w:t>
            </w:r>
          </w:p>
        </w:tc>
        <w:tc>
          <w:tcPr>
            <w:tcW w:type="pct" w:w="3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应收/应付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未付、部分收付、已结清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收付款 FIFO 自动冲减。</w:t>
            </w:r>
          </w:p>
        </w:tc>
      </w:tr>
      <w:tr>
        <w:trPr>
          <w:cantSplit/>
        </w:trPr>
        <w:tc>
          <w:tcPr>
            <w:tcW w:type="pct" w:w="20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配方版本</w:t>
            </w:r>
          </w:p>
        </w:tc>
        <w:tc>
          <w:tcPr>
            <w:tcW w:type="pct" w:w="4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草稿、已发布、已归档</w:t>
            </w:r>
          </w:p>
        </w:tc>
        <w:tc>
          <w:tcPr>
            <w:tcW w:type="pct" w:w="3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新版发布时旧版自动归档。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异常订单处置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待处理、处理中、已闭环（可重开）</w:t>
            </w:r>
          </w:p>
        </w:tc>
        <w:tc>
          <w:tcPr>
            <w:tcW w:type="pct" w:w="3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1"/>
        <w:spacing w:after="200" w:before="400" w:line="312"/>
        <w:jc w:val="center"/>
      </w:pPr>
      <w:bookmarkStart w:id="100032" w:name="_Toc100032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附录 B 常见问题速查</w:t>
      </w:r>
      <w:bookmarkEnd w:id="100032"/>
    </w:p>
    <w:p>
      <w:pPr>
        <w:keepNext/>
        <w:spacing w:after="60" w:before="120"/>
      </w:pPr>
      <w:r>
        <w:rPr>
          <w:rFonts w:ascii="Times New Roman" w:eastAsia="SimSun"/>
          <w:b/>
          <w:bCs/>
          <w:color w:val="404040"/>
          <w:sz w:val="21"/>
          <w:szCs w:val="21"/>
        </w:rPr>
        <w:t xml:space="preserve">表 B-1 常见问题速查</w:t>
      </w:r>
    </w:p>
    <w:tbl>
      <w:tblPr>
        <w:tblW w:type="pct" w:w="100%"/>
        <w:tblBorders>
          <w:top w:val="single" w:color="2A4A3A" w:sz="4"/>
          <w:left w:val="none" w:color="FFFFFF" w:sz="0"/>
          <w:bottom w:val="single" w:color="2A4A3A" w:sz="4"/>
          <w:right w:val="none" w:color="FFFFFF" w:sz="0"/>
          <w:insideH w:val="single" w:color="D0D8D0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现象</w:t>
            </w:r>
          </w:p>
        </w:tc>
        <w:tc>
          <w:tcPr>
            <w:tcW w:type="pct" w:w="66%"/>
            <w:shd w:fill="2A4A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FFFFFF"/>
                <w:sz w:val="21"/>
                <w:szCs w:val="21"/>
              </w:rPr>
              <w:t xml:space="preserve">原因与处理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操作中突然掉线或 401</w:t>
            </w:r>
          </w:p>
        </w:tc>
        <w:tc>
          <w:tcPr>
            <w:tcW w:type="pct" w:w="6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单点登录：同账号在别处登录把您顶掉了，属正常保护机制。</w:t>
            </w:r>
          </w:p>
        </w:tc>
      </w:tr>
      <w:tr>
        <w:trPr>
          <w:cantSplit/>
        </w:trPr>
        <w:tc>
          <w:tcPr>
            <w:tcW w:type="pct" w:w="3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销售订单明细搜不到物料</w:t>
            </w:r>
          </w:p>
        </w:tc>
        <w:tc>
          <w:tcPr>
            <w:tcW w:type="pct" w:w="6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没有先选「销售大类」，选大类后下拉才会出现对应物料。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某批次显示「未质检」</w:t>
            </w:r>
          </w:p>
        </w:tc>
        <w:tc>
          <w:tcPr>
            <w:tcW w:type="pct" w:w="6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该批次入库早于质检信息持久化功能且无精确匹配质检单，属正常显示。</w:t>
            </w:r>
          </w:p>
        </w:tc>
      </w:tr>
      <w:tr>
        <w:trPr>
          <w:cantSplit/>
        </w:trPr>
        <w:tc>
          <w:tcPr>
            <w:tcW w:type="pct" w:w="3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出库报「批次已过期」</w:t>
            </w:r>
          </w:p>
        </w:tc>
        <w:tc>
          <w:tcPr>
            <w:tcW w:type="pct" w:w="6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过期批次禁止正常出库；确需处理走其他出库的报废、样品或退货。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出库选不到某批货</w:t>
            </w:r>
          </w:p>
        </w:tc>
        <w:tc>
          <w:tcPr>
            <w:tcW w:type="pct" w:w="6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该批在不合格品库或油尾库（隔离），或已被上次出库扣完。</w:t>
            </w:r>
          </w:p>
        </w:tc>
      </w:tr>
      <w:tr>
        <w:trPr>
          <w:cantSplit/>
        </w:trPr>
        <w:tc>
          <w:tcPr>
            <w:tcW w:type="pct" w:w="3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部署更新后看不到新功能</w:t>
            </w:r>
          </w:p>
        </w:tc>
        <w:tc>
          <w:tcPr>
            <w:tcW w:type="pct" w:w="6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浏览器页面缓存，刷新页面（强制刷新）即可。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生产订单入库后状态没变已完工</w:t>
            </w:r>
          </w:p>
        </w:tc>
        <w:tc>
          <w:tcPr>
            <w:tcW w:type="pct" w:w="6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不会发生：入库质检合格即自动完工；历史遗留单系统启动时已自动补全。</w:t>
            </w:r>
          </w:p>
        </w:tc>
      </w:tr>
      <w:tr>
        <w:trPr>
          <w:cantSplit/>
        </w:trPr>
        <w:tc>
          <w:tcPr>
            <w:tcW w:type="pct" w:w="3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半成品编码是 PJ 开头不是 B</w:t>
            </w:r>
          </w:p>
        </w:tc>
        <w:tc>
          <w:tcPr>
            <w:tcW w:type="pct" w:w="6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编码按小类规则生成；判断类别看物料「大类」字段，不看编码首字母。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质检判定结果跟以前不一样</w:t>
            </w:r>
          </w:p>
        </w:tc>
        <w:tc>
          <w:tcPr>
            <w:tcW w:type="pct" w:w="6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改质检模板只影响新建单；历史单持有当时快照，不受影响。</w:t>
            </w:r>
          </w:p>
        </w:tc>
      </w:tr>
      <w:tr>
        <w:trPr>
          <w:cantSplit/>
        </w:trPr>
        <w:tc>
          <w:tcPr>
            <w:tcW w:type="pct" w:w="34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采购退货后应付没减少</w:t>
            </w:r>
          </w:p>
        </w:tc>
        <w:tc>
          <w:tcPr>
            <w:tcW w:type="pct" w:w="66%"/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正常：质检不合格的货从未入库立账，退货不产生任何出库与冲账。</w:t>
            </w:r>
          </w:p>
        </w:tc>
      </w:tr>
    </w:tbl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D0" w:sz="2" w:space="4"/>
      </w:pBdr>
      <w:jc w:val="center"/>
    </w:pPr>
    <w:r>
      <w:rPr>
        <w:rFonts w:ascii="Times New Roman" w:eastAsia="SimSun"/>
        <w:color w:val="888888"/>
        <w:sz w:val="18"/>
        <w:szCs w:val="18"/>
      </w:rPr>
      <w:t xml:space="preserve">芃远综合管理系统（PIMS）标准操作流程 SOP · V2.0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D0" w:sz="2" w:space="4"/>
      </w:pBdr>
      <w:jc w:val="center"/>
    </w:pPr>
    <w:r>
      <w:rPr>
        <w:rFonts w:ascii="Times New Roman" w:eastAsia="SimSun"/>
        <w:color w:val="888888"/>
        <w:sz w:val="18"/>
        <w:szCs w:val="18"/>
      </w:rPr>
      <w:t xml:space="preserve">芃远综合管理系统（PIMS）标准操作流程 SOP ·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12"/>
      <w:outlineLvl w:val="0"/>
    </w:pPr>
    <w:rPr>
      <w:rFonts w:ascii="Times New Roman" w:eastAsia="SimHei"/>
      <w:b/>
      <w:bCs/>
      <w:color w:val="2A4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Times New Roman" w:eastAsia="SimHei"/>
      <w:b/>
      <w:bCs/>
      <w:color w:val="2A4A3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face299ae89302c891880b70e17334bbc08cf62.png"/><Relationship Id="rId12" Type="http://schemas.openxmlformats.org/officeDocument/2006/relationships/image" Target="media/ec4f79493f1796d734001775ce4788eca0d7f2e2.png"/><Relationship Id="rId13" Type="http://schemas.openxmlformats.org/officeDocument/2006/relationships/image" Target="media/9c3ee7646efa08170d96f221ebc31687874b5ead.png"/><Relationship Id="rId14" Type="http://schemas.openxmlformats.org/officeDocument/2006/relationships/image" Target="media/4482b5e3a5dd840dd9f11d8469bcf6c083dd19c9.png"/><Relationship Id="rId15" Type="http://schemas.openxmlformats.org/officeDocument/2006/relationships/image" Target="media/4a515b1796ca5e0150f5cfdc364d18e78649369e.png"/><Relationship Id="rId16" Type="http://schemas.openxmlformats.org/officeDocument/2006/relationships/image" Target="media/d8a6ba59b08224ff5744bf502b8e6eb8705e0036.png"/><Relationship Id="rId17" Type="http://schemas.openxmlformats.org/officeDocument/2006/relationships/image" Target="media/05195a76891f8c92f11d3d5267cc2b14477b253f.png"/><Relationship Id="rId18" Type="http://schemas.openxmlformats.org/officeDocument/2006/relationships/image" Target="media/0e7b561bdbd42caac6d39d9c68c62bc38f19d7bb.png"/><Relationship Id="rId19" Type="http://schemas.openxmlformats.org/officeDocument/2006/relationships/image" Target="media/9a4b57d0e70c4b9f2b5fe754b093ffceb5f27dff.png"/><Relationship Id="rId20" Type="http://schemas.openxmlformats.org/officeDocument/2006/relationships/image" Target="media/80afcce6569ebe68260333336aa7014930265be5.png"/><Relationship Id="rId21" Type="http://schemas.openxmlformats.org/officeDocument/2006/relationships/image" Target="media/6dbee6445e8b665b314ad13ecff5b3bb94d7b7b1.png"/><Relationship Id="rId22" Type="http://schemas.openxmlformats.org/officeDocument/2006/relationships/image" Target="media/0b7814f9c1e0bfa6263d4adb6f53c68692481939.png"/><Relationship Id="rId23" Type="http://schemas.openxmlformats.org/officeDocument/2006/relationships/image" Target="media/2cbe530f55dd93ac566ad475082e79da57f61072.png"/><Relationship Id="rId24" Type="http://schemas.openxmlformats.org/officeDocument/2006/relationships/image" Target="media/53d8667b538a7eedf2e0b5ed5e547f1cf360db6c.png"/><Relationship Id="rId25" Type="http://schemas.openxmlformats.org/officeDocument/2006/relationships/image" Target="media/f23db7abaab0749857b2cd107b6a4f3ed4b422bb.png"/><Relationship Id="rId26" Type="http://schemas.openxmlformats.org/officeDocument/2006/relationships/image" Target="media/27edf813880ab8935a43299626cac6f83cc3801f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芃远综合管理系统（PIMS）标准操作流程 SOP V2.0</dc:title>
  <dc:creator>PIMS 系统管理组</dc:creator>
  <cp:lastModifiedBy>Un-named</cp:lastModifiedBy>
  <cp:revision>1</cp:revision>
  <dcterms:created xsi:type="dcterms:W3CDTF">2026-08-17T03:51:24.513Z</dcterms:created>
  <dcterms:modified xsi:type="dcterms:W3CDTF">2026-08-17T03:51:24.514Z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