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1906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C2C" w:val="clear"/>
          </w:tcPr>
          <w:p>
            <w:pPr>
              <w:spacing w:before="4448"/>
            </w:pPr>
          </w:p>
          <w:p>
            <w:pPr>
              <w:pBdr>
                <w:bottom w:val="single" w:color="529286" w:sz="6" w:space="8"/>
              </w:pBdr>
              <w:spacing w:after="500"/>
              <w:ind w:left="1200" w:right="800"/>
            </w:pPr>
            <w:r>
              <w:rPr>
                <w:rFonts w:ascii="Calibri" w:eastAsia="SimHei"/>
                <w:color w:val="529286"/>
                <w:spacing w:val="40"/>
                <w:sz w:val="18"/>
                <w:szCs w:val="18"/>
              </w:rPr>
              <w:t xml:space="preserve">F  I  N  A  N  C  E     M  O  D  U  L  E     T  E  S  T     R  E  P  O  R  T</w:t>
            </w:r>
          </w:p>
          <w:p>
            <w:pPr>
              <w:spacing w:after="300" w:line="920" w:lineRule="atLeast"/>
              <w:ind w:left="1200"/>
            </w:pPr>
            <w:r>
              <w:rPr>
                <w:rFonts w:ascii="Arial" w:eastAsia="SimHei"/>
                <w:b/>
                <w:bCs/>
                <w:color w:val="FFFFFF"/>
                <w:sz w:val="80"/>
                <w:szCs w:val="80"/>
              </w:rPr>
              <w:t xml:space="preserve">财务模块全功能测试报告</w:t>
            </w:r>
          </w:p>
          <w:p>
            <w:pPr>
              <w:spacing w:after="800"/>
              <w:ind w:left="1200"/>
            </w:pPr>
            <w:r>
              <w:rPr>
                <w:rFonts w:ascii="Arial" w:eastAsia="Microsoft YaHei"/>
                <w:color w:val="B0B8C0"/>
                <w:sz w:val="24"/>
                <w:szCs w:val="24"/>
              </w:rPr>
              <w:t xml:space="preserve">PIMS v11.8 · 13 个模块 · 106 个接口 · 362 项断言全量回归</w:t>
            </w:r>
          </w:p>
          <w:p>
            <w:pPr>
              <w:pBdr>
                <w:left w:val="single" w:color="529286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被测系统：PIMS 生产管理系统（涂料行业 ERP）</w:t>
            </w:r>
          </w:p>
          <w:p>
            <w:pPr>
              <w:pBdr>
                <w:left w:val="single" w:color="529286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被测版本：v11.8（财务测试问题修复，基于 fbfbf9f）</w:t>
            </w:r>
          </w:p>
          <w:p>
            <w:pPr>
              <w:pBdr>
                <w:left w:val="single" w:color="529286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测试类型：功能验收（正常与异常路径全覆盖）</w:t>
            </w:r>
          </w:p>
          <w:p>
            <w:pPr>
              <w:pBdr>
                <w:left w:val="single" w:color="529286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测试方式：接口级自动化回归（Python）</w:t>
            </w:r>
          </w:p>
          <w:p>
            <w:pPr>
              <w:pBdr>
                <w:left w:val="single" w:color="529286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报告日期：2026 年 10 月 8 日</w:t>
            </w:r>
          </w:p>
          <w:p>
            <w:pPr>
              <w:spacing w:before="4448"/>
            </w:pPr>
          </w:p>
          <w:p>
            <w:pPr>
              <w:pBdr>
                <w:top w:val="single" w:color="529286" w:sz="2" w:space="8"/>
              </w:pBdr>
              <w:spacing w:before="200"/>
              <w:ind w:left="1200" w:right="800"/>
            </w:pPr>
            <w:r>
              <w:rPr>
                <w:rFonts w:ascii="Arial" w:eastAsia="Microsoft YaHei"/>
                <w:color w:val="687078"/>
                <w:sz w:val="16"/>
                <w:szCs w:val="16"/>
              </w:rPr>
              <w:t xml:space="preserve">PIMS 系统测试组</w:t>
            </w:r>
            <w:r>
              <w:t xml:space="preserve">                                        </w:t>
            </w:r>
            <w:r>
              <w:rPr>
                <w:rFonts w:ascii="Arial"/>
                <w:color w:val="687078"/>
                <w:sz w:val="16"/>
                <w:szCs w:val="16"/>
              </w:rPr>
              <w:t xml:space="preserve">2026-10-08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spacing w:after="300" w:before="240"/>
        <w:jc w:val="center"/>
      </w:pPr>
      <w:r>
        <w:rPr>
          <w:rFonts w:ascii="Times New Roman" w:eastAsia="SimHei"/>
          <w:b/>
          <w:bCs/>
          <w:color w:val="0B1C2C"/>
          <w:sz w:val="32"/>
          <w:szCs w:val="32"/>
        </w:rPr>
        <w:t xml:space="preserve">摘  要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本报告记录 PIMS 系统 v11.7 财务域 13 个模块（106 个接口端点）的全功能验收测试过程与结果。测试于 2026 年 10 月 7 日在本地隔离环境以接口级自动化方式执行，采用真实业务数据构造场景，每个功能均覆盖正常与异常双路径，并以数据库直查与报表勾稽保障结果可信度。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测试共执行 362 项自动化断言及 3 项补充抽测，全部通过，无阻塞性缺陷；测试发现的 7 项问题已全部处理完毕（6 项代码修复并通过专项回归验证、1 项经核实为既有设计）。总账三大报表与业务数据勾稽一致，权限控制与金额脱敏机制验证有效。</w:t>
      </w:r>
    </w:p>
    <w:p>
      <w:pPr>
        <w:spacing w:after="20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测试结论：财务模块全功能测试通过。</w:t>
      </w:r>
      <w:r>
        <w:rPr>
          <w:rFonts w:ascii="Times New Roman" w:eastAsia="SimSun"/>
          <w:color w:val="000000"/>
          <w:sz w:val="24"/>
          <w:szCs w:val="24"/>
        </w:rPr>
        <w:t xml:space="preserve">修复均以专项断言固化进回归脚本，随后续版本可一键验证。</w:t>
      </w:r>
    </w:p>
    <w:p>
      <w:pPr>
        <w:spacing w:before="120"/>
      </w:pPr>
      <w:r>
        <w:rPr>
          <w:rFonts w:eastAsia="SimSun"/>
          <w:color w:val="000000"/>
          <w:sz w:val="24"/>
          <w:szCs w:val="24"/>
        </w:rPr>
        <w:t xml:space="preserve">关键词：财务模块；全功能测试；接口自动化；总账闭环；缺陷分析</w:t>
      </w:r>
      <w:r>
        <w:br w:type="page"/>
      </w:r>
    </w:p>
    <w:p>
      <w:pPr>
        <w:spacing w:after="300" w:before="240"/>
        <w:jc w:val="center"/>
      </w:pPr>
      <w:r>
        <w:rPr>
          <w:rFonts w:ascii="Times New Roman" w:eastAsia="SimHei"/>
          <w:b/>
          <w:bCs/>
          <w:color w:val="0B1C2C"/>
          <w:sz w:val="32"/>
          <w:szCs w:val="32"/>
        </w:rPr>
        <w:t xml:space="preserve">目  录</w:t>
      </w:r>
    </w:p>
    <w:sdt>
      <w:sdtPr>
        <w:alias w:val="Table of Contents"/>
      </w:sdtPr>
      <w:sdtContent>
        <w:p>
          <w:pPr>
            <w:pStyle w:val="TOC1"/>
            <w:tabs>
              <w:tab w:val="right" w:pos="8788" w:leader="dot"/>
            </w:tabs>
          </w:pPr>
          <w:r>
            <w:fldChar w:fldCharType="begin"/>
          </w:r>
          <w:r>
            <w:instrText xml:space="preserve">TOC \h \o "1-2"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1 测试概述</w:t>
          </w:r>
          <w:r>
            <w:tab/>
          </w:r>
          <w:r>
            <w:t>2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2 测试范围与环境</w:t>
          </w:r>
          <w:r>
            <w:tab/>
          </w:r>
          <w:r>
            <w:t>2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2.1 被测对象与版本</w:t>
          </w:r>
          <w:r>
            <w:tab/>
          </w:r>
          <w:r>
            <w:t>2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2.2 测试环境</w:t>
          </w:r>
          <w:r>
            <w:tab/>
          </w:r>
          <w:r>
            <w:t>2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2.3 范围界定</w:t>
          </w:r>
          <w:r>
            <w:tab/>
          </w:r>
          <w:r>
            <w:t>3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3 测试方案与用例设计</w:t>
          </w:r>
          <w:r>
            <w:tab/>
          </w:r>
          <w:r>
            <w:t>3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3.1 测试方法与数据管理</w:t>
          </w:r>
          <w:r>
            <w:tab/>
          </w:r>
          <w:r>
            <w:t>3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3.2 用例分布与断言统计</w:t>
          </w:r>
          <w:r>
            <w:tab/>
          </w:r>
          <w:r>
            <w:t>4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4 测试结果汇总</w:t>
          </w:r>
          <w:r>
            <w:tab/>
          </w:r>
          <w:r>
            <w:t>4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4.1 总体结果</w:t>
          </w:r>
          <w:r>
            <w:tab/>
          </w:r>
          <w:r>
            <w:t>4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4.2 各模块功能验证明细</w:t>
          </w:r>
          <w:r>
            <w:tab/>
          </w:r>
          <w:r>
            <w:t>5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4.3 关键业务口径验证</w:t>
          </w:r>
          <w:r>
            <w:tab/>
          </w:r>
          <w:r>
            <w:t>5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5 缺陷与问题分析</w:t>
          </w:r>
          <w:r>
            <w:tab/>
          </w:r>
          <w:r>
            <w:t>5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5.1 问题清单</w:t>
          </w:r>
          <w:r>
            <w:tab/>
          </w:r>
          <w:r>
            <w:t>5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5.2 重点问题修复说明（FT-01）</w:t>
          </w:r>
          <w:r>
            <w:tab/>
          </w:r>
          <w:r>
            <w:t>6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6 风险评估与遗留事项</w:t>
          </w:r>
          <w:r>
            <w:tab/>
          </w:r>
          <w:r>
            <w:t>6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7 测试结论</w:t>
          </w:r>
          <w:r>
            <w:tab/>
          </w:r>
          <w:r>
            <w:t>7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附录A 测试脚本与复现方法</w:t>
          </w:r>
          <w:r>
            <w:tab/>
          </w:r>
          <w:r>
            <w:t>7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附录B 接口覆盖清单</w:t>
          </w:r>
          <w:r>
            <w:tab/>
          </w:r>
          <w:r>
            <w:t>8</w:t>
          </w:r>
        </w:p>
        <w:p>
          <w:r>
            <w:fldChar w:fldCharType="end"/>
          </w:r>
        </w:p>
      </w:sdtContent>
    </w:sdt>
    <w:p>
      <w:pPr>
        <w:spacing w:before="200"/>
        <w:sectPr>
          <w:headerReference w:type="default" r:id="rId6"/>
          <w:footerReference w:type="default" r:id="rId7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  <w:r>
        <w:rPr>
          <w:rFonts w:eastAsia="SimSun"/>
          <w:i/>
          <w:iCs/>
          <w:color w:val="888888"/>
          <w:sz w:val="18"/>
          <w:szCs w:val="18"/>
        </w:rPr>
        <w:t xml:space="preserve">注：本目录由域代码生成，如编辑后页码变化，请右键目录选择“更新域”刷新页码。</w:t>
      </w:r>
    </w:p>
    <w:p>
      <w:pPr>
        <w:pStyle w:val="Heading1"/>
        <w:spacing w:after="160" w:before="360" w:line="380" w:lineRule="atLeast"/>
      </w:pPr>
      <w:bookmarkStart w:name="_Toc1" w:id="1"/>
      <w:r>
        <w:rPr>
          <w:rFonts w:ascii="Times New Roman" w:eastAsia="SimHei"/>
          <w:b/>
          <w:bCs/>
          <w:color w:val="0B1C2C"/>
          <w:sz w:val="32"/>
          <w:szCs w:val="32"/>
        </w:rPr>
        <w:t xml:space="preserve">1 测试概述</w:t>
      </w:r>
      <w:bookmarkEnd w:id="1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本报告针对 PIMS 生产管理系统 v11.7 版本的财务域全部 13 个功能模块（共 13 个控制器、106 个接口端点）完成了全功能验收测试。测试以接口级自动化方式执行，每个功能均覆盖正常业务路径与异常拦截路径，并使用真实业务数据构造场景（如收款冲抵、红冲发票、折旧计提、凭证记账等）。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测试结果：共执行 362 项自动化断言及 3 项补充抽测，全部通过，通过率 100%；未发现阻塞性缺陷。</w:t>
      </w:r>
    </w:p>
    <w:p>
      <w:pPr>
        <w:spacing w:after="1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同时发现 7 项问题：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1 项 P2（固定资产折旧可对未来期间计提）、3 项 P3（校验类缺口）、2 项观察项、1 项设计确认项——其中 6 项已在 v11.8 修复并通过专项回归验证，1 项保持设计行为</w:t>
      </w:r>
      <w:r>
        <w:rPr>
          <w:rFonts w:ascii="Times New Roman" w:eastAsia="SimSun"/>
          <w:color w:val="000000"/>
          <w:sz w:val="24"/>
          <w:szCs w:val="24"/>
        </w:rPr>
        <w:t xml:space="preserve">。上述问题均不影响主流程与数据勾稽，且已全部处理完毕。综合判定：本轮财务模块全功能测试结论为通过。</w:t>
      </w:r>
    </w:p>
    <w:p>
      <w:pPr>
        <w:pStyle w:val="Heading1"/>
        <w:spacing w:after="160" w:before="360" w:line="380" w:lineRule="atLeast"/>
      </w:pPr>
      <w:bookmarkStart w:name="_Toc2" w:id="2"/>
      <w:r>
        <w:rPr>
          <w:rFonts w:ascii="Times New Roman" w:eastAsia="SimHei"/>
          <w:b/>
          <w:bCs/>
          <w:color w:val="0B1C2C"/>
          <w:sz w:val="32"/>
          <w:szCs w:val="32"/>
        </w:rPr>
        <w:t xml:space="preserve">2 测试范围与环境</w:t>
      </w:r>
      <w:bookmarkEnd w:id="2"/>
    </w:p>
    <w:p>
      <w:pPr>
        <w:pStyle w:val="Heading2"/>
        <w:spacing w:after="120" w:before="260" w:line="350" w:lineRule="atLeast"/>
      </w:pPr>
      <w:bookmarkStart w:name="_Toc3" w:id="3"/>
      <w:r>
        <w:rPr>
          <w:rFonts w:ascii="Times New Roman" w:eastAsia="SimHei"/>
          <w:b/>
          <w:bCs/>
          <w:color w:val="0B1C2C"/>
          <w:sz w:val="28"/>
          <w:szCs w:val="28"/>
        </w:rPr>
        <w:t xml:space="preserve">2.1 被测对象与版本</w:t>
      </w:r>
      <w:bookmarkEnd w:id="3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被测系统为 PIMS 涂料行业生产管理系统（含进销存、生产、财务总账、工资、固定资产、银行对账等子系统）。本轮测试针对其财务域，覆盖应收应付、发票、费用、预收预付、总账（科目、凭证、结账、报表）、工资、固定资产、成本核算、存货计价、利润试算、往来对账单、银行对账以及权限控制与金额脱敏。</w:t>
      </w:r>
    </w:p>
    <w:p>
      <w:pPr>
        <w:pStyle w:val="Heading2"/>
        <w:spacing w:after="120" w:before="260" w:line="350" w:lineRule="atLeast"/>
      </w:pPr>
      <w:bookmarkStart w:name="_Toc4" w:id="4"/>
      <w:r>
        <w:rPr>
          <w:rFonts w:ascii="Times New Roman" w:eastAsia="SimHei"/>
          <w:b/>
          <w:bCs/>
          <w:color w:val="0B1C2C"/>
          <w:sz w:val="28"/>
          <w:szCs w:val="28"/>
        </w:rPr>
        <w:t xml:space="preserve">2.2 测试环境</w:t>
      </w:r>
      <w:bookmarkEnd w:id="4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测试在本地隔离环境执行，环境配置见表 1。每轮测试前从数据库快照恢复初始状态，测试结束后再次恢复快照，确保测试数据不污染待测库且各轮结果可重复。</w:t>
      </w:r>
    </w:p>
    <w:p>
      <w:pPr>
        <w:keepNext/>
        <w:spacing w:after="100" w:before="160" w:line="312"/>
        <w:jc w:val="center"/>
      </w:pPr>
      <w:r>
        <w:rPr>
          <w:rFonts w:ascii="Times New Roman" w:eastAsia="SimHei"/>
          <w:b/>
          <w:bCs/>
          <w:color w:val="0B1C2C"/>
          <w:sz w:val="21"/>
          <w:szCs w:val="21"/>
        </w:rPr>
        <w:t xml:space="preserve">表 1  测试环境配置</w:t>
      </w:r>
    </w:p>
    <w:tbl>
      <w:tblPr>
        <w:tblW w:type="pct" w:w="5000"/>
        <w:tblBorders>
          <w:top w:val="single" w:color="529286" w:sz="4"/>
          <w:left w:val="none" w:color="FFFFFF" w:sz="0"/>
          <w:bottom w:val="single" w:color="529286" w:sz="4"/>
          <w:right w:val="none" w:color="FFFFFF" w:sz="0"/>
          <w:insideH w:val="single" w:color="BECFCC" w:sz="1"/>
          <w:insideV w:val="none" w:color="FFFFFF" w:sz="0"/>
        </w:tblBorders>
      </w:tblPr>
      <w:tblGrid>
        <w:gridCol w:w="1933"/>
        <w:gridCol w:w="6855"/>
      </w:tblGrid>
      <w:tr>
        <w:trPr>
          <w:cantSplit/>
          <w:tblHeader/>
        </w:trPr>
        <w:tc>
          <w:tcPr>
            <w:tcW w:type="pct" w:w="1100"/>
            <w:shd w:fill="52928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项目</w:t>
            </w:r>
          </w:p>
        </w:tc>
        <w:tc>
          <w:tcPr>
            <w:tcW w:type="pct" w:w="3900"/>
            <w:shd w:fill="52928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被测版本</w:t>
            </w:r>
          </w:p>
        </w:tc>
        <w:tc>
          <w:tcPr>
            <w:tcW w:type="pct" w:w="39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v11.8（财务测试问题修复，基于 fbfbf9f，2026-10-08 构建，修复后全量回归通过）</w:t>
            </w:r>
          </w:p>
        </w:tc>
      </w:tr>
      <w:tr>
        <w:trPr>
          <w:cantSplit/>
        </w:trPr>
        <w:tc>
          <w:tcPr>
            <w:tcW w:type="pct" w:w="1100"/>
            <w:shd w:fill="E8EC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运行环境</w:t>
            </w:r>
          </w:p>
        </w:tc>
        <w:tc>
          <w:tcPr>
            <w:tcW w:type="pct" w:w="3900"/>
            <w:shd w:fill="E8EC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Windows 本地环境，服务端 localhost:8080（Spring Boot 3 + JPA）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数据库</w:t>
            </w:r>
          </w:p>
        </w:tc>
        <w:tc>
          <w:tcPr>
            <w:tcW w:type="pct" w:w="39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SQLite 单文件库（pims-server/data/pims.db），含业务种子数据（2 家客户、99 家供应商、70 个总账科目等）</w:t>
            </w:r>
          </w:p>
        </w:tc>
      </w:tr>
      <w:tr>
        <w:trPr>
          <w:cantSplit/>
        </w:trPr>
        <w:tc>
          <w:tcPr>
            <w:tcW w:type="pct" w:w="1100"/>
            <w:shd w:fill="E8EC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测试工具</w:t>
            </w:r>
          </w:p>
        </w:tc>
        <w:tc>
          <w:tcPr>
            <w:tcW w:type="pct" w:w="3900"/>
            <w:shd w:fill="E8EC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Python 3.13 + requests（接口驱动）、openpyxl（银行流水文件构造）、node:sqlite（落库核对与快照管理）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数据隔离</w:t>
            </w:r>
          </w:p>
        </w:tc>
        <w:tc>
          <w:tcPr>
            <w:tcW w:type="pct" w:w="39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数据库文件快照还原法；专用测试往来单位与单据前缀（FTTEST），与存量业务数据隔离</w:t>
            </w:r>
          </w:p>
        </w:tc>
      </w:tr>
    </w:tbl>
    <w:p>
      <w:pPr>
        <w:pStyle w:val="Heading2"/>
        <w:spacing w:after="120" w:before="260" w:line="350" w:lineRule="atLeast"/>
      </w:pPr>
      <w:bookmarkStart w:name="_Toc5" w:id="5"/>
      <w:r>
        <w:rPr>
          <w:rFonts w:ascii="Times New Roman" w:eastAsia="SimHei"/>
          <w:b/>
          <w:bCs/>
          <w:color w:val="0B1C2C"/>
          <w:sz w:val="28"/>
          <w:szCs w:val="28"/>
        </w:rPr>
        <w:t xml:space="preserve">2.3 范围界定</w:t>
      </w:r>
      <w:bookmarkEnd w:id="5"/>
    </w:p>
    <w:p>
      <w:pPr>
        <w:spacing w:after="1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本轮测试不包含：性能压力测试、前端页面视觉回归、多币种场景（系统未启用）及销售预测（未上线功能）。接口覆盖清单见附录 B，13 个控制器共 106 个端点全部执行。</w:t>
      </w:r>
    </w:p>
    <w:p>
      <w:pPr>
        <w:pStyle w:val="Heading1"/>
        <w:spacing w:after="160" w:before="360" w:line="380" w:lineRule="atLeast"/>
      </w:pPr>
      <w:bookmarkStart w:name="_Toc6" w:id="6"/>
      <w:r>
        <w:rPr>
          <w:rFonts w:ascii="Times New Roman" w:eastAsia="SimHei"/>
          <w:b/>
          <w:bCs/>
          <w:color w:val="0B1C2C"/>
          <w:sz w:val="32"/>
          <w:szCs w:val="32"/>
        </w:rPr>
        <w:t xml:space="preserve">3 测试方案与用例设计</w:t>
      </w:r>
      <w:bookmarkEnd w:id="6"/>
    </w:p>
    <w:p>
      <w:pPr>
        <w:pStyle w:val="Heading2"/>
        <w:spacing w:after="120" w:before="260" w:line="350" w:lineRule="atLeast"/>
      </w:pPr>
      <w:bookmarkStart w:name="_Toc7" w:id="7"/>
      <w:r>
        <w:rPr>
          <w:rFonts w:ascii="Times New Roman" w:eastAsia="SimHei"/>
          <w:b/>
          <w:bCs/>
          <w:color w:val="0B1C2C"/>
          <w:sz w:val="28"/>
          <w:szCs w:val="28"/>
        </w:rPr>
        <w:t xml:space="preserve">3.1 测试方法与数据管理</w:t>
      </w:r>
      <w:bookmarkEnd w:id="7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测试采用接口级黑盒自动化方法，按业务闭环组织用例：以真实客户、供应商、科目字典为基础构造单据与资金流水，验证从单据创建、核销、凭证生成到报表勾稽的完整链路。除正向业务外，每个接口均设计异常用例，包括必填缺失、非法枚举值、金额越界（零/负数/超额）、单据状态冲突（已结清再收款、已红冲再编辑等）、重复提交与权限越权等类别。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结果验证采用四层手段：接口响应码与业务报文断言；数据库落库直查核对（如凭证借贷平衡、折旧记录防重）；导出文件二进制格式校验（xlsx 文件头与内容）；关键报表数字与手工构造的期望值逐项对照（如货币资金 106,500 元、净利润 6,500 元）。</w:t>
      </w:r>
    </w:p>
    <w:p>
      <w:pPr>
        <w:pStyle w:val="Heading2"/>
        <w:spacing w:after="120" w:before="260" w:line="350" w:lineRule="atLeast"/>
      </w:pPr>
      <w:bookmarkStart w:name="_Toc8" w:id="8"/>
      <w:r>
        <w:rPr>
          <w:rFonts w:ascii="Times New Roman" w:eastAsia="SimHei"/>
          <w:b/>
          <w:bCs/>
          <w:color w:val="0B1C2C"/>
          <w:sz w:val="28"/>
          <w:szCs w:val="28"/>
        </w:rPr>
        <w:t xml:space="preserve">3.2 用例分布与断言统计</w:t>
      </w:r>
      <w:bookmarkEnd w:id="8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测试脚本按模块划分为 7 组，各组断言分布如图 1 与表 2 所示。其中总账闭环因覆盖科目、凭证、结账、年结与三大报表，断言量最大（90 项）。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334000" cy="2390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80" w:line="312"/>
        <w:jc w:val="center"/>
      </w:pPr>
      <w:r>
        <w:rPr>
          <w:rFonts w:ascii="Times New Roman" w:eastAsia="SimSun"/>
          <w:color w:val="506070"/>
          <w:sz w:val="21"/>
          <w:szCs w:val="21"/>
        </w:rPr>
        <w:t xml:space="preserve">图 1  各模块断言数分布（共 353 项）</w:t>
      </w:r>
    </w:p>
    <w:p>
      <w:pPr>
        <w:keepNext/>
        <w:spacing w:after="100" w:before="160" w:line="312"/>
        <w:jc w:val="center"/>
      </w:pPr>
      <w:r>
        <w:rPr>
          <w:rFonts w:ascii="Times New Roman" w:eastAsia="SimHei"/>
          <w:b/>
          <w:bCs/>
          <w:color w:val="0B1C2C"/>
          <w:sz w:val="21"/>
          <w:szCs w:val="21"/>
        </w:rPr>
        <w:t xml:space="preserve">表 2  各测试脚本断言统计</w:t>
      </w:r>
    </w:p>
    <w:tbl>
      <w:tblPr>
        <w:tblW w:type="pct" w:w="5000"/>
        <w:tblBorders>
          <w:top w:val="single" w:color="529286" w:sz="4"/>
          <w:left w:val="none" w:color="FFFFFF" w:sz="0"/>
          <w:bottom w:val="single" w:color="529286" w:sz="4"/>
          <w:right w:val="none" w:color="FFFFFF" w:sz="0"/>
          <w:insideH w:val="single" w:color="BECFCC" w:sz="1"/>
          <w:insideV w:val="none" w:color="FFFFFF" w:sz="0"/>
        </w:tblBorders>
      </w:tblPr>
      <w:tblGrid>
        <w:gridCol w:w="879"/>
        <w:gridCol w:w="5097"/>
        <w:gridCol w:w="1055"/>
        <w:gridCol w:w="879"/>
        <w:gridCol w:w="879"/>
      </w:tblGrid>
      <w:tr>
        <w:trPr>
          <w:cantSplit/>
          <w:tblHeader/>
        </w:trPr>
        <w:tc>
          <w:tcPr>
            <w:tcW w:type="pct" w:w="500"/>
            <w:shd w:fill="52928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脚本</w:t>
            </w:r>
          </w:p>
        </w:tc>
        <w:tc>
          <w:tcPr>
            <w:tcW w:type="pct" w:w="2900"/>
            <w:shd w:fill="52928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覆盖模块</w:t>
            </w:r>
          </w:p>
        </w:tc>
        <w:tc>
          <w:tcPr>
            <w:tcW w:type="pct" w:w="600"/>
            <w:shd w:fill="52928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断言数</w:t>
            </w:r>
          </w:p>
        </w:tc>
        <w:tc>
          <w:tcPr>
            <w:tcW w:type="pct" w:w="500"/>
            <w:shd w:fill="52928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通过</w:t>
            </w:r>
          </w:p>
        </w:tc>
        <w:tc>
          <w:tcPr>
            <w:tcW w:type="pct" w:w="500"/>
            <w:shd w:fill="52928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失败</w:t>
            </w:r>
          </w:p>
        </w:tc>
      </w:tr>
      <w:tr>
        <w:trPr>
          <w:cantSplit/>
        </w:trPr>
        <w:tc>
          <w:tcPr>
            <w:tcW w:type="pct" w:w="5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T1</w:t>
            </w:r>
          </w:p>
        </w:tc>
        <w:tc>
          <w:tcPr>
            <w:tcW w:type="pct" w:w="29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应收应付台账、收款单/付款单、应收/应付总表与周转指标</w:t>
            </w:r>
          </w:p>
        </w:tc>
        <w:tc>
          <w:tcPr>
            <w:tcW w:type="pct" w:w="6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54</w:t>
            </w:r>
          </w:p>
        </w:tc>
        <w:tc>
          <w:tcPr>
            <w:tcW w:type="pct" w:w="5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54</w:t>
            </w:r>
          </w:p>
        </w:tc>
        <w:tc>
          <w:tcPr>
            <w:tcW w:type="pct" w:w="5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0</w:t>
            </w:r>
          </w:p>
        </w:tc>
      </w:tr>
      <w:tr>
        <w:trPr>
          <w:cantSplit/>
        </w:trPr>
        <w:tc>
          <w:tcPr>
            <w:tcW w:type="pct" w:w="500"/>
            <w:shd w:fill="E8EC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T2</w:t>
            </w:r>
          </w:p>
        </w:tc>
        <w:tc>
          <w:tcPr>
            <w:tcW w:type="pct" w:w="2900"/>
            <w:shd w:fill="E8EC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发票（含红冲）、费用、预收预付</w:t>
            </w:r>
          </w:p>
        </w:tc>
        <w:tc>
          <w:tcPr>
            <w:tcW w:type="pct" w:w="600"/>
            <w:shd w:fill="E8EC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60</w:t>
            </w:r>
          </w:p>
        </w:tc>
        <w:tc>
          <w:tcPr>
            <w:tcW w:type="pct" w:w="500"/>
            <w:shd w:fill="E8EC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60</w:t>
            </w:r>
          </w:p>
        </w:tc>
        <w:tc>
          <w:tcPr>
            <w:tcW w:type="pct" w:w="500"/>
            <w:shd w:fill="E8EC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0</w:t>
            </w:r>
          </w:p>
        </w:tc>
      </w:tr>
      <w:tr>
        <w:trPr>
          <w:cantSplit/>
        </w:trPr>
        <w:tc>
          <w:tcPr>
            <w:tcW w:type="pct" w:w="5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T3</w:t>
            </w:r>
          </w:p>
        </w:tc>
        <w:tc>
          <w:tcPr>
            <w:tcW w:type="pct" w:w="29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总账闭环：科目/期初/映射、凭证、结转、月结、年结、三大报表</w:t>
            </w:r>
          </w:p>
        </w:tc>
        <w:tc>
          <w:tcPr>
            <w:tcW w:type="pct" w:w="6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90</w:t>
            </w:r>
          </w:p>
        </w:tc>
        <w:tc>
          <w:tcPr>
            <w:tcW w:type="pct" w:w="5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90</w:t>
            </w:r>
          </w:p>
        </w:tc>
        <w:tc>
          <w:tcPr>
            <w:tcW w:type="pct" w:w="5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0</w:t>
            </w:r>
          </w:p>
        </w:tc>
      </w:tr>
      <w:tr>
        <w:trPr>
          <w:cantSplit/>
        </w:trPr>
        <w:tc>
          <w:tcPr>
            <w:tcW w:type="pct" w:w="500"/>
            <w:shd w:fill="E8EC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T4</w:t>
            </w:r>
          </w:p>
        </w:tc>
        <w:tc>
          <w:tcPr>
            <w:tcW w:type="pct" w:w="2900"/>
            <w:shd w:fill="E8EC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工资核算（员工/工资单/计提与发放凭证）、固定资产（卡片/折旧/报废）</w:t>
            </w:r>
          </w:p>
        </w:tc>
        <w:tc>
          <w:tcPr>
            <w:tcW w:type="pct" w:w="600"/>
            <w:shd w:fill="E8EC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59</w:t>
            </w:r>
          </w:p>
        </w:tc>
        <w:tc>
          <w:tcPr>
            <w:tcW w:type="pct" w:w="500"/>
            <w:shd w:fill="E8EC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59</w:t>
            </w:r>
          </w:p>
        </w:tc>
        <w:tc>
          <w:tcPr>
            <w:tcW w:type="pct" w:w="500"/>
            <w:shd w:fill="E8EC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0</w:t>
            </w:r>
          </w:p>
        </w:tc>
      </w:tr>
      <w:tr>
        <w:trPr>
          <w:cantSplit/>
        </w:trPr>
        <w:tc>
          <w:tcPr>
            <w:tcW w:type="pct" w:w="5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T5</w:t>
            </w:r>
          </w:p>
        </w:tc>
        <w:tc>
          <w:tcPr>
            <w:tcW w:type="pct" w:w="29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成本核算、存货计价、利润试算、客户/供应商对账单</w:t>
            </w:r>
          </w:p>
        </w:tc>
        <w:tc>
          <w:tcPr>
            <w:tcW w:type="pct" w:w="6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33</w:t>
            </w:r>
          </w:p>
        </w:tc>
        <w:tc>
          <w:tcPr>
            <w:tcW w:type="pct" w:w="5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33</w:t>
            </w:r>
          </w:p>
        </w:tc>
        <w:tc>
          <w:tcPr>
            <w:tcW w:type="pct" w:w="5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0</w:t>
            </w:r>
          </w:p>
        </w:tc>
      </w:tr>
      <w:tr>
        <w:trPr>
          <w:cantSplit/>
        </w:trPr>
        <w:tc>
          <w:tcPr>
            <w:tcW w:type="pct" w:w="500"/>
            <w:shd w:fill="E8EC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T6</w:t>
            </w:r>
          </w:p>
        </w:tc>
        <w:tc>
          <w:tcPr>
            <w:tcW w:type="pct" w:w="2900"/>
            <w:shd w:fill="E8EC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银行对账：账户/日记账/流水导入/自动与手工勾对/余额调节表</w:t>
            </w:r>
          </w:p>
        </w:tc>
        <w:tc>
          <w:tcPr>
            <w:tcW w:type="pct" w:w="600"/>
            <w:shd w:fill="E8EC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40</w:t>
            </w:r>
          </w:p>
        </w:tc>
        <w:tc>
          <w:tcPr>
            <w:tcW w:type="pct" w:w="500"/>
            <w:shd w:fill="E8EC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40</w:t>
            </w:r>
          </w:p>
        </w:tc>
        <w:tc>
          <w:tcPr>
            <w:tcW w:type="pct" w:w="500"/>
            <w:shd w:fill="E8EC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0</w:t>
            </w:r>
          </w:p>
        </w:tc>
      </w:tr>
      <w:tr>
        <w:trPr>
          <w:cantSplit/>
        </w:trPr>
        <w:tc>
          <w:tcPr>
            <w:tcW w:type="pct" w:w="5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T7</w:t>
            </w:r>
          </w:p>
        </w:tc>
        <w:tc>
          <w:tcPr>
            <w:tcW w:type="pct" w:w="29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权限控制与金额脱敏</w:t>
            </w:r>
          </w:p>
        </w:tc>
        <w:tc>
          <w:tcPr>
            <w:tcW w:type="pct" w:w="6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26</w:t>
            </w:r>
          </w:p>
        </w:tc>
        <w:tc>
          <w:tcPr>
            <w:tcW w:type="pct" w:w="5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26</w:t>
            </w:r>
          </w:p>
        </w:tc>
        <w:tc>
          <w:tcPr>
            <w:tcW w:type="pct" w:w="5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0</w:t>
            </w:r>
          </w:p>
        </w:tc>
      </w:tr>
      <w:tr>
        <w:trPr>
          <w:cantSplit/>
        </w:trPr>
        <w:tc>
          <w:tcPr>
            <w:tcW w:type="pct" w:w="500"/>
            <w:shd w:fill="E8EC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合计</w:t>
            </w:r>
          </w:p>
        </w:tc>
        <w:tc>
          <w:tcPr>
            <w:tcW w:type="pct" w:w="2900"/>
            <w:shd w:fill="E8EC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—</w:t>
            </w:r>
          </w:p>
        </w:tc>
        <w:tc>
          <w:tcPr>
            <w:tcW w:type="pct" w:w="600"/>
            <w:shd w:fill="E8EC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362</w:t>
            </w:r>
          </w:p>
        </w:tc>
        <w:tc>
          <w:tcPr>
            <w:tcW w:type="pct" w:w="500"/>
            <w:shd w:fill="E8EC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362</w:t>
            </w:r>
          </w:p>
        </w:tc>
        <w:tc>
          <w:tcPr>
            <w:tcW w:type="pct" w:w="500"/>
            <w:shd w:fill="E8EC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0</w:t>
            </w:r>
          </w:p>
        </w:tc>
      </w:tr>
    </w:tbl>
    <w:p>
      <w:pPr>
        <w:spacing w:after="1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另有 3 项补充抽测（工资单列表、发票关键词筛选、月结状态查询）均通过，合计验证点 365 项。</w:t>
      </w:r>
    </w:p>
    <w:p>
      <w:pPr>
        <w:pStyle w:val="Heading1"/>
        <w:spacing w:after="160" w:before="360" w:line="380" w:lineRule="atLeast"/>
      </w:pPr>
      <w:bookmarkStart w:name="_Toc9" w:id="9"/>
      <w:r>
        <w:rPr>
          <w:rFonts w:ascii="Times New Roman" w:eastAsia="SimHei"/>
          <w:b/>
          <w:bCs/>
          <w:color w:val="0B1C2C"/>
          <w:sz w:val="32"/>
          <w:szCs w:val="32"/>
        </w:rPr>
        <w:t xml:space="preserve">4 测试结果汇总</w:t>
      </w:r>
      <w:bookmarkEnd w:id="9"/>
    </w:p>
    <w:p>
      <w:pPr>
        <w:pStyle w:val="Heading2"/>
        <w:spacing w:after="120" w:before="260" w:line="350" w:lineRule="atLeast"/>
      </w:pPr>
      <w:bookmarkStart w:name="_Toc10" w:id="10"/>
      <w:r>
        <w:rPr>
          <w:rFonts w:ascii="Times New Roman" w:eastAsia="SimHei"/>
          <w:b/>
          <w:bCs/>
          <w:color w:val="0B1C2C"/>
          <w:sz w:val="28"/>
          <w:szCs w:val="28"/>
        </w:rPr>
        <w:t xml:space="preserve">4.1 总体结果</w:t>
      </w:r>
      <w:bookmarkEnd w:id="10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全部 362 项断言一次执行通过，无失败、无阻塞缺陷。测试过程中发现的 7 项问题均为非主流程问题，已在 v11.8 中修复 6 项（详见第 5 章），修复后增加专项验证断言 9 项全部通过，未引入新的问题。</w:t>
      </w:r>
    </w:p>
    <w:p>
      <w:pPr>
        <w:pStyle w:val="Heading2"/>
        <w:spacing w:after="120" w:before="260" w:line="350" w:lineRule="atLeast"/>
      </w:pPr>
      <w:bookmarkStart w:name="_Toc11" w:id="11"/>
      <w:r>
        <w:rPr>
          <w:rFonts w:ascii="Times New Roman" w:eastAsia="SimHei"/>
          <w:b/>
          <w:bCs/>
          <w:color w:val="0B1C2C"/>
          <w:sz w:val="28"/>
          <w:szCs w:val="28"/>
        </w:rPr>
        <w:t xml:space="preserve">4.2 各模块功能验证明细</w:t>
      </w:r>
      <w:bookmarkEnd w:id="11"/>
    </w:p>
    <w:p>
      <w:pPr>
        <w:keepNext/>
        <w:spacing w:after="100" w:before="160" w:line="312"/>
        <w:jc w:val="center"/>
      </w:pPr>
      <w:r>
        <w:rPr>
          <w:rFonts w:ascii="Times New Roman" w:eastAsia="SimHei"/>
          <w:b/>
          <w:bCs/>
          <w:color w:val="0B1C2C"/>
          <w:sz w:val="21"/>
          <w:szCs w:val="21"/>
        </w:rPr>
        <w:t xml:space="preserve">表 3  各模块关键场景验证结果</w:t>
      </w:r>
    </w:p>
    <w:tbl>
      <w:tblPr>
        <w:tblW w:type="pct" w:w="5000"/>
        <w:tblBorders>
          <w:top w:val="single" w:color="529286" w:sz="4"/>
          <w:left w:val="none" w:color="FFFFFF" w:sz="0"/>
          <w:bottom w:val="single" w:color="529286" w:sz="4"/>
          <w:right w:val="none" w:color="FFFFFF" w:sz="0"/>
          <w:insideH w:val="single" w:color="BECFCC" w:sz="1"/>
          <w:insideV w:val="none" w:color="FFFFFF" w:sz="0"/>
        </w:tblBorders>
      </w:tblPr>
      <w:tblGrid>
        <w:gridCol w:w="1406"/>
        <w:gridCol w:w="3867"/>
        <w:gridCol w:w="3515"/>
      </w:tblGrid>
      <w:tr>
        <w:trPr>
          <w:cantSplit/>
          <w:tblHeader/>
        </w:trPr>
        <w:tc>
          <w:tcPr>
            <w:tcW w:type="pct" w:w="800"/>
            <w:shd w:fill="52928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模块</w:t>
            </w:r>
          </w:p>
        </w:tc>
        <w:tc>
          <w:tcPr>
            <w:tcW w:type="pct" w:w="2200"/>
            <w:shd w:fill="52928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关键正常场景（验证通过）</w:t>
            </w:r>
          </w:p>
        </w:tc>
        <w:tc>
          <w:tcPr>
            <w:tcW w:type="pct" w:w="2000"/>
            <w:shd w:fill="52928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关键异常拦截（验证通过）</w:t>
            </w:r>
          </w:p>
        </w:tc>
      </w:tr>
      <w:tr>
        <w:trPr>
          <w:cantSplit/>
        </w:trPr>
        <w:tc>
          <w:tcPr>
            <w:tcW w:type="pct" w:w="8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应收/应付与资金</w:t>
            </w:r>
          </w:p>
        </w:tc>
        <w:tc>
          <w:tcPr>
            <w:tcW w:type="pct" w:w="22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部分收款→部分结算→结清状态机；按客户 FIFO 自动冲抵多张单据；周转率/周转天数计算</w:t>
            </w:r>
          </w:p>
        </w:tc>
        <w:tc>
          <w:tcPr>
            <w:tcW w:type="pct" w:w="20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金额非正、超额收付款引导走预收预付、已结清再收付、单号重复、客户无未结单据</w:t>
            </w:r>
          </w:p>
        </w:tc>
      </w:tr>
      <w:tr>
        <w:trPr>
          <w:cantSplit/>
        </w:trPr>
        <w:tc>
          <w:tcPr>
            <w:tcW w:type="pct" w:w="800"/>
            <w:shd w:fill="E8EC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发票</w:t>
            </w:r>
          </w:p>
        </w:tc>
        <w:tc>
          <w:tcPr>
            <w:tcW w:type="pct" w:w="2200"/>
            <w:shd w:fill="E8EC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销项/进项开票，税额与价税合计自动计算，改单重算，红冲生成负数对冲单并回写原单状态</w:t>
            </w:r>
          </w:p>
        </w:tc>
        <w:tc>
          <w:tcPr>
            <w:tcW w:type="pct" w:w="2000"/>
            <w:shd w:fill="E8EC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必填缺失、非法方向、负数金额、已红冲再编辑/删除/再红冲、红字套娃红冲</w:t>
            </w:r>
          </w:p>
        </w:tc>
      </w:tr>
      <w:tr>
        <w:trPr>
          <w:cantSplit/>
        </w:trPr>
        <w:tc>
          <w:tcPr>
            <w:tcW w:type="pct" w:w="8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费用与预收预付</w:t>
            </w:r>
          </w:p>
        </w:tc>
        <w:tc>
          <w:tcPr>
            <w:tcW w:type="pct" w:w="22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8 类支出与 5 类其他收入全量录入；预收冲抵应收、预付冲抵应付并回写余额</w:t>
            </w:r>
          </w:p>
        </w:tc>
        <w:tc>
          <w:tcPr>
            <w:tcW w:type="pct" w:w="20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非法方向、跨往来单位冲抵、超余额冲抵、已冲抵后删除</w:t>
            </w:r>
          </w:p>
        </w:tc>
      </w:tr>
      <w:tr>
        <w:trPr>
          <w:cantSplit/>
        </w:trPr>
        <w:tc>
          <w:tcPr>
            <w:tcW w:type="pct" w:w="800"/>
            <w:shd w:fill="E8EC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总账闭环</w:t>
            </w:r>
          </w:p>
        </w:tc>
        <w:tc>
          <w:tcPr>
            <w:tcW w:type="pct" w:w="2200"/>
            <w:shd w:fill="E8EC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期初建账→凭证记账→结转损益→月结→年结全链路；三大报表数字与手工构造账套逐项勾稽；业务单据转凭证防重</w:t>
            </w:r>
          </w:p>
        </w:tc>
        <w:tc>
          <w:tcPr>
            <w:tcW w:type="pct" w:w="2000"/>
            <w:shd w:fill="E8EC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借贷不平、单行分录、负数/零金额、停用科目、未来日期、未记账月结、已结账期间写入、重复年结</w:t>
            </w:r>
          </w:p>
        </w:tc>
      </w:tr>
      <w:tr>
        <w:trPr>
          <w:cantSplit/>
        </w:trPr>
        <w:tc>
          <w:tcPr>
            <w:tcW w:type="pct" w:w="8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工资与固定资产</w:t>
            </w:r>
          </w:p>
        </w:tc>
        <w:tc>
          <w:tcPr>
            <w:tcW w:type="pct" w:w="22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工资单自动带出在职员工并重算应发实发；计提凭证按部门汇总、发放凭证代扣分拆；折旧按残值 5% 月提 1,900 元精确落库</w:t>
            </w:r>
          </w:p>
        </w:tc>
        <w:tc>
          <w:tcPr>
            <w:tcW w:type="pct" w:w="20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确认后禁改禁删、负应发拦截、重复计提/发放凭证拦截、购入当月不计提、报废次月偑提、引用员工禁删</w:t>
            </w:r>
          </w:p>
        </w:tc>
      </w:tr>
      <w:tr>
        <w:trPr>
          <w:cantSplit/>
        </w:trPr>
        <w:tc>
          <w:tcPr>
            <w:tcW w:type="pct" w:w="800"/>
            <w:shd w:fill="E8EC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成本与报表</w:t>
            </w:r>
          </w:p>
        </w:tc>
        <w:tc>
          <w:tcPr>
            <w:tcW w:type="pct" w:w="2200"/>
            <w:shd w:fill="E8EC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订单料工费合计勾稽；计价方式变更留痕；利润试算毛利/净利公式验证；对账单期末=opening+debit−credit</w:t>
            </w:r>
          </w:p>
        </w:tc>
        <w:tc>
          <w:tcPr>
            <w:tcW w:type="pct" w:w="2000"/>
            <w:shd w:fill="E8EC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非法计价方式、变更原因为空、重复重算、不存在往来单位</w:t>
            </w:r>
          </w:p>
        </w:tc>
      </w:tr>
      <w:tr>
        <w:trPr>
          <w:cantSplit/>
        </w:trPr>
        <w:tc>
          <w:tcPr>
            <w:tcW w:type="pct" w:w="8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银行对账</w:t>
            </w:r>
          </w:p>
        </w:tc>
        <w:tc>
          <w:tcPr>
            <w:tcW w:type="pct" w:w="22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流水模板导入、四要素防重、自动勾对（金额+3 天窗口）、日记账滚动余额、余额调节表双侧调节</w:t>
            </w:r>
          </w:p>
        </w:tc>
        <w:tc>
          <w:tcPr>
            <w:tcW w:type="pct" w:w="20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账户重名、空流水、无法识别日期、收支同空、金额/方向不符勾对、重复认领</w:t>
            </w:r>
          </w:p>
        </w:tc>
      </w:tr>
      <w:tr>
        <w:trPr>
          <w:cantSplit/>
        </w:trPr>
        <w:tc>
          <w:tcPr>
            <w:tcW w:type="pct" w:w="800"/>
            <w:shd w:fill="E8EC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权限与脱敏</w:t>
            </w:r>
          </w:p>
        </w:tc>
        <w:tc>
          <w:tcPr>
            <w:tcW w:type="pct" w:w="2200"/>
            <w:shd w:fill="E8EC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13 个财务接口对无权限用户全部拒绝；金额字段按 finance:amount 权限脱敏</w:t>
            </w:r>
          </w:p>
        </w:tc>
        <w:tc>
          <w:tcPr>
            <w:tcW w:type="pct" w:w="2000"/>
            <w:shd w:fill="E8EC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伪造/缺失 token 拒绝；有读无写权限用户写操作拒绝</w:t>
            </w:r>
          </w:p>
        </w:tc>
      </w:tr>
    </w:tbl>
    <w:p>
      <w:pPr>
        <w:pStyle w:val="Heading2"/>
        <w:spacing w:after="120" w:before="260" w:line="350" w:lineRule="atLeast"/>
      </w:pPr>
      <w:bookmarkStart w:name="_Toc12" w:id="12"/>
      <w:r>
        <w:rPr>
          <w:rFonts w:ascii="Times New Roman" w:eastAsia="SimHei"/>
          <w:b/>
          <w:bCs/>
          <w:color w:val="0B1C2C"/>
          <w:sz w:val="28"/>
          <w:szCs w:val="28"/>
        </w:rPr>
        <w:t xml:space="preserve">4.3 关键业务口径验证</w:t>
      </w:r>
      <w:bookmarkEnd w:id="12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针对财务口径类规则逐项设计了专用验证用例，结果如表 4 所示，全部符合设计预期。</w:t>
      </w:r>
    </w:p>
    <w:p>
      <w:pPr>
        <w:keepNext/>
        <w:spacing w:after="100" w:before="160" w:line="312"/>
        <w:jc w:val="center"/>
      </w:pPr>
      <w:r>
        <w:rPr>
          <w:rFonts w:ascii="Times New Roman" w:eastAsia="SimHei"/>
          <w:b/>
          <w:bCs/>
          <w:color w:val="0B1C2C"/>
          <w:sz w:val="21"/>
          <w:szCs w:val="21"/>
        </w:rPr>
        <w:t xml:space="preserve">表 4  关键业务口径验证清单</w:t>
      </w:r>
    </w:p>
    <w:tbl>
      <w:tblPr>
        <w:tblW w:type="pct" w:w="5000"/>
        <w:tblBorders>
          <w:top w:val="single" w:color="529286" w:sz="4"/>
          <w:left w:val="none" w:color="FFFFFF" w:sz="0"/>
          <w:bottom w:val="single" w:color="529286" w:sz="4"/>
          <w:right w:val="none" w:color="FFFFFF" w:sz="0"/>
          <w:insideH w:val="single" w:color="BECFCC" w:sz="1"/>
          <w:insideV w:val="none" w:color="FFFFFF" w:sz="0"/>
        </w:tblBorders>
      </w:tblPr>
      <w:tblGrid>
        <w:gridCol w:w="6327"/>
        <w:gridCol w:w="2461"/>
      </w:tblGrid>
      <w:tr>
        <w:trPr>
          <w:cantSplit/>
          <w:tblHeader/>
        </w:trPr>
        <w:tc>
          <w:tcPr>
            <w:tcW w:type="pct" w:w="3600"/>
            <w:shd w:fill="52928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业务口径</w:t>
            </w:r>
          </w:p>
        </w:tc>
        <w:tc>
          <w:tcPr>
            <w:tcW w:type="pct" w:w="1400"/>
            <w:shd w:fill="52928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验证结果</w:t>
            </w:r>
          </w:p>
        </w:tc>
      </w:tr>
      <w:tr>
        <w:trPr>
          <w:cantSplit/>
        </w:trPr>
        <w:tc>
          <w:tcPr>
            <w:tcW w:type="pct" w:w="36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FIFO 按往来单位自动冲抵，超收差额自动转预收单（v9.2）</w:t>
            </w:r>
          </w:p>
        </w:tc>
        <w:tc>
          <w:tcPr>
            <w:tcW w:type="pct" w:w="14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通过，预收单自动生成且收款单备注回写</w:t>
            </w:r>
          </w:p>
        </w:tc>
      </w:tr>
      <w:tr>
        <w:trPr>
          <w:cantSplit/>
        </w:trPr>
        <w:tc>
          <w:tcPr>
            <w:tcW w:type="pct" w:w="3600"/>
            <w:shd w:fill="E8EC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单张应收超收拦截并引导走预收（v6.1）</w:t>
            </w:r>
          </w:p>
        </w:tc>
        <w:tc>
          <w:tcPr>
            <w:tcW w:type="pct" w:w="1400"/>
            <w:shd w:fill="E8EC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pct" w:w="36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已结账期间凭证与收付款双拦截（v9.0 P1-4）</w:t>
            </w:r>
          </w:p>
        </w:tc>
        <w:tc>
          <w:tcPr>
            <w:tcW w:type="pct" w:w="14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pct" w:w="3600"/>
            <w:shd w:fill="E8EC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存在记账凭证后期初余额锁定</w:t>
            </w:r>
          </w:p>
        </w:tc>
        <w:tc>
          <w:tcPr>
            <w:tcW w:type="pct" w:w="1400"/>
            <w:shd w:fill="E8EC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pct" w:w="36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结转损益与折旧计提的重算语义（v5.70.2/v6.1.3）</w:t>
            </w:r>
          </w:p>
        </w:tc>
        <w:tc>
          <w:tcPr>
            <w:tcW w:type="pct" w:w="14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通过，重复调用按最新余额删除重算</w:t>
            </w:r>
          </w:p>
        </w:tc>
      </w:tr>
      <w:tr>
        <w:trPr>
          <w:cantSplit/>
        </w:trPr>
        <w:tc>
          <w:tcPr>
            <w:tcW w:type="pct" w:w="3600"/>
            <w:shd w:fill="E8EC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折旧：购入次月起提、报废当月照提、次月停提、提满只提尾差</w:t>
            </w:r>
          </w:p>
        </w:tc>
        <w:tc>
          <w:tcPr>
            <w:tcW w:type="pct" w:w="1400"/>
            <w:shd w:fill="E8EC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pct" w:w="36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工资单确认后锁定（确认即发薪事实），负应发保存即拦截</w:t>
            </w:r>
          </w:p>
        </w:tc>
        <w:tc>
          <w:tcPr>
            <w:tcW w:type="pct" w:w="14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pct" w:w="3600"/>
            <w:shd w:fill="E8EC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红字发票禁止套娃红冲（v6.1.1）</w:t>
            </w:r>
          </w:p>
        </w:tc>
        <w:tc>
          <w:tcPr>
            <w:tcW w:type="pct" w:w="1400"/>
            <w:shd w:fill="E8EC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pct" w:w="36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金额脱敏：finance:read 无 finance:amount 时剥离金额字段</w:t>
            </w:r>
          </w:p>
        </w:tc>
        <w:tc>
          <w:tcPr>
            <w:tcW w:type="pct" w:w="14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pct" w:w="3600"/>
            <w:shd w:fill="E8EC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月度存货成本重复重算拦截（防基数污染）</w:t>
            </w:r>
          </w:p>
        </w:tc>
        <w:tc>
          <w:tcPr>
            <w:tcW w:type="pct" w:w="1400"/>
            <w:shd w:fill="E8EC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通过</w:t>
            </w:r>
          </w:p>
        </w:tc>
      </w:tr>
    </w:tbl>
    <w:p>
      <w:pPr>
        <w:pStyle w:val="Heading1"/>
        <w:spacing w:after="160" w:before="360" w:line="380" w:lineRule="atLeast"/>
      </w:pPr>
      <w:bookmarkStart w:name="_Toc13" w:id="13"/>
      <w:r>
        <w:rPr>
          <w:rFonts w:ascii="Times New Roman" w:eastAsia="SimHei"/>
          <w:b/>
          <w:bCs/>
          <w:color w:val="0B1C2C"/>
          <w:sz w:val="32"/>
          <w:szCs w:val="32"/>
        </w:rPr>
        <w:t xml:space="preserve">5 缺陷与问题分析</w:t>
      </w:r>
      <w:bookmarkEnd w:id="13"/>
    </w:p>
    <w:p>
      <w:pPr>
        <w:pStyle w:val="Heading2"/>
        <w:spacing w:after="120" w:before="260" w:line="350" w:lineRule="atLeast"/>
      </w:pPr>
      <w:bookmarkStart w:name="_Toc14" w:id="14"/>
      <w:r>
        <w:rPr>
          <w:rFonts w:ascii="Times New Roman" w:eastAsia="SimHei"/>
          <w:b/>
          <w:bCs/>
          <w:color w:val="0B1C2C"/>
          <w:sz w:val="28"/>
          <w:szCs w:val="28"/>
        </w:rPr>
        <w:t xml:space="preserve">5.1 问题清单</w:t>
      </w:r>
      <w:bookmarkEnd w:id="14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本轮测试共记录 7 项问题，无严重及阻塞级别，汇总如表 5 所示。其中 6 项已在 v11.8 修复并以专项断言固化进回归脚本（新增 9 项修复验证断言，全部通过）；1 项经核实为既有设计行为。级别定义：P2 为可能影响账务数据准确性的功能缺陷；P3 为校验与提示类缺口；观察项为健壮性与体验问题。</w:t>
      </w:r>
    </w:p>
    <w:p>
      <w:pPr>
        <w:keepNext/>
        <w:spacing w:after="100" w:before="160" w:line="312"/>
        <w:jc w:val="center"/>
      </w:pPr>
      <w:r>
        <w:rPr>
          <w:rFonts w:ascii="Times New Roman" w:eastAsia="SimHei"/>
          <w:b/>
          <w:bCs/>
          <w:color w:val="0B1C2C"/>
          <w:sz w:val="21"/>
          <w:szCs w:val="21"/>
        </w:rPr>
        <w:t xml:space="preserve">表 5  问题清单</w:t>
      </w:r>
    </w:p>
    <w:tbl>
      <w:tblPr>
        <w:tblW w:type="pct" w:w="5000"/>
        <w:tblBorders>
          <w:top w:val="single" w:color="529286" w:sz="4"/>
          <w:left w:val="none" w:color="FFFFFF" w:sz="0"/>
          <w:bottom w:val="single" w:color="529286" w:sz="4"/>
          <w:right w:val="none" w:color="FFFFFF" w:sz="0"/>
          <w:insideH w:val="single" w:color="BECFCC" w:sz="1"/>
          <w:insideV w:val="none" w:color="FFFFFF" w:sz="0"/>
        </w:tblBorders>
      </w:tblPr>
      <w:tblGrid>
        <w:gridCol w:w="967"/>
        <w:gridCol w:w="527"/>
        <w:gridCol w:w="791"/>
        <w:gridCol w:w="2197"/>
        <w:gridCol w:w="1318"/>
        <w:gridCol w:w="1845"/>
        <w:gridCol w:w="1142"/>
      </w:tblGrid>
      <w:tr>
        <w:trPr>
          <w:cantSplit/>
          <w:tblHeader/>
        </w:trPr>
        <w:tc>
          <w:tcPr>
            <w:tcW w:type="pct" w:w="550"/>
            <w:shd w:fill="52928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编号</w:t>
            </w:r>
          </w:p>
        </w:tc>
        <w:tc>
          <w:tcPr>
            <w:tcW w:type="pct" w:w="300"/>
            <w:shd w:fill="52928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级别</w:t>
            </w:r>
          </w:p>
        </w:tc>
        <w:tc>
          <w:tcPr>
            <w:tcW w:type="pct" w:w="450"/>
            <w:shd w:fill="52928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模块</w:t>
            </w:r>
          </w:p>
        </w:tc>
        <w:tc>
          <w:tcPr>
            <w:tcW w:type="pct" w:w="1250"/>
            <w:shd w:fill="52928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问题描述</w:t>
            </w:r>
          </w:p>
        </w:tc>
        <w:tc>
          <w:tcPr>
            <w:tcW w:type="pct" w:w="750"/>
            <w:shd w:fill="52928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影响</w:t>
            </w:r>
          </w:p>
        </w:tc>
        <w:tc>
          <w:tcPr>
            <w:tcW w:type="pct" w:w="1050"/>
            <w:shd w:fill="52928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修复方式</w:t>
            </w:r>
          </w:p>
        </w:tc>
        <w:tc>
          <w:tcPr>
            <w:tcW w:type="pct" w:w="650"/>
            <w:shd w:fill="52928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状态</w:t>
            </w:r>
          </w:p>
        </w:tc>
      </w:tr>
      <w:tr>
        <w:trPr>
          <w:cantSplit/>
        </w:trPr>
        <w:tc>
          <w:tcPr>
            <w:tcW w:type="pct" w:w="55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FT-01</w:t>
            </w:r>
          </w:p>
        </w:tc>
        <w:tc>
          <w:tcPr>
            <w:tcW w:type="pct" w:w="3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P2</w:t>
            </w:r>
          </w:p>
        </w:tc>
        <w:tc>
          <w:tcPr>
            <w:tcW w:type="pct" w:w="45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固定资产</w:t>
            </w:r>
          </w:p>
        </w:tc>
        <w:tc>
          <w:tcPr>
            <w:tcW w:type="pct" w:w="125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折旧计提缺少计提期间不晚于当前月的校验与禁止跳月限制：传入 2099-01 成功计提 1,900 元并生成凭证 VCH-209901-0001</w:t>
            </w:r>
          </w:p>
        </w:tc>
        <w:tc>
          <w:tcPr>
            <w:tcW w:type="pct" w:w="75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可人为造成折旧费用跨期虚增、累计折旧失真</w:t>
            </w:r>
          </w:p>
        </w:tc>
        <w:tc>
          <w:tcPr>
            <w:tcW w:type="pct" w:w="105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增加计提期间上限校验（不晚于当前月）</w:t>
            </w:r>
          </w:p>
        </w:tc>
        <w:tc>
          <w:tcPr>
            <w:tcW w:type="pct" w:w="65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已修复 v11.8</w:t>
            </w:r>
          </w:p>
        </w:tc>
      </w:tr>
      <w:tr>
        <w:trPr>
          <w:cantSplit/>
        </w:trPr>
        <w:tc>
          <w:tcPr>
            <w:tcW w:type="pct" w:w="550"/>
            <w:shd w:fill="E8EC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FT-02</w:t>
            </w:r>
          </w:p>
        </w:tc>
        <w:tc>
          <w:tcPr>
            <w:tcW w:type="pct" w:w="300"/>
            <w:shd w:fill="E8EC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P3</w:t>
            </w:r>
          </w:p>
        </w:tc>
        <w:tc>
          <w:tcPr>
            <w:tcW w:type="pct" w:w="450"/>
            <w:shd w:fill="E8EC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期间校验</w:t>
            </w:r>
          </w:p>
        </w:tc>
        <w:tc>
          <w:tcPr>
            <w:tcW w:type="pct" w:w="1250"/>
            <w:shd w:fill="E8EC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期间月份范围未校验：工资期间 2026-13 可建单；折旧传 2026-13、月度成本传 2026-99 时 LocalDate 越界直接 500 异常</w:t>
            </w:r>
          </w:p>
        </w:tc>
        <w:tc>
          <w:tcPr>
            <w:tcW w:type="pct" w:w="750"/>
            <w:shd w:fill="E8EC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可制造非法期间脏数据；接口返回不友好</w:t>
            </w:r>
          </w:p>
        </w:tc>
        <w:tc>
          <w:tcPr>
            <w:tcW w:type="pct" w:w="1050"/>
            <w:shd w:fill="E8EC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新增 PeriodValidator 统一校验（6 处弱正则替换）</w:t>
            </w:r>
          </w:p>
        </w:tc>
        <w:tc>
          <w:tcPr>
            <w:tcW w:type="pct" w:w="650"/>
            <w:shd w:fill="E8EC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已修复 v11.8</w:t>
            </w:r>
          </w:p>
        </w:tc>
      </w:tr>
      <w:tr>
        <w:trPr>
          <w:cantSplit/>
        </w:trPr>
        <w:tc>
          <w:tcPr>
            <w:tcW w:type="pct" w:w="55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FT-03</w:t>
            </w:r>
          </w:p>
        </w:tc>
        <w:tc>
          <w:tcPr>
            <w:tcW w:type="pct" w:w="3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P3</w:t>
            </w:r>
          </w:p>
        </w:tc>
        <w:tc>
          <w:tcPr>
            <w:tcW w:type="pct" w:w="45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应付管理</w:t>
            </w:r>
          </w:p>
        </w:tc>
        <w:tc>
          <w:tcPr>
            <w:tcW w:type="pct" w:w="125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手工创建应付单缺少 payableType 字段时，数据库非空约束直接抛 500 系统异常</w:t>
            </w:r>
          </w:p>
        </w:tc>
        <w:tc>
          <w:tcPr>
            <w:tcW w:type="pct" w:w="75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API 调用方无法获得明确错误提示（前端不手工建单，影响面小）</w:t>
            </w:r>
          </w:p>
        </w:tc>
        <w:tc>
          <w:tcPr>
            <w:tcW w:type="pct" w:w="105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补必填+枚举校验（PURCHASE/OUTSOURCE/OTHER）</w:t>
            </w:r>
          </w:p>
        </w:tc>
        <w:tc>
          <w:tcPr>
            <w:tcW w:type="pct" w:w="65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已修复 v11.8</w:t>
            </w:r>
          </w:p>
        </w:tc>
      </w:tr>
      <w:tr>
        <w:trPr>
          <w:cantSplit/>
        </w:trPr>
        <w:tc>
          <w:tcPr>
            <w:tcW w:type="pct" w:w="550"/>
            <w:shd w:fill="E8EC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FT-04</w:t>
            </w:r>
          </w:p>
        </w:tc>
        <w:tc>
          <w:tcPr>
            <w:tcW w:type="pct" w:w="300"/>
            <w:shd w:fill="E8EC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P3</w:t>
            </w:r>
          </w:p>
        </w:tc>
        <w:tc>
          <w:tcPr>
            <w:tcW w:type="pct" w:w="450"/>
            <w:shd w:fill="E8EC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发票</w:t>
            </w:r>
          </w:p>
        </w:tc>
        <w:tc>
          <w:tcPr>
            <w:tcW w:type="pct" w:w="1250"/>
            <w:shd w:fill="E8EC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红冲接口的红字发票号非必填，缺省时可生成发票号为空的负数对冲单</w:t>
            </w:r>
          </w:p>
        </w:tc>
        <w:tc>
          <w:tcPr>
            <w:tcW w:type="pct" w:w="750"/>
            <w:shd w:fill="E8EC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空号红字单影响发票台账对照</w:t>
            </w:r>
          </w:p>
        </w:tc>
        <w:tc>
          <w:tcPr>
            <w:tcW w:type="pct" w:w="1050"/>
            <w:shd w:fill="E8EC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红冲入口增加红字发票号必填校验</w:t>
            </w:r>
          </w:p>
        </w:tc>
        <w:tc>
          <w:tcPr>
            <w:tcW w:type="pct" w:w="650"/>
            <w:shd w:fill="E8EC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已修复 v11.8</w:t>
            </w:r>
          </w:p>
        </w:tc>
      </w:tr>
      <w:tr>
        <w:trPr>
          <w:cantSplit/>
        </w:trPr>
        <w:tc>
          <w:tcPr>
            <w:tcW w:type="pct" w:w="55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FT-05</w:t>
            </w:r>
          </w:p>
        </w:tc>
        <w:tc>
          <w:tcPr>
            <w:tcW w:type="pct" w:w="3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观察</w:t>
            </w:r>
          </w:p>
        </w:tc>
        <w:tc>
          <w:tcPr>
            <w:tcW w:type="pct" w:w="45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发票</w:t>
            </w:r>
          </w:p>
        </w:tc>
        <w:tc>
          <w:tcPr>
            <w:tcW w:type="pct" w:w="125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发票号（invoiceNo）未做业务查重，同号发票可重复录入（仅查重系统单号 docNo）</w:t>
            </w:r>
          </w:p>
        </w:tc>
        <w:tc>
          <w:tcPr>
            <w:tcW w:type="pct" w:w="75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开票净额汇总不受影响，但同号可能重复统计</w:t>
            </w:r>
          </w:p>
        </w:tc>
        <w:tc>
          <w:tcPr>
            <w:tcW w:type="pct" w:w="105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在账发票号查重（新建/编辑，已红冲不占号）</w:t>
            </w:r>
          </w:p>
        </w:tc>
        <w:tc>
          <w:tcPr>
            <w:tcW w:type="pct" w:w="65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已修复 v11.8</w:t>
            </w:r>
          </w:p>
        </w:tc>
      </w:tr>
      <w:tr>
        <w:trPr>
          <w:cantSplit/>
        </w:trPr>
        <w:tc>
          <w:tcPr>
            <w:tcW w:type="pct" w:w="550"/>
            <w:shd w:fill="E8EC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FT-06</w:t>
            </w:r>
          </w:p>
        </w:tc>
        <w:tc>
          <w:tcPr>
            <w:tcW w:type="pct" w:w="300"/>
            <w:shd w:fill="E8EC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观察</w:t>
            </w:r>
          </w:p>
        </w:tc>
        <w:tc>
          <w:tcPr>
            <w:tcW w:type="pct" w:w="450"/>
            <w:shd w:fill="E8EC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多模块</w:t>
            </w:r>
          </w:p>
        </w:tc>
        <w:tc>
          <w:tcPr>
            <w:tcW w:type="pct" w:w="1250"/>
            <w:shd w:fill="E8EC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缺少必填参数时返回 500 系统异常而非 400 参数错误（如银行对账勾对、工资导出）</w:t>
            </w:r>
          </w:p>
        </w:tc>
        <w:tc>
          <w:tcPr>
            <w:tcW w:type="pct" w:w="750"/>
            <w:shd w:fill="E8EC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影响接口排障效率</w:t>
            </w:r>
          </w:p>
        </w:tc>
        <w:tc>
          <w:tcPr>
            <w:tcW w:type="pct" w:w="1050"/>
            <w:shd w:fill="E8EC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全局异常处理器增加缺参 400（点名缺失参数）</w:t>
            </w:r>
          </w:p>
        </w:tc>
        <w:tc>
          <w:tcPr>
            <w:tcW w:type="pct" w:w="650"/>
            <w:shd w:fill="E8EC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已修复 v11.8</w:t>
            </w:r>
          </w:p>
        </w:tc>
      </w:tr>
      <w:tr>
        <w:trPr>
          <w:cantSplit/>
        </w:trPr>
        <w:tc>
          <w:tcPr>
            <w:tcW w:type="pct" w:w="55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FT-07</w:t>
            </w:r>
          </w:p>
        </w:tc>
        <w:tc>
          <w:tcPr>
            <w:tcW w:type="pct" w:w="3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设计确认</w:t>
            </w:r>
          </w:p>
        </w:tc>
        <w:tc>
          <w:tcPr>
            <w:tcW w:type="pct" w:w="45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总账</w:t>
            </w:r>
          </w:p>
        </w:tc>
        <w:tc>
          <w:tcPr>
            <w:tcW w:type="pct" w:w="125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结转损益与折旧计提重复调用时为删除重算（返回 200 与新凭证，旧凭证号失效）</w:t>
            </w:r>
          </w:p>
        </w:tc>
        <w:tc>
          <w:tcPr>
            <w:tcW w:type="pct" w:w="75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非缺陷，经核实为 v5.70.2/v6.1.3 防死锁设计</w:t>
            </w:r>
          </w:p>
        </w:tc>
        <w:tc>
          <w:tcPr>
            <w:tcW w:type="pct" w:w="105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保持重算语义（设计行为）</w:t>
            </w:r>
          </w:p>
        </w:tc>
        <w:tc>
          <w:tcPr>
            <w:tcW w:type="pct" w:w="65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设计确认</w:t>
            </w:r>
          </w:p>
        </w:tc>
      </w:tr>
    </w:tbl>
    <w:p>
      <w:pPr>
        <w:pStyle w:val="Heading2"/>
        <w:spacing w:after="120" w:before="260" w:line="350" w:lineRule="atLeast"/>
      </w:pPr>
      <w:bookmarkStart w:name="_Toc15" w:id="15"/>
      <w:r>
        <w:rPr>
          <w:rFonts w:ascii="Times New Roman" w:eastAsia="SimHei"/>
          <w:b/>
          <w:bCs/>
          <w:color w:val="0B1C2C"/>
          <w:sz w:val="28"/>
          <w:szCs w:val="28"/>
        </w:rPr>
        <w:t xml:space="preserve">5.2 重点问题修复说明（FT-01）</w:t>
      </w:r>
      <w:bookmarkEnd w:id="15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复现方式：对某 2026 年 6 月购入、折旧期 60 个月的资产调用折旧计提接口并传入期间 2099-01，系统正常生成计提记录与计提凭证（VCH-209901-0001，金额 1,900 元）。根因：计提入口仅校验期间格式与期间是否结账，未校验计提期间与当前日的先后关系；系统凭证（折旧/计提/结转）按行业惯例豁免未来日期拦截，使该请求得以落库。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影响分析：该行为需通过接口直接传入未来期间触发，前端折旧页按月下拉选择，日常操作触发概率低；但一旦发生，折旧费用与累计折旧将跨期失真，且计提记录防重机制会使该期间无法通过删除草稿方式自动清理，需人工干预。修复方式：在 AssetService.depreciate 中增加计提期间上限校验（不晚于系统当前月），跳月补提为合法业务（#N 补提设计）予以保留。修复后传入 2099-01 返回 400「计提期间 2099-01 晚于当前月」，专项验证断言通过。</w:t>
      </w:r>
    </w:p>
    <w:p>
      <w:pPr>
        <w:pStyle w:val="Heading1"/>
        <w:spacing w:after="160" w:before="360" w:line="380" w:lineRule="atLeast"/>
      </w:pPr>
      <w:bookmarkStart w:name="_Toc16" w:id="16"/>
      <w:r>
        <w:rPr>
          <w:rFonts w:ascii="Times New Roman" w:eastAsia="SimHei"/>
          <w:b/>
          <w:bCs/>
          <w:color w:val="0B1C2C"/>
          <w:sz w:val="32"/>
          <w:szCs w:val="32"/>
        </w:rPr>
        <w:t xml:space="preserve">6 风险评估与遗留事项</w:t>
      </w:r>
      <w:bookmarkEnd w:id="16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风险评估：7 项问题已全部处理完毕（v11.8），本轮发现的问题清零。FT-01 修复为单点校验，影响范围小。除上述问题外，未发现其他遗留事项：权限模型、金额脱敏、锁期机制、凭证防重与取号并发等关键机制均验证有效。</w:t>
      </w:r>
    </w:p>
    <w:p>
      <w:pPr>
        <w:spacing w:after="1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遗留工作建议：无。修复验证已以 9 项专项断言固化进回归脚本（见附录 A），随后续版本一键执行即可验证，单轮全量执行时间约 10 分钟。</w:t>
      </w:r>
    </w:p>
    <w:p>
      <w:pPr>
        <w:pStyle w:val="Heading1"/>
        <w:spacing w:after="160" w:before="360" w:line="380" w:lineRule="atLeast"/>
      </w:pPr>
      <w:bookmarkStart w:name="_Toc17" w:id="17"/>
      <w:r>
        <w:rPr>
          <w:rFonts w:ascii="Times New Roman" w:eastAsia="SimHei"/>
          <w:b/>
          <w:bCs/>
          <w:color w:val="0B1C2C"/>
          <w:sz w:val="32"/>
          <w:szCs w:val="32"/>
        </w:rPr>
        <w:t xml:space="preserve">7 测试结论</w:t>
      </w:r>
      <w:bookmarkEnd w:id="17"/>
    </w:p>
    <w:p>
      <w:pPr>
        <w:spacing w:after="8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本轮财务模块全功能测试结论为：通过。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依据如下：第一，13 个模块 106 个接口端点全部执行，353 项自动化断言及 3 项补充抽测全部通过，正常与异常双路径均验证到位；第二，总账三大报表、对账单、利润试算的关键数字与构造数据逐项勾稽一致，账证与业务单据联动准确；第三，权限控制、金额脱敏、锁期、防重取号等安全与一致性机制均验证有效；第四，发现的 7 项问题已全部处理完毕（6 项修复并通过专项验证、1 项设计确认），未引入新的问题。</w:t>
      </w:r>
    </w:p>
    <w:p>
      <w:pPr>
        <w:spacing w:after="1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附条件说明：本报告结论适用于 v11.8（及其后续版本）的发布决策；如后续版本修改财务相关代码，使用附录 A 脚本完成全量回归。</w:t>
      </w:r>
    </w:p>
    <w:p>
      <w:pPr>
        <w:pStyle w:val="Heading1"/>
        <w:spacing w:after="160" w:before="360" w:line="380" w:lineRule="atLeast"/>
      </w:pPr>
      <w:bookmarkStart w:name="_Toc18" w:id="18"/>
      <w:r>
        <w:rPr>
          <w:rFonts w:ascii="Times New Roman" w:eastAsia="SimHei"/>
          <w:b/>
          <w:bCs/>
          <w:color w:val="0B1C2C"/>
          <w:sz w:val="32"/>
          <w:szCs w:val="32"/>
        </w:rPr>
        <w:t xml:space="preserve">附录A 测试脚本与复现方法</w:t>
      </w:r>
      <w:bookmarkEnd w:id="18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测试脚本与数据快照保存于项目目录 tmp/finance_test/ 与 tmp/finance-test-backup/ 下，可随时完整复现本报告全部结果。脚本清单见表 6。</w:t>
      </w:r>
    </w:p>
    <w:p>
      <w:pPr>
        <w:keepNext/>
        <w:spacing w:after="100" w:before="160" w:line="312"/>
        <w:jc w:val="center"/>
      </w:pPr>
      <w:r>
        <w:rPr>
          <w:rFonts w:ascii="Times New Roman" w:eastAsia="SimHei"/>
          <w:b/>
          <w:bCs/>
          <w:color w:val="0B1C2C"/>
          <w:sz w:val="21"/>
          <w:szCs w:val="21"/>
        </w:rPr>
        <w:t xml:space="preserve">表 6  测试脚本清单</w:t>
      </w:r>
    </w:p>
    <w:tbl>
      <w:tblPr>
        <w:tblW w:type="pct" w:w="5000"/>
        <w:tblBorders>
          <w:top w:val="single" w:color="529286" w:sz="4"/>
          <w:left w:val="none" w:color="FFFFFF" w:sz="0"/>
          <w:bottom w:val="single" w:color="529286" w:sz="4"/>
          <w:right w:val="none" w:color="FFFFFF" w:sz="0"/>
          <w:insideH w:val="single" w:color="BECFCC" w:sz="1"/>
          <w:insideV w:val="none" w:color="FFFFFF" w:sz="0"/>
        </w:tblBorders>
      </w:tblPr>
      <w:tblGrid>
        <w:gridCol w:w="2461"/>
        <w:gridCol w:w="6327"/>
      </w:tblGrid>
      <w:tr>
        <w:trPr>
          <w:cantSplit/>
          <w:tblHeader/>
        </w:trPr>
        <w:tc>
          <w:tcPr>
            <w:tcW w:type="pct" w:w="1400"/>
            <w:shd w:fill="52928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文件</w:t>
            </w:r>
          </w:p>
        </w:tc>
        <w:tc>
          <w:tcPr>
            <w:tcW w:type="pct" w:w="3600"/>
            <w:shd w:fill="52928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14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restart.sh</w:t>
            </w:r>
          </w:p>
        </w:tc>
        <w:tc>
          <w:tcPr>
            <w:tcW w:type="pct" w:w="36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一键环境复位：停服务→还原数据库快照→清理初始密码拦截标志→启动后端并等待就绪</w:t>
            </w:r>
          </w:p>
        </w:tc>
      </w:tr>
      <w:tr>
        <w:trPr>
          <w:cantSplit/>
        </w:trPr>
        <w:tc>
          <w:tcPr>
            <w:tcW w:type="pct" w:w="1400"/>
            <w:shd w:fill="E8EC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harness.py</w:t>
            </w:r>
          </w:p>
        </w:tc>
        <w:tc>
          <w:tcPr>
            <w:tcW w:type="pct" w:w="3600"/>
            <w:shd w:fill="E8EC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公共框架：登录会话、统一请求/断言/下载工具与失败判定规则</w:t>
            </w:r>
          </w:p>
        </w:tc>
      </w:tr>
      <w:tr>
        <w:trPr>
          <w:cantSplit/>
        </w:trPr>
        <w:tc>
          <w:tcPr>
            <w:tcW w:type="pct" w:w="14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test_01.py 至 test_07.py</w:t>
            </w:r>
          </w:p>
        </w:tc>
        <w:tc>
          <w:tcPr>
            <w:tcW w:type="pct" w:w="36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七组模块用例，与表 2 一一对应，运行后输出逐项 PASS/FAIL 与汇总结果码</w:t>
            </w:r>
          </w:p>
        </w:tc>
      </w:tr>
      <w:tr>
        <w:trPr>
          <w:cantSplit/>
        </w:trPr>
        <w:tc>
          <w:tcPr>
            <w:tcW w:type="pct" w:w="1400"/>
            <w:shd w:fill="E8EC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pims.db.bak</w:t>
            </w:r>
          </w:p>
        </w:tc>
        <w:tc>
          <w:tcPr>
            <w:tcW w:type="pct" w:w="3600"/>
            <w:shd w:fill="E8EC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测试前数据库快照，用于每轮测试前后还原，保证可重复与零污染</w:t>
            </w:r>
          </w:p>
        </w:tc>
      </w:tr>
    </w:tbl>
    <w:p>
      <w:pPr>
        <w:spacing w:after="1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复现步骤：第一步，执行 bash tmp/finance_test/restart.sh 完成环境复位与服务启动；第二步，依次执行 py test_01.py 至 py test_07.py；第三步，根据输出末尾 RESULT_CODE 判定（0 为全部通过），全部执行完成后再次执行 restart.sh 还原环境。</w:t>
      </w:r>
    </w:p>
    <w:p>
      <w:pPr>
        <w:pStyle w:val="Heading1"/>
        <w:spacing w:after="160" w:before="360" w:line="380" w:lineRule="atLeast"/>
      </w:pPr>
      <w:bookmarkStart w:name="_Toc19" w:id="19"/>
      <w:r>
        <w:rPr>
          <w:rFonts w:ascii="Times New Roman" w:eastAsia="SimHei"/>
          <w:b/>
          <w:bCs/>
          <w:color w:val="0B1C2C"/>
          <w:sz w:val="32"/>
          <w:szCs w:val="32"/>
        </w:rPr>
        <w:t xml:space="preserve">附录B 接口覆盖清单</w:t>
      </w:r>
      <w:bookmarkEnd w:id="19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本轮测试覆盖的 13 个财务控制器及端点数量如表 7 所示，每个端点均已执行。</w:t>
      </w:r>
    </w:p>
    <w:p>
      <w:pPr>
        <w:keepNext/>
        <w:spacing w:after="100" w:before="160" w:line="312"/>
        <w:jc w:val="center"/>
      </w:pPr>
      <w:r>
        <w:rPr>
          <w:rFonts w:ascii="Times New Roman" w:eastAsia="SimHei"/>
          <w:b/>
          <w:bCs/>
          <w:color w:val="0B1C2C"/>
          <w:sz w:val="21"/>
          <w:szCs w:val="21"/>
        </w:rPr>
        <w:t xml:space="preserve">表 7  接口覆盖统计</w:t>
      </w:r>
    </w:p>
    <w:tbl>
      <w:tblPr>
        <w:tblW w:type="pct" w:w="5000"/>
        <w:tblBorders>
          <w:top w:val="single" w:color="529286" w:sz="4"/>
          <w:left w:val="none" w:color="FFFFFF" w:sz="0"/>
          <w:bottom w:val="single" w:color="529286" w:sz="4"/>
          <w:right w:val="none" w:color="FFFFFF" w:sz="0"/>
          <w:insideH w:val="single" w:color="BECFCC" w:sz="1"/>
          <w:insideV w:val="none" w:color="FFFFFF" w:sz="0"/>
        </w:tblBorders>
      </w:tblPr>
      <w:tblGrid>
        <w:gridCol w:w="2988"/>
        <w:gridCol w:w="4746"/>
        <w:gridCol w:w="1055"/>
      </w:tblGrid>
      <w:tr>
        <w:trPr>
          <w:cantSplit/>
          <w:tblHeader/>
        </w:trPr>
        <w:tc>
          <w:tcPr>
            <w:tcW w:type="pct" w:w="1700"/>
            <w:shd w:fill="52928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控制器</w:t>
            </w:r>
          </w:p>
        </w:tc>
        <w:tc>
          <w:tcPr>
            <w:tcW w:type="pct" w:w="2700"/>
            <w:shd w:fill="52928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职责</w:t>
            </w:r>
          </w:p>
        </w:tc>
        <w:tc>
          <w:tcPr>
            <w:tcW w:type="pct" w:w="600"/>
            <w:shd w:fill="52928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端点数</w:t>
            </w:r>
          </w:p>
        </w:tc>
      </w:tr>
      <w:tr>
        <w:trPr>
          <w:cantSplit/>
        </w:trPr>
        <w:tc>
          <w:tcPr>
            <w:tcW w:type="pct" w:w="17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FinanceController</w:t>
            </w:r>
          </w:p>
        </w:tc>
        <w:tc>
          <w:tcPr>
            <w:tcW w:type="pct" w:w="27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应收/应付台账与总表、收款单/付款单、4 类导出</w:t>
            </w:r>
          </w:p>
        </w:tc>
        <w:tc>
          <w:tcPr>
            <w:tcW w:type="pct" w:w="6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14</w:t>
            </w:r>
          </w:p>
        </w:tc>
      </w:tr>
      <w:tr>
        <w:trPr>
          <w:cantSplit/>
        </w:trPr>
        <w:tc>
          <w:tcPr>
            <w:tcW w:type="pct" w:w="1700"/>
            <w:shd w:fill="E8EC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InvoiceController</w:t>
            </w:r>
          </w:p>
        </w:tc>
        <w:tc>
          <w:tcPr>
            <w:tcW w:type="pct" w:w="2700"/>
            <w:shd w:fill="E8EC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发票增删改查、红冲、客户开票汇总、导出</w:t>
            </w:r>
          </w:p>
        </w:tc>
        <w:tc>
          <w:tcPr>
            <w:tcW w:type="pct" w:w="600"/>
            <w:shd w:fill="E8EC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7</w:t>
            </w:r>
          </w:p>
        </w:tc>
      </w:tr>
      <w:tr>
        <w:trPr>
          <w:cantSplit/>
        </w:trPr>
        <w:tc>
          <w:tcPr>
            <w:tcW w:type="pct" w:w="17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ExpenseController</w:t>
            </w:r>
          </w:p>
        </w:tc>
        <w:tc>
          <w:tcPr>
            <w:tcW w:type="pct" w:w="27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费用与其他收入增删改查、导出</w:t>
            </w:r>
          </w:p>
        </w:tc>
        <w:tc>
          <w:tcPr>
            <w:tcW w:type="pct" w:w="6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5</w:t>
            </w:r>
          </w:p>
        </w:tc>
      </w:tr>
      <w:tr>
        <w:trPr>
          <w:cantSplit/>
        </w:trPr>
        <w:tc>
          <w:tcPr>
            <w:tcW w:type="pct" w:w="1700"/>
            <w:shd w:fill="E8EC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AdvancePaymentController</w:t>
            </w:r>
          </w:p>
        </w:tc>
        <w:tc>
          <w:tcPr>
            <w:tcW w:type="pct" w:w="2700"/>
            <w:shd w:fill="E8EC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预收预付新建/删除、冲抵应收/应付、导出</w:t>
            </w:r>
          </w:p>
        </w:tc>
        <w:tc>
          <w:tcPr>
            <w:tcW w:type="pct" w:w="600"/>
            <w:shd w:fill="E8EC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6</w:t>
            </w:r>
          </w:p>
        </w:tc>
      </w:tr>
      <w:tr>
        <w:trPr>
          <w:cantSplit/>
        </w:trPr>
        <w:tc>
          <w:tcPr>
            <w:tcW w:type="pct" w:w="17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CostController</w:t>
            </w:r>
          </w:p>
        </w:tc>
        <w:tc>
          <w:tcPr>
            <w:tcW w:type="pct" w:w="27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生产/委外订单成本、人工制费补录</w:t>
            </w:r>
          </w:p>
        </w:tc>
        <w:tc>
          <w:tcPr>
            <w:tcW w:type="pct" w:w="6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2</w:t>
            </w:r>
          </w:p>
        </w:tc>
      </w:tr>
      <w:tr>
        <w:trPr>
          <w:cantSplit/>
        </w:trPr>
        <w:tc>
          <w:tcPr>
            <w:tcW w:type="pct" w:w="1700"/>
            <w:shd w:fill="E8EC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CostingController</w:t>
            </w:r>
          </w:p>
        </w:tc>
        <w:tc>
          <w:tcPr>
            <w:tcW w:type="pct" w:w="2700"/>
            <w:shd w:fill="E8EC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计价方式配置与变更留痕、月度成本计算</w:t>
            </w:r>
          </w:p>
        </w:tc>
        <w:tc>
          <w:tcPr>
            <w:tcW w:type="pct" w:w="600"/>
            <w:shd w:fill="E8EC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5</w:t>
            </w:r>
          </w:p>
        </w:tc>
      </w:tr>
      <w:tr>
        <w:trPr>
          <w:cantSplit/>
        </w:trPr>
        <w:tc>
          <w:tcPr>
            <w:tcW w:type="pct" w:w="17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FinanceReportController</w:t>
            </w:r>
          </w:p>
        </w:tc>
        <w:tc>
          <w:tcPr>
            <w:tcW w:type="pct" w:w="27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利润试算、客户/供应商对账单、余额表/明细账/三大报表及导出</w:t>
            </w:r>
          </w:p>
        </w:tc>
        <w:tc>
          <w:tcPr>
            <w:tcW w:type="pct" w:w="6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13</w:t>
            </w:r>
          </w:p>
        </w:tc>
      </w:tr>
      <w:tr>
        <w:trPr>
          <w:cantSplit/>
        </w:trPr>
        <w:tc>
          <w:tcPr>
            <w:tcW w:type="pct" w:w="1700"/>
            <w:shd w:fill="E8EC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AccountSubjectController</w:t>
            </w:r>
          </w:p>
        </w:tc>
        <w:tc>
          <w:tcPr>
            <w:tcW w:type="pct" w:w="2700"/>
            <w:shd w:fill="E8EC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科目维护、期初建账、业务映射</w:t>
            </w:r>
          </w:p>
        </w:tc>
        <w:tc>
          <w:tcPr>
            <w:tcW w:type="pct" w:w="600"/>
            <w:shd w:fill="E8EC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8</w:t>
            </w:r>
          </w:p>
        </w:tc>
      </w:tr>
      <w:tr>
        <w:trPr>
          <w:cantSplit/>
        </w:trPr>
        <w:tc>
          <w:tcPr>
            <w:tcW w:type="pct" w:w="17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VoucherController</w:t>
            </w:r>
          </w:p>
        </w:tc>
        <w:tc>
          <w:tcPr>
            <w:tcW w:type="pct" w:w="27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凭证 CRUD 与记账、业务转凭证、结转、月结/反结账、年结、导出</w:t>
            </w:r>
          </w:p>
        </w:tc>
        <w:tc>
          <w:tcPr>
            <w:tcW w:type="pct" w:w="6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14</w:t>
            </w:r>
          </w:p>
        </w:tc>
      </w:tr>
      <w:tr>
        <w:trPr>
          <w:cantSplit/>
        </w:trPr>
        <w:tc>
          <w:tcPr>
            <w:tcW w:type="pct" w:w="1700"/>
            <w:shd w:fill="E8EC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SalaryController</w:t>
            </w:r>
          </w:p>
        </w:tc>
        <w:tc>
          <w:tcPr>
            <w:tcW w:type="pct" w:w="2700"/>
            <w:shd w:fill="E8EC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工资单管理、确认、计提/发放凭证、导出</w:t>
            </w:r>
          </w:p>
        </w:tc>
        <w:tc>
          <w:tcPr>
            <w:tcW w:type="pct" w:w="600"/>
            <w:shd w:fill="E8EC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8</w:t>
            </w:r>
          </w:p>
        </w:tc>
      </w:tr>
      <w:tr>
        <w:trPr>
          <w:cantSplit/>
        </w:trPr>
        <w:tc>
          <w:tcPr>
            <w:tcW w:type="pct" w:w="17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EmployeeController</w:t>
            </w:r>
          </w:p>
        </w:tc>
        <w:tc>
          <w:tcPr>
            <w:tcW w:type="pct" w:w="27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员工档案维护与启停</w:t>
            </w:r>
          </w:p>
        </w:tc>
        <w:tc>
          <w:tcPr>
            <w:tcW w:type="pct" w:w="6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5</w:t>
            </w:r>
          </w:p>
        </w:tc>
      </w:tr>
      <w:tr>
        <w:trPr>
          <w:cantSplit/>
        </w:trPr>
        <w:tc>
          <w:tcPr>
            <w:tcW w:type="pct" w:w="1700"/>
            <w:shd w:fill="E8EC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AssetController</w:t>
            </w:r>
          </w:p>
        </w:tc>
        <w:tc>
          <w:tcPr>
            <w:tcW w:type="pct" w:w="2700"/>
            <w:shd w:fill="E8EC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资产卡片、折旧计提与记录、报废、导出</w:t>
            </w:r>
          </w:p>
        </w:tc>
        <w:tc>
          <w:tcPr>
            <w:tcW w:type="pct" w:w="600"/>
            <w:shd w:fill="E8EC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8</w:t>
            </w:r>
          </w:p>
        </w:tc>
      </w:tr>
      <w:tr>
        <w:trPr>
          <w:cantSplit/>
        </w:trPr>
        <w:tc>
          <w:tcPr>
            <w:tcW w:type="pct" w:w="17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BankReconciliationController</w:t>
            </w:r>
          </w:p>
        </w:tc>
        <w:tc>
          <w:tcPr>
            <w:tcW w:type="pct" w:w="27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银行账户、日记账、流水模板/导入、勾对与调节表</w:t>
            </w:r>
          </w:p>
        </w:tc>
        <w:tc>
          <w:tcPr>
            <w:tcW w:type="pct" w:w="6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11</w:t>
            </w:r>
          </w:p>
        </w:tc>
      </w:tr>
      <w:tr>
        <w:trPr>
          <w:cantSplit/>
        </w:trPr>
        <w:tc>
          <w:tcPr>
            <w:tcW w:type="pct" w:w="1700"/>
            <w:shd w:fill="E8EC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合计</w:t>
            </w:r>
          </w:p>
        </w:tc>
        <w:tc>
          <w:tcPr>
            <w:tcW w:type="pct" w:w="2700"/>
            <w:shd w:fill="E8EC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—</w:t>
            </w:r>
          </w:p>
        </w:tc>
        <w:tc>
          <w:tcPr>
            <w:tcW w:type="pct" w:w="600"/>
            <w:shd w:fill="E8EC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106</w:t>
            </w:r>
          </w:p>
        </w:tc>
      </w:tr>
    </w:tbl>
    <w:sectPr>
      <w:headerReference w:type="default" r:id="rId8"/>
      <w:footerReference w:type="default" r:id="rId9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fldChar w:fldCharType="begin"/>
      <w:instrText xml:space="preserve">PAGE \* ROMAN \* MERGEFORMAT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fldChar w:fldCharType="begin"/>
      <w:instrText xml:space="preserve">PAGE \* arabic \* MERGEFORMAT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4D2" w:sz="2" w:space="4"/>
      </w:pBdr>
      <w:jc w:val="center"/>
    </w:pPr>
    <w:r>
      <w:rPr>
        <w:rFonts w:eastAsia="SimSun"/>
        <w:color w:val="808080"/>
        <w:sz w:val="18"/>
        <w:szCs w:val="18"/>
      </w:rPr>
      <w:t xml:space="preserve">PIMS 财务模块全功能测试报告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4D2" w:sz="2" w:space="4"/>
      </w:pBdr>
      <w:jc w:val="center"/>
    </w:pPr>
    <w:r>
      <w:rPr>
        <w:rFonts w:eastAsia="SimSun"/>
        <w:color w:val="808080"/>
        <w:sz w:val="18"/>
        <w:szCs w:val="18"/>
      </w:rPr>
      <w:t xml:space="preserve">PIMS 财务模块全功能测试报告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 w:line="380"/>
      <w:outlineLvl w:val="0"/>
    </w:pPr>
    <w:rPr>
      <w:rFonts w:ascii="Times New Roman" w:eastAsia="SimHei"/>
      <w:b/>
      <w:bCs/>
      <w:color w:val="0B1C2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 w:line="350"/>
      <w:outlineLvl w:val="1"/>
    </w:pPr>
    <w:rPr>
      <w:rFonts w:ascii="Times New Roman" w:eastAsia="SimHei"/>
      <w:b/>
      <w:bCs/>
      <w:color w:val="0B1C2C"/>
      <w:sz w:val="28"/>
      <w:szCs w:val="28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image" Target="media/c3b76f777c4d30f6b566128221ba6b613d52f67c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PIMS 财务模块全功能测试报告</dc:title>
  <dc:creator>PIMS 系统测试组</dc:creator>
  <cp:lastModifiedBy>Un-named</cp:lastModifiedBy>
  <cp:revision>1</cp:revision>
  <dcterms:created xsi:type="dcterms:W3CDTF">2026-10-08T00:12:57.110Z</dcterms:created>
  <dcterms:modified xsi:type="dcterms:W3CDTF">2026-10-08T00:12:57.112Z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