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widowControl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第一单元 </w:t>
      </w:r>
    </w:p>
    <w:p>
      <w:pPr>
        <w:widowControl/>
        <w:rPr>
          <w:lang w:val="en-US"/>
        </w:rPr>
      </w:pPr>
      <w:r>
        <w:rPr>
          <w:lang w:val="en-US"/>
        </w:rPr>
        <w:t>1.</w:t>
      </w:r>
      <w:r>
        <w:rPr>
          <w:rFonts w:hint="eastAsia" w:ascii="宋体" w:hAnsi="宋体" w:eastAsia="宋体" w:cs="宋体"/>
          <w:lang w:eastAsia="zh-CN"/>
        </w:rPr>
        <w:t>二重极限</w:t>
      </w:r>
    </w:p>
    <w:p>
      <w:pPr>
        <w:widowControl/>
        <w:numPr>
          <w:ilvl w:val="0"/>
          <w:numId w:val="0"/>
        </w:numPr>
        <w:ind w:leftChars="0" w:right="0" w:rightChars="0"/>
        <w:rPr>
          <w:lang w:val="en-US"/>
        </w:rPr>
      </w:pPr>
      <w:r>
        <w:rPr>
          <w:lang w:eastAsia="zh-CN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527050</wp:posOffset>
                </wp:positionH>
                <wp:positionV relativeFrom="paragraph">
                  <wp:posOffset>74930</wp:posOffset>
                </wp:positionV>
                <wp:extent cx="895350" cy="615950"/>
                <wp:effectExtent l="0" t="57150" r="1070610" b="58420"/>
                <wp:wrapNone/>
                <wp:docPr id="1" name="AutoShap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-10800000" flipV="1">
                          <a:off x="0" y="0"/>
                          <a:ext cx="895350" cy="615950"/>
                        </a:xfrm>
                        <a:prstGeom prst="bentConnector3">
                          <a:avLst>
                            <a:gd name="adj1" fmla="val -116667"/>
                          </a:avLst>
                        </a:prstGeom>
                        <a:ln w="38100" cap="flat" cmpd="sng">
                          <a:solidFill>
                            <a:srgbClr val="F2F2F2"/>
                          </a:solidFill>
                          <a:prstDash val="solid"/>
                          <a:miter/>
                          <a:headEnd type="triangle" w="med" len="med"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AutoShape 2" o:spid="_x0000_s1026" o:spt="34" type="#_x0000_t34" style="position:absolute;left:0pt;flip:y;margin-left:41.5pt;margin-top:5.9pt;height:48.5pt;width:70.5pt;rotation:11796480f;z-index:251658240;mso-width-relative:page;mso-height-relative:page;" filled="f" stroked="t" coordsize="21600,21600" o:gfxdata="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" adj="-25200">
                <v:fill on="f" focussize="0,0"/>
                <v:stroke weight="3pt" color="#F2F2F2" joinstyle="miter" startarrow="block" endarrow="block"/>
                <v:imagedata o:title=""/>
                <o:lock v:ext="edit" aspectratio="f"/>
              </v:shape>
            </w:pict>
          </mc:Fallback>
        </mc:AlternateContent>
      </w:r>
      <w:r>
        <w:rPr>
          <w:rFonts w:hint="eastAsia" w:ascii="宋体" w:hAnsi="宋体" w:eastAsia="宋体" w:cs="宋体"/>
          <w:lang w:eastAsia="zh-CN"/>
        </w:rPr>
        <w:t>定义证明二重极限</w:t>
      </w:r>
    </w:p>
    <w:p>
      <w:pPr>
        <w:widowControl/>
        <w:rPr>
          <w:lang w:val="en-US"/>
        </w:rPr>
      </w:pPr>
      <w:r>
        <w:rPr>
          <w:rFonts w:hint="eastAsia" w:ascii="宋体" w:hAnsi="宋体" w:eastAsia="宋体" w:cs="宋体"/>
          <w:lang w:eastAsia="zh-CN"/>
        </w:rPr>
        <w:t>分段函数的二重极限存在性证明</w:t>
      </w:r>
    </w:p>
    <w:p>
      <w:pPr>
        <w:widowControl/>
        <w:numPr>
          <w:ilvl w:val="0"/>
          <w:numId w:val="1"/>
        </w:numPr>
        <w:ind w:left="0" w:firstLine="0"/>
        <w:rPr>
          <w:lang w:val="en-US"/>
        </w:rPr>
      </w:pPr>
      <w:r>
        <w:rPr>
          <w:rFonts w:hint="eastAsia" w:ascii="宋体" w:hAnsi="宋体" w:eastAsia="宋体" w:cs="宋体"/>
          <w:lang w:eastAsia="zh-CN"/>
        </w:rPr>
        <w:t>连续性</w:t>
      </w:r>
    </w:p>
    <w:p>
      <w:pPr>
        <w:widowControl/>
        <w:rPr>
          <w:lang w:val="en-US"/>
        </w:rPr>
      </w:pPr>
      <w:r>
        <w:rPr>
          <w:rFonts w:hint="eastAsia" w:ascii="宋体" w:hAnsi="宋体" w:eastAsia="宋体" w:cs="宋体"/>
          <w:lang w:eastAsia="zh-CN"/>
        </w:rPr>
        <w:t>定义</w:t>
      </w:r>
    </w:p>
    <w:p>
      <w:pPr>
        <w:widowControl/>
        <w:rPr>
          <w:rFonts w:hint="default"/>
          <w:lang w:val="en-US"/>
        </w:rPr>
      </w:pPr>
      <w:r>
        <w:rPr>
          <w:rFonts w:hint="eastAsia" w:ascii="宋体" w:hAnsi="宋体" w:eastAsia="宋体" w:cs="宋体"/>
          <w:lang w:eastAsia="zh-CN"/>
        </w:rPr>
        <w:t>分段函数</w:t>
      </w:r>
      <w:r>
        <w:rPr>
          <w:rFonts w:hint="eastAsia" w:ascii="宋体" w:hAnsi="宋体" w:cs="宋体"/>
          <w:lang w:val="en-US" w:eastAsia="zh-CN"/>
        </w:rPr>
        <w:t>在某点处的</w:t>
      </w:r>
      <w:r>
        <w:rPr>
          <w:rFonts w:hint="eastAsia" w:ascii="宋体" w:hAnsi="宋体" w:eastAsia="宋体" w:cs="宋体"/>
          <w:lang w:eastAsia="zh-CN"/>
        </w:rPr>
        <w:t>连续性</w:t>
      </w:r>
      <w:r>
        <w:rPr>
          <w:rFonts w:hint="eastAsia" w:ascii="宋体" w:hAnsi="宋体" w:cs="宋体"/>
          <w:lang w:val="en-US" w:eastAsia="zh-CN"/>
        </w:rPr>
        <w:t xml:space="preserve">  分段函数的连续性</w:t>
      </w:r>
    </w:p>
    <w:p>
      <w:pPr>
        <w:widowControl/>
        <w:rPr>
          <w:lang w:val="en-US"/>
        </w:rPr>
      </w:pPr>
      <w:r>
        <w:rPr>
          <w:rFonts w:hint="eastAsia" w:ascii="宋体" w:hAnsi="宋体" w:eastAsia="宋体" w:cs="宋体"/>
          <w:lang w:eastAsia="zh-CN"/>
        </w:rPr>
        <w:t>间断点的定义（聚点）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二元初等函数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有界闭区域上连续函数的性质（9）</w:t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偏导数</w:t>
      </w:r>
    </w:p>
    <w:p>
      <w:pPr>
        <w:numPr>
          <w:ilvl w:val="0"/>
          <w:numId w:val="0"/>
        </w:numPr>
        <w:ind w:leftChars="0" w:right="0" w:righ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偏导数的定义、表示</w:t>
      </w:r>
    </w:p>
    <w:p>
      <w:pPr>
        <w:numPr>
          <w:ilvl w:val="0"/>
          <w:numId w:val="0"/>
        </w:numPr>
        <w:ind w:leftChars="0" w:right="0" w:righ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可偏导的含义（某点、对x&amp;&amp;y偏导数存在）</w:t>
      </w:r>
    </w:p>
    <w:p>
      <w:pPr>
        <w:numPr>
          <w:ilvl w:val="0"/>
          <w:numId w:val="0"/>
        </w:numPr>
        <w:ind w:leftChars="0" w:right="0" w:righ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偏导函数（也称偏导数）（定义域中任一点、对x||y偏导数都存在）</w:t>
      </w:r>
    </w:p>
    <w:p>
      <w:pPr>
        <w:numPr>
          <w:ilvl w:val="0"/>
          <w:numId w:val="0"/>
        </w:numPr>
        <w:ind w:leftChars="0" w:right="0" w:righ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某点的偏导数==偏导函数在该点的值</w:t>
      </w:r>
    </w:p>
    <w:p>
      <w:pPr>
        <w:numPr>
          <w:ilvl w:val="0"/>
          <w:numId w:val="0"/>
        </w:numPr>
        <w:ind w:leftChars="0" w:right="0" w:righ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【概念区分：可偏导、偏导数存在、偏导函数】</w:t>
      </w:r>
    </w:p>
    <w:p>
      <w:pPr>
        <w:numPr>
          <w:ilvl w:val="0"/>
          <w:numId w:val="0"/>
        </w:numPr>
        <w:ind w:leftChars="0" w:right="0" w:righ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在某点是否可偏导</w:t>
      </w:r>
    </w:p>
    <w:p>
      <w:pPr>
        <w:numPr>
          <w:ilvl w:val="0"/>
          <w:numId w:val="0"/>
        </w:numPr>
        <w:ind w:leftChars="0" w:right="0" w:rightChars="0"/>
        <w:rPr>
          <w:rFonts w:hint="eastAsia"/>
          <w:lang w:val="en-US" w:eastAsia="zh-CN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2969260</wp:posOffset>
                </wp:positionH>
                <wp:positionV relativeFrom="paragraph">
                  <wp:posOffset>12700</wp:posOffset>
                </wp:positionV>
                <wp:extent cx="207010" cy="186690"/>
                <wp:effectExtent l="0" t="0" r="0" b="0"/>
                <wp:wrapNone/>
                <wp:docPr id="3" name="Multiply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112260" y="4097020"/>
                          <a:ext cx="207010" cy="186690"/>
                        </a:xfrm>
                        <a:prstGeom prst="mathMultiply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Multiply 3" o:spid="_x0000_s1026" style="position:absolute;left:0pt;margin-left:233.8pt;margin-top:1pt;height:14.7pt;width:16.3pt;z-index:251660288;v-text-anchor:middle;mso-width-relative:page;mso-height-relative:page;" fillcolor="#5B9BD5 [3204]" filled="t" stroked="t" coordsize="207010,186690" o:gfxdata="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" path="m35015,61142l64422,28534,103505,63780,142587,28534,171994,61142,136286,93345,171994,125547,142587,158155,103505,122909,64422,158155,35015,125547,70723,93345xe">
                <v:path o:connectlocs="49718,44838;157291,44838;157291,141851;49718,141851" o:connectangles="164,247,0,82"/>
                <v:fill on="t" focussize="0,0"/>
                <v:stroke weight="1pt" color="#41719C [3204]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2886710</wp:posOffset>
                </wp:positionH>
                <wp:positionV relativeFrom="paragraph">
                  <wp:posOffset>69850</wp:posOffset>
                </wp:positionV>
                <wp:extent cx="419735" cy="75565"/>
                <wp:effectExtent l="6350" t="15240" r="15875" b="15875"/>
                <wp:wrapNone/>
                <wp:docPr id="2" name="Right Arrow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536950" y="4164330"/>
                          <a:ext cx="419735" cy="7556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Right Arrow 2" o:spid="_x0000_s1026" o:spt="13" type="#_x0000_t13" style="position:absolute;left:0pt;margin-left:227.3pt;margin-top:5.5pt;height:5.95pt;width:33.05pt;z-index:251659264;v-text-anchor:middle;mso-width-relative:page;mso-height-relative:page;" fillcolor="#FFC000 [3207]" filled="t" stroked="t" coordsize="21600,21600" o:gfxdata="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" adj="19656,5400">
                <v:fill on="t" focussize="0,0"/>
                <v:stroke weight="1pt" color="#BC8C00 [3207]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rFonts w:hint="eastAsia"/>
          <w:lang w:val="en-US" w:eastAsia="zh-CN"/>
        </w:rPr>
        <w:t>可偏导与连续之间的关系： 在该点可偏导        函数在该点连续</w:t>
      </w:r>
    </w:p>
    <w:p>
      <w:pPr>
        <w:numPr>
          <w:ilvl w:val="0"/>
          <w:numId w:val="0"/>
        </w:numPr>
        <w:ind w:leftChars="0" w:right="0" w:righ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求偏导数时，视其他变量为常数</w:t>
      </w:r>
    </w:p>
    <w:p>
      <w:pPr>
        <w:numPr>
          <w:ilvl w:val="0"/>
          <w:numId w:val="0"/>
        </w:numPr>
        <w:ind w:leftChars="0" w:right="0" w:rightChars="0"/>
      </w:pPr>
      <w:r>
        <w:rPr>
          <w:rFonts w:hint="eastAsia"/>
          <w:color w:val="FF0000"/>
          <w:lang w:val="en-US" w:eastAsia="zh-CN"/>
        </w:rPr>
        <w:t>Q:</w:t>
      </w:r>
      <w:r>
        <w:drawing>
          <wp:inline distT="0" distB="0" distL="114300" distR="114300">
            <wp:extent cx="2887980" cy="426720"/>
            <wp:effectExtent l="0" t="0" r="7620" b="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887980" cy="42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right="0" w:rightChars="0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二元函数的几何意义（两种理解方式）</w:t>
      </w:r>
      <w:r>
        <w:drawing>
          <wp:inline distT="0" distB="0" distL="114300" distR="114300">
            <wp:extent cx="1722120" cy="716280"/>
            <wp:effectExtent l="0" t="0" r="0" b="0"/>
            <wp:docPr id="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722120" cy="716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right="0" w:righ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高阶偏导数</w:t>
      </w:r>
    </w:p>
    <w:p>
      <w:pPr>
        <w:numPr>
          <w:ilvl w:val="0"/>
          <w:numId w:val="0"/>
        </w:numPr>
        <w:ind w:leftChars="0" w:right="0" w:righ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二阶偏导数的定义及表示</w:t>
      </w:r>
    </w:p>
    <w:p>
      <w:pPr>
        <w:numPr>
          <w:ilvl w:val="0"/>
          <w:numId w:val="0"/>
        </w:numPr>
        <w:ind w:leftChars="0" w:right="0" w:righ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高阶偏导数的定义及表示</w:t>
      </w:r>
    </w:p>
    <w:p>
      <w:pPr>
        <w:numPr>
          <w:ilvl w:val="0"/>
          <w:numId w:val="0"/>
        </w:numPr>
        <w:ind w:leftChars="0" w:right="0" w:righ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混合偏导数指的是</w:t>
      </w:r>
    </w:p>
    <w:p>
      <w:pPr>
        <w:numPr>
          <w:ilvl w:val="0"/>
          <w:numId w:val="0"/>
        </w:numPr>
        <w:ind w:leftChars="0" w:right="0" w:righ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求偏导时，复合函数注意先左后右</w:t>
      </w:r>
    </w:p>
    <w:p>
      <w:pPr>
        <w:numPr>
          <w:ilvl w:val="0"/>
          <w:numId w:val="0"/>
        </w:numPr>
        <w:ind w:leftChars="0" w:right="0" w:righ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分段函数在某点的二阶偏导数的求取</w:t>
      </w:r>
    </w:p>
    <w:p>
      <w:pPr>
        <w:numPr>
          <w:ilvl w:val="0"/>
          <w:numId w:val="0"/>
        </w:numPr>
        <w:ind w:leftChars="0" w:right="0" w:righ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混合偏导数相等的条件：m阶偏导数在该点连续</w:t>
      </w:r>
    </w:p>
    <w:p>
      <w:pPr>
        <w:numPr>
          <w:ilvl w:val="0"/>
          <w:numId w:val="1"/>
        </w:numPr>
        <w:ind w:left="0" w:leftChars="0" w:right="0" w:righ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全微分</w:t>
      </w:r>
    </w:p>
    <w:p>
      <w:pPr>
        <w:numPr>
          <w:ilvl w:val="0"/>
          <w:numId w:val="0"/>
        </w:numPr>
        <w:ind w:leftChars="0" w:right="0" w:righ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可微分的定义 全微分的含义以表示</w:t>
      </w:r>
    </w:p>
    <w:p>
      <w:pPr>
        <w:numPr>
          <w:ilvl w:val="0"/>
          <w:numId w:val="0"/>
        </w:numPr>
        <w:ind w:leftChars="0" w:right="0" w:righ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$$$$$既然函数沿着不同方向的趋势不同，那么何来确定它的全微分   A又是是否是确定的呢$$$$</w:t>
      </w:r>
    </w:p>
    <w:p>
      <w:pPr>
        <w:numPr>
          <w:ilvl w:val="0"/>
          <w:numId w:val="0"/>
        </w:numPr>
        <w:ind w:leftChars="0" w:right="0" w:righ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可微分的条件、可微分、连续、可偏导的关系以及证明</w:t>
      </w:r>
    </w:p>
    <w:p>
      <w:pPr>
        <w:numPr>
          <w:ilvl w:val="0"/>
          <w:numId w:val="0"/>
        </w:numPr>
        <w:ind w:leftChars="0" w:right="0" w:righ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 w:right="0" w:rightChars="0"/>
      </w:pPr>
      <w:r>
        <w:drawing>
          <wp:inline distT="0" distB="0" distL="114300" distR="114300">
            <wp:extent cx="2801620" cy="1618615"/>
            <wp:effectExtent l="0" t="0" r="2540" b="12065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01620" cy="1618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right="0" w:righ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函数在某点的可微性【分段、不分段】  不可微--&gt;两个必要条件</w:t>
      </w:r>
      <w:r>
        <w:rPr>
          <w:rFonts w:hint="eastAsia"/>
          <w:lang w:val="en-US" w:eastAsia="zh-CN"/>
        </w:rPr>
        <w:tab/>
        <w:t>可微--&gt;必要条件符合+假设 定义ρ</w:t>
      </w:r>
    </w:p>
    <w:p>
      <w:pPr>
        <w:numPr>
          <w:ilvl w:val="0"/>
          <w:numId w:val="0"/>
        </w:numPr>
        <w:ind w:leftChars="0" w:right="0" w:rightChars="0"/>
      </w:pPr>
      <w:r>
        <w:drawing>
          <wp:inline distT="0" distB="0" distL="114300" distR="114300">
            <wp:extent cx="3989705" cy="1925320"/>
            <wp:effectExtent l="0" t="0" r="3175" b="10160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89705" cy="1925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697605" cy="2016760"/>
            <wp:effectExtent l="0" t="0" r="5715" b="10160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97605" cy="2016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right="0" w:righ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【注意AB求偏导是在哪个点求】</w:t>
      </w:r>
    </w:p>
    <w:p>
      <w:pPr>
        <w:numPr>
          <w:ilvl w:val="0"/>
          <w:numId w:val="0"/>
        </w:numPr>
        <w:ind w:leftChars="0" w:right="0" w:righ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可谓充分条件及其证明</w:t>
      </w:r>
    </w:p>
    <w:p>
      <w:pPr>
        <w:numPr>
          <w:ilvl w:val="0"/>
          <w:numId w:val="0"/>
        </w:numPr>
        <w:ind w:leftChars="0" w:right="0" w:righ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全微分的求取  [符合条件]+偏导表示求取</w:t>
      </w:r>
    </w:p>
    <w:p>
      <w:pPr>
        <w:numPr>
          <w:ilvl w:val="0"/>
          <w:numId w:val="0"/>
        </w:numPr>
        <w:ind w:leftChars="0" w:right="0" w:righ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近似值、绝对误差、相对误差的求取</w:t>
      </w:r>
    </w:p>
    <w:p>
      <w:pPr>
        <w:numPr>
          <w:ilvl w:val="0"/>
          <w:numId w:val="0"/>
        </w:numPr>
        <w:ind w:leftChars="0" w:right="0" w:righ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 w:right="0" w:righ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5.多元复合函数的求导法则</w:t>
      </w:r>
    </w:p>
    <w:p>
      <w:pPr>
        <w:numPr>
          <w:ilvl w:val="0"/>
          <w:numId w:val="0"/>
        </w:numPr>
        <w:ind w:leftChars="0" w:right="0" w:righ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全导数的求导--- 多元换一元、一元换多元</w:t>
      </w:r>
    </w:p>
    <w:p>
      <w:pPr>
        <w:numPr>
          <w:ilvl w:val="0"/>
          <w:numId w:val="0"/>
        </w:numPr>
        <w:ind w:leftChars="0" w:right="0" w:righ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求偏导时标号易混淆的地方、记号的引入  熟练使用记号</w:t>
      </w:r>
    </w:p>
    <w:p>
      <w:pPr>
        <w:numPr>
          <w:ilvl w:val="0"/>
          <w:numId w:val="0"/>
        </w:numPr>
        <w:ind w:leftChars="0" w:right="0" w:righ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6630670" cy="938530"/>
            <wp:effectExtent l="0" t="0" r="13970" b="6350"/>
            <wp:docPr id="1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30670" cy="938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right="0" w:righ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高阶求偏导 计算一定要小心 并且要注意最后合并同项及倒项</w:t>
      </w:r>
    </w:p>
    <w:p>
      <w:pPr>
        <w:numPr>
          <w:ilvl w:val="0"/>
          <w:numId w:val="0"/>
        </w:numPr>
        <w:ind w:leftChars="0" w:right="0" w:righ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以及复杂的带函数的求导</w:t>
      </w:r>
    </w:p>
    <w:p>
      <w:pPr>
        <w:numPr>
          <w:ilvl w:val="0"/>
          <w:numId w:val="0"/>
        </w:numPr>
        <w:ind w:leftChars="0" w:right="0" w:righ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这道题目超棒  </w:t>
      </w:r>
    </w:p>
    <w:p>
      <w:pPr>
        <w:numPr>
          <w:ilvl w:val="0"/>
          <w:numId w:val="0"/>
        </w:numPr>
        <w:ind w:leftChars="0" w:right="0" w:rightChars="0"/>
      </w:pPr>
      <w:r>
        <w:drawing>
          <wp:inline distT="0" distB="0" distL="114300" distR="114300">
            <wp:extent cx="5814060" cy="2308225"/>
            <wp:effectExtent l="0" t="0" r="7620" b="8255"/>
            <wp:docPr id="1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14060" cy="230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numPr>
          <w:ilvl w:val="0"/>
          <w:numId w:val="0"/>
        </w:numPr>
        <w:ind w:leftChars="0" w:right="0" w:rightChars="0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全微分形式不变性</w:t>
      </w:r>
    </w:p>
    <w:p>
      <w:pPr>
        <w:widowControl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经常涉及的点：</w:t>
      </w:r>
    </w:p>
    <w:p>
      <w:pPr>
        <w:widowControl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一元--&gt;二元--&gt;多元   连续偏导可微 分段、不分段</w:t>
      </w:r>
    </w:p>
    <w:p>
      <w:pPr>
        <w:widowControl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Inspiration：</w:t>
      </w:r>
    </w:p>
    <w:p>
      <w:pPr>
        <w:widowControl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两个改写</w:t>
      </w:r>
    </w:p>
    <w:p>
      <w:pPr>
        <w:widowControl/>
        <w:rPr>
          <w:rFonts w:hint="default"/>
          <w:lang w:val="en-US" w:eastAsia="zh-CN"/>
        </w:rPr>
      </w:pPr>
      <w:r>
        <w:drawing>
          <wp:inline distT="0" distB="0" distL="114300" distR="114300">
            <wp:extent cx="4290060" cy="1905000"/>
            <wp:effectExtent l="0" t="0" r="7620" b="0"/>
            <wp:docPr id="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9006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25B4EEE"/>
    <w:multiLevelType w:val="multilevel"/>
    <w:tmpl w:val="F25B4EEE"/>
    <w:lvl w:ilvl="0" w:tentative="0">
      <w:start w:val="2"/>
      <w:numFmt w:val="decimal"/>
      <w:lvlText w:val="%1."/>
      <w:lvlJc w:val="left"/>
      <w:pPr>
        <w:tabs>
          <w:tab w:val="left" w:pos="312"/>
        </w:tabs>
        <w:ind w:left="0" w:firstLine="0"/>
      </w:pPr>
      <w:rPr>
        <w:rFonts w:hint="default" w:ascii="Times New Roman" w:hAnsi="Times New Roman" w:cs="Times New Roman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web"/>
  <w:zoom w:percent="11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A80780C"/>
    <w:rsid w:val="073B1AAB"/>
    <w:rsid w:val="6A8078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Calibri" w:hAnsi="Calibri" w:eastAsia="宋体" w:cs="Calibr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keepNext w:val="0"/>
      <w:keepLines w:val="0"/>
      <w:widowControl/>
      <w:suppressLineNumbers w:val="0"/>
      <w:spacing w:before="0" w:beforeAutospacing="0" w:after="0" w:afterAutospacing="0"/>
      <w:ind w:left="0" w:right="0"/>
      <w:jc w:val="left"/>
    </w:pPr>
    <w:rPr>
      <w:rFonts w:hint="default" w:ascii="Calibri" w:hAnsi="Calibri" w:eastAsia="宋体" w:cs="Times New Roman"/>
      <w:kern w:val="0"/>
      <w:sz w:val="24"/>
      <w:szCs w:val="24"/>
      <w:lang w:val="en-US" w:eastAsia="zh-CN" w:bidi="ar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4">
    <w:name w:val="普通表格1"/>
    <w:semiHidden/>
    <w:uiPriority w:val="0"/>
    <w:pPr>
      <w:keepNext w:val="0"/>
      <w:keepLines w:val="0"/>
      <w:widowControl/>
      <w:suppressLineNumbers w:val="0"/>
      <w:spacing w:before="0" w:beforeAutospacing="0" w:after="0" w:afterAutospacing="0"/>
      <w:ind w:left="0" w:right="0"/>
    </w:pPr>
    <w:rPr>
      <w:rFonts w:hint="default" w:ascii="Calibri" w:hAnsi="Calibri" w:cs="Times New Roman"/>
      <w:kern w:val="2"/>
      <w:sz w:val="21"/>
      <w:szCs w:val="22"/>
    </w:rPr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numbering" Target="numbering.xml"/><Relationship Id="rId12" Type="http://schemas.openxmlformats.org/officeDocument/2006/relationships/customXml" Target="../customXml/item1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市教育局</Company>
  <Pages>1</Pages>
  <Words>0</Words>
  <Characters>0</Characters>
  <Lines>0</Lines>
  <Paragraphs>0</Paragraphs>
  <TotalTime>242</TotalTime>
  <ScaleCrop>false</ScaleCrop>
  <LinksUpToDate>false</LinksUpToDate>
  <CharactersWithSpaces>0</CharactersWithSpaces>
  <Application>WPS Office_11.1.0.9662_F1E327BC-269C-435d-A152-05C5408002CA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2020-05-23T09:07:00Z</dcterms:created>
  <dc:creator>woい</dc:creator>
  <cp:lastModifiedBy>wo乄</cp:lastModifiedBy>
  <dcterms:modified xsi:type="dcterms:W3CDTF">2020-06-03T11:58:42Z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2052-11.1.0.9662</vt:lpwstr>
  </property>
</Properties>
</file>