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sz w:val="10"/>
          <w:szCs w:val="10"/>
          <w:lang w:val="en-US" w:eastAsia="zh-CN"/>
        </w:rPr>
      </w:pPr>
      <w:r>
        <w:rPr>
          <w:rFonts w:hint="default"/>
          <w:sz w:val="10"/>
          <w:szCs w:val="10"/>
          <w:lang w:val="en-US" w:eastAsia="zh-CN"/>
        </w:rPr>
        <w:t>ARouter.init(getApplication())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1"/>
          <w:szCs w:val="21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_ARouter.</w:t>
      </w:r>
      <w:r>
        <w:rPr>
          <w:rFonts w:hint="default" w:ascii="Consolas" w:hAnsi="Consolas" w:eastAsia="Consolas" w:cs="Consolas"/>
          <w:i/>
          <w:color w:val="A9B7C6"/>
          <w:sz w:val="21"/>
          <w:szCs w:val="21"/>
          <w:shd w:val="clear" w:fill="2B2B2B"/>
        </w:rPr>
        <w:t>init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(application)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1"/>
          <w:szCs w:val="21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LogisticsCenter.</w:t>
      </w:r>
      <w:r>
        <w:rPr>
          <w:rFonts w:hint="default" w:ascii="Consolas" w:hAnsi="Consolas" w:eastAsia="Consolas" w:cs="Consolas"/>
          <w:i/>
          <w:color w:val="A9B7C6"/>
          <w:sz w:val="21"/>
          <w:szCs w:val="21"/>
          <w:shd w:val="clear" w:fill="2B2B2B"/>
        </w:rPr>
        <w:t>init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(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B2B2B"/>
        </w:rPr>
        <w:t>mContext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B2B2B"/>
        </w:rPr>
        <w:t>executor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)</w:t>
      </w:r>
    </w:p>
    <w:p>
      <w:r>
        <w:drawing>
          <wp:inline distT="0" distB="0" distL="114300" distR="114300">
            <wp:extent cx="5269865" cy="2630805"/>
            <wp:effectExtent l="0" t="0" r="698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711200"/>
            <wp:effectExtent l="0" t="0" r="762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115" cy="13525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85665" cy="130492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011555"/>
            <wp:effectExtent l="0" t="0" r="698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078480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865" cy="2864485"/>
            <wp:effectExtent l="0" t="0" r="698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64485"/>
            <wp:effectExtent l="0" t="0" r="698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64485"/>
            <wp:effectExtent l="0" t="0" r="698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64485"/>
            <wp:effectExtent l="0" t="0" r="698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64485"/>
            <wp:effectExtent l="0" t="0" r="698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69865" cy="2864485"/>
            <wp:effectExtent l="0" t="0" r="698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864485"/>
            <wp:effectExtent l="0" t="0" r="698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864485"/>
            <wp:effectExtent l="0" t="0" r="698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864485"/>
            <wp:effectExtent l="0" t="0" r="698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864485"/>
            <wp:effectExtent l="0" t="0" r="698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864485"/>
            <wp:effectExtent l="0" t="0" r="698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864485"/>
            <wp:effectExtent l="0" t="0" r="698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0975" cy="1576705"/>
            <wp:effectExtent l="0" t="0" r="1587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64485"/>
            <wp:effectExtent l="0" t="0" r="698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"http://blog.csdn.net/fei20121106/article/details/73743235"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http://blog.csdn.net/fei20121106/article/details/73743235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"https://github.com/alibaba/ARouter"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https://github.com/alibaba/ARouter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32940"/>
    <w:rsid w:val="12EE6B98"/>
    <w:rsid w:val="12F92B9B"/>
    <w:rsid w:val="15B26034"/>
    <w:rsid w:val="22D6404D"/>
    <w:rsid w:val="385A2068"/>
    <w:rsid w:val="3C466505"/>
    <w:rsid w:val="3DA13BC0"/>
    <w:rsid w:val="44DE0759"/>
    <w:rsid w:val="532D640E"/>
    <w:rsid w:val="61587D77"/>
    <w:rsid w:val="66171C55"/>
    <w:rsid w:val="666B53BA"/>
    <w:rsid w:val="6EF22F5D"/>
    <w:rsid w:val="6F2402E3"/>
    <w:rsid w:val="73C944DC"/>
    <w:rsid w:val="75F8138C"/>
    <w:rsid w:val="7B607C1C"/>
    <w:rsid w:val="7E200381"/>
    <w:rsid w:val="7EFF6D5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2018-02-03T09:48:04Z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