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B66"/>
          <w:sz w:val="50"/>
        </w:rPr>
        <w:t>Enterprise Service Intake</w:t>
      </w:r>
    </w:p>
    <w:p>
      <w:pPr>
        <w:spacing w:after="280"/>
      </w:pPr>
      <w:r>
        <w:rPr>
          <w:b/>
          <w:color w:val="0067B1"/>
          <w:sz w:val="36"/>
        </w:rPr>
        <w:t>User Manual -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Candidate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 Zhang</w:t>
            </w:r>
          </w:p>
        </w:tc>
      </w:tr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Prepared For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Mitacs hiring and technical review team</w:t>
            </w:r>
          </w:p>
        </w:tc>
      </w:tr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Audience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Reviewers, portal customers, coordinators, managers, and administrators</w:t>
            </w:r>
          </w:p>
        </w:tc>
      </w:tr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Environment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https://mitacs.crm.dynamics.com/</w:t>
            </w:r>
          </w:p>
        </w:tc>
      </w:tr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Portal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https://enterprise-service-intake-hellox.powerappsportals.com</w:t>
            </w:r>
          </w:p>
        </w:tc>
      </w:tr>
      <w:tr>
        <w:tc>
          <w:tcPr>
            <w:tcW w:type="dxa" w:w="259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/>
                <w:color w:val="003B66"/>
                <w:sz w:val="18"/>
              </w:rPr>
              <w:t>Status</w:t>
            </w:r>
          </w:p>
        </w:tc>
        <w:tc>
          <w:tcPr>
            <w:tcW w:type="dxa" w:w="705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Candidate user manual - V1</w:t>
            </w:r>
          </w:p>
        </w:tc>
      </w:tr>
    </w:tbl>
    <w:p>
      <w:pPr>
        <w:pStyle w:val="Heading2"/>
      </w:pPr>
      <w:r>
        <w:t>How To Use This Manual</w:t>
      </w:r>
    </w:p>
    <w:p>
      <w:pPr>
        <w:pStyle w:val="BodyText"/>
      </w:pPr>
      <w:r>
        <w:t>This guide explains the live review path: customer portal submission, required-file handling, internal coordinator review, routing matrix administration, approval/ERP sync, and troubleshooting evidence.</w:t>
      </w:r>
    </w:p>
    <w:p>
      <w:pPr>
        <w:pStyle w:val="Heading1"/>
        <w:jc w:val="left"/>
      </w:pPr>
      <w:r>
        <w:t>Quick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Area</w:t>
            </w:r>
          </w:p>
        </w:tc>
        <w:tc>
          <w:tcPr>
            <w:tcW w:type="dxa" w:w="410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URL / Location</w:t>
            </w:r>
          </w:p>
        </w:tc>
        <w:tc>
          <w:tcPr>
            <w:tcW w:type="dxa" w:w="381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4"/>
              </w:rPr>
              <w:t>Purpose</w:t>
            </w:r>
          </w:p>
        </w:tc>
      </w:tr>
      <w:tr>
        <w:tc>
          <w:tcPr>
            <w:tcW w:type="dxa" w:w="18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Power Pages site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https://enterprise-service-intake-hellox.powerappsportals.com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External customer intake, drafts, required-file upload, and final submission</w:t>
            </w:r>
          </w:p>
        </w:tc>
      </w:tr>
      <w:tr>
        <w:tc>
          <w:tcPr>
            <w:tcW w:type="dxa" w:w="18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Model-driven app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https://mitacs.crm.dynamics.com/main.aspx?appid=3de4f813-b454-f111-bec7-000d3a3aca8f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Internal coordinator, manager, configuration, and monitoring experience</w:t>
            </w:r>
          </w:p>
        </w:tc>
      </w:tr>
      <w:tr>
        <w:tc>
          <w:tcPr>
            <w:tcW w:type="dxa" w:w="18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Maker solution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https://make.powerapps.com/environments/99dd50ed-a753-e37f-912c-78a022b12b09/solutions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Solution components, flows, tables, forms, views, and web resources</w:t>
            </w:r>
          </w:p>
        </w:tc>
      </w:tr>
      <w:tr>
        <w:tc>
          <w:tcPr>
            <w:tcW w:type="dxa" w:w="180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Hidden ERP console</w:t>
            </w:r>
          </w:p>
        </w:tc>
        <w:tc>
          <w:tcPr>
            <w:tcW w:type="dxa" w:w="410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https://hellox.ca/esi/</w:t>
            </w:r>
          </w:p>
        </w:tc>
        <w:tc>
          <w:tcPr>
            <w:tcW w:type="dxa" w:w="381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4"/>
              </w:rPr>
              <w:t>Mock ERP endpoint demonstration and intentional failure mode</w:t>
            </w:r>
          </w:p>
        </w:tc>
      </w:tr>
    </w:tbl>
    <w:p>
      <w:pPr>
        <w:pStyle w:val="ListBullet"/>
      </w:pPr>
      <w:r>
        <w:t>Reviewer passwords are not stored in Git.</w:t>
      </w:r>
    </w:p>
    <w:p>
      <w:pPr>
        <w:pStyle w:val="ListBullet"/>
      </w:pPr>
      <w:r>
        <w:t>The administrator should share passwords out of band and rotate them after the interview.</w:t>
      </w:r>
    </w:p>
    <w:p>
      <w:pPr>
        <w:pStyle w:val="Heading1"/>
        <w:jc w:val="left"/>
      </w:pPr>
      <w:r>
        <w:t>External Customer Portal</w:t>
      </w:r>
    </w:p>
    <w:p>
      <w:pPr>
        <w:pStyle w:val="Heading2"/>
      </w:pPr>
      <w:r>
        <w:t>Create Or Resume A Request</w:t>
      </w:r>
    </w:p>
    <w:p>
      <w:pPr>
        <w:pStyle w:val="ListNumber"/>
      </w:pPr>
      <w:r>
        <w:t>Open the Power Pages site and sign in.</w:t>
      </w:r>
    </w:p>
    <w:p>
      <w:pPr>
        <w:pStyle w:val="ListNumber"/>
      </w:pPr>
      <w:r>
        <w:t>Select New service request to start a new intake.</w:t>
      </w:r>
    </w:p>
    <w:p>
      <w:pPr>
        <w:pStyle w:val="ListNumber"/>
      </w:pPr>
      <w:r>
        <w:t>Use My requests to resume an existing draft or review submitted requests.</w:t>
      </w:r>
    </w:p>
    <w:p>
      <w:pPr>
        <w:pStyle w:val="ListNumber"/>
      </w:pPr>
      <w:r>
        <w:t>Use Save for later if you want to leave the intake before final submission.</w:t>
      </w:r>
    </w:p>
    <w:p>
      <w:pPr>
        <w:pStyle w:val="ListBullet"/>
      </w:pPr>
      <w:r>
        <w:t>Draft requests remain in Draft and do not trigger the applicant confirmation email.</w:t>
      </w:r>
    </w:p>
    <w:p>
      <w:pPr>
        <w:pStyle w:val="ListBullet"/>
      </w:pPr>
      <w:r>
        <w:t>Portal users do not see internal-only notes, error logs, approval details, or integration payloads.</w:t>
      </w:r>
    </w:p>
    <w:p>
      <w:pPr>
        <w:pStyle w:val="Heading2"/>
      </w:pPr>
      <w:r>
        <w:t>Request Details And Impact</w:t>
      </w:r>
    </w:p>
    <w:p>
      <w:pPr>
        <w:pStyle w:val="ListNumber"/>
      </w:pPr>
      <w:r>
        <w:t>Enter request title, service category, and description.</w:t>
      </w:r>
    </w:p>
    <w:p>
      <w:pPr>
        <w:pStyle w:val="ListNumber"/>
      </w:pPr>
      <w:r>
        <w:t>Select Impact level and Urgency.</w:t>
      </w:r>
    </w:p>
    <w:p>
      <w:pPr>
        <w:pStyle w:val="ListNumber"/>
      </w:pPr>
      <w:r>
        <w:t>Enter the business impact.</w:t>
      </w:r>
    </w:p>
    <w:p>
      <w:pPr>
        <w:pStyle w:val="ListNumber"/>
      </w:pPr>
      <w:r>
        <w:t>Watch the response estimate update without a full page reload.</w:t>
      </w:r>
    </w:p>
    <w:p>
      <w:pPr>
        <w:pStyle w:val="ListBullet"/>
      </w:pPr>
      <w:r>
        <w:t>The estimate shows team, response target, Mitacs review, and required-file status.</w:t>
      </w:r>
    </w:p>
    <w:p>
      <w:pPr>
        <w:pStyle w:val="ListBullet"/>
      </w:pPr>
      <w:r>
        <w:t>Missing required values are shown inline before the user can continue.</w:t>
      </w:r>
    </w:p>
    <w:p>
      <w:pPr>
        <w:pStyle w:val="Heading2"/>
      </w:pPr>
      <w:r>
        <w:t>Supporting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Scenario</w:t>
            </w:r>
          </w:p>
        </w:tc>
        <w:tc>
          <w:tcPr>
            <w:tcW w:type="dxa" w:w="4320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User Action</w:t>
            </w:r>
          </w:p>
        </w:tc>
        <w:tc>
          <w:tcPr>
            <w:tcW w:type="dxa" w:w="352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Expected Result</w:t>
            </w:r>
          </w:p>
        </w:tc>
      </w:tr>
      <w:tr>
        <w:tc>
          <w:tcPr>
            <w:tcW w:type="dxa" w:w="18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Files required</w:t>
            </w:r>
          </w:p>
        </w:tc>
        <w:tc>
          <w:tcPr>
            <w:tcW w:type="dxa" w:w="43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Continue to Files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Upload at least one file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Wait for uploaded-file count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Continue to Review</w:t>
            </w:r>
          </w:p>
        </w:tc>
        <w:tc>
          <w:tcPr>
            <w:tcW w:type="dxa" w:w="352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Review remains disabled until at least one file exists.</w:t>
            </w:r>
          </w:p>
        </w:tc>
      </w:tr>
      <w:tr>
        <w:tc>
          <w:tcPr>
            <w:tcW w:type="dxa" w:w="18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Files optional</w:t>
            </w:r>
          </w:p>
        </w:tc>
        <w:tc>
          <w:tcPr>
            <w:tcW w:type="dxa" w:w="4320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  <w:ind w:left="200" w:hanging="160"/>
            </w:pPr>
            <w:r/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Continue through Files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Submit from Review</w:t>
            </w:r>
          </w:p>
          <w:p>
            <w:pPr>
              <w:spacing w:after="0"/>
              <w:ind w:left="200" w:hanging="160"/>
            </w:pPr>
            <w:r>
              <w:rPr>
                <w:color w:val="101828"/>
                <w:sz w:val="16"/>
              </w:rPr>
              <w:t xml:space="preserve">• </w:t>
            </w:r>
            <w:r>
              <w:rPr>
                <w:b w:val="0"/>
                <w:color w:val="101828"/>
                <w:sz w:val="16"/>
              </w:rPr>
              <w:t>Add optional files after submission if needed</w:t>
            </w:r>
          </w:p>
        </w:tc>
        <w:tc>
          <w:tcPr>
            <w:tcW w:type="dxa" w:w="352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The request can be submitted without an upload.</w:t>
            </w:r>
          </w:p>
        </w:tc>
      </w:tr>
    </w:tbl>
    <w:p>
      <w:pPr>
        <w:pStyle w:val="Heading2"/>
      </w:pPr>
      <w:r>
        <w:t>Submit And Confirm</w:t>
      </w:r>
    </w:p>
    <w:p>
      <w:pPr>
        <w:pStyle w:val="ListNumber"/>
      </w:pPr>
      <w:r>
        <w:t>Review the request summary.</w:t>
      </w:r>
    </w:p>
    <w:p>
      <w:pPr>
        <w:pStyle w:val="ListNumber"/>
      </w:pPr>
      <w:r>
        <w:t>Select Submit service request.</w:t>
      </w:r>
    </w:p>
    <w:p>
      <w:pPr>
        <w:pStyle w:val="ListNumber"/>
      </w:pPr>
      <w:r>
        <w:t>Capture the confirmation number in the format SR-yyyyMMdd-######.</w:t>
      </w:r>
    </w:p>
    <w:p>
      <w:pPr>
        <w:pStyle w:val="ListNumber"/>
      </w:pPr>
      <w:r>
        <w:t>Return to My requests to view the submitted request.</w:t>
      </w:r>
    </w:p>
    <w:p>
      <w:pPr>
        <w:pStyle w:val="Heading1"/>
        <w:jc w:val="left"/>
      </w:pPr>
      <w:r>
        <w:t>Internal Coordinator App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Navigation Group</w:t>
            </w:r>
          </w:p>
        </w:tc>
        <w:tc>
          <w:tcPr>
            <w:tcW w:type="dxa" w:w="6696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Use</w:t>
            </w:r>
          </w:p>
        </w:tc>
      </w:tr>
      <w:tr>
        <w:tc>
          <w:tcPr>
            <w:tcW w:type="dxa" w:w="30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Intake Work</w:t>
            </w:r>
          </w:p>
        </w:tc>
        <w:tc>
          <w:tcPr>
            <w:tcW w:type="dxa" w:w="66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Service Requests and Service Request Evidence Reviews</w:t>
            </w:r>
          </w:p>
        </w:tc>
      </w:tr>
      <w:tr>
        <w:tc>
          <w:tcPr>
            <w:tcW w:type="dxa" w:w="30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Routing Configuration</w:t>
            </w:r>
          </w:p>
        </w:tc>
        <w:tc>
          <w:tcPr>
            <w:tcW w:type="dxa" w:w="66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Routing Matrix, Departments, SLA Policies, and Service Categories</w:t>
            </w:r>
          </w:p>
        </w:tc>
      </w:tr>
      <w:tr>
        <w:tc>
          <w:tcPr>
            <w:tcW w:type="dxa" w:w="3024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Monitoring</w:t>
            </w:r>
          </w:p>
        </w:tc>
        <w:tc>
          <w:tcPr>
            <w:tcW w:type="dxa" w:w="6696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System Error Logs and External Sync Logs</w:t>
            </w:r>
          </w:p>
        </w:tc>
      </w:tr>
    </w:tbl>
    <w:p>
      <w:pPr>
        <w:pStyle w:val="Heading2"/>
      </w:pPr>
      <w:r>
        <w:t>Review A Service Request</w:t>
      </w:r>
    </w:p>
    <w:p>
      <w:pPr>
        <w:pStyle w:val="ListNumber"/>
      </w:pPr>
      <w:r>
        <w:t>Open Intake Work &gt; Service Requests.</w:t>
      </w:r>
    </w:p>
    <w:p>
      <w:pPr>
        <w:pStyle w:val="ListNumber"/>
      </w:pPr>
      <w:r>
        <w:t>Use Active Service Requests to scan confirmation number, customer, category, impact, urgency, lifecycle, department, SLA due date, approval, ERP sync, and created date.</w:t>
      </w:r>
    </w:p>
    <w:p>
      <w:pPr>
        <w:pStyle w:val="ListNumber"/>
      </w:pPr>
      <w:r>
        <w:t>Open a request and review customer details, triage inputs, routing/SLA, approval/ERP sync, and resolution fields.</w:t>
      </w:r>
    </w:p>
    <w:p>
      <w:pPr>
        <w:pStyle w:val="ListNumber"/>
      </w:pPr>
      <w:r>
        <w:t>Use the PCF status indicator as a compact visual summary of severity, SLA, approval, and sync state.</w:t>
      </w:r>
    </w:p>
    <w:p>
      <w:pPr>
        <w:pStyle w:val="Heading2"/>
      </w:pPr>
      <w:r>
        <w:t>Review Documents</w:t>
      </w:r>
    </w:p>
    <w:p>
      <w:pPr>
        <w:pStyle w:val="ListNumber"/>
      </w:pPr>
      <w:r>
        <w:t>Open a Service Request.</w:t>
      </w:r>
    </w:p>
    <w:p>
      <w:pPr>
        <w:pStyle w:val="ListNumber"/>
      </w:pPr>
      <w:r>
        <w:t>Open the Documents tab.</w:t>
      </w:r>
    </w:p>
    <w:p>
      <w:pPr>
        <w:pStyle w:val="ListNumber"/>
      </w:pPr>
      <w:r>
        <w:t>Use the SharePoint Documents grid to view files uploaded through Power Pages document management.</w:t>
      </w:r>
    </w:p>
    <w:p>
      <w:pPr>
        <w:pStyle w:val="ListNumber"/>
      </w:pPr>
      <w:r>
        <w:t>Use the SR Evidence Reviews subgrid to record internal review status, file URL, document type, verification status, and notes.</w:t>
      </w:r>
    </w:p>
    <w:p>
      <w:pPr>
        <w:pStyle w:val="Heading2"/>
      </w:pPr>
      <w:r>
        <w:t>Close A Critical Request</w:t>
      </w:r>
    </w:p>
    <w:p>
      <w:pPr>
        <w:pStyle w:val="ListNumber"/>
      </w:pPr>
      <w:r>
        <w:t>Try to close a critical request without internal resolution notes and accepted evidence.</w:t>
      </w:r>
    </w:p>
    <w:p>
      <w:pPr>
        <w:pStyle w:val="ListNumber"/>
      </w:pPr>
      <w:r>
        <w:t>Confirm that the plugin blocks the close.</w:t>
      </w:r>
    </w:p>
    <w:p>
      <w:pPr>
        <w:pStyle w:val="ListNumber"/>
      </w:pPr>
      <w:r>
        <w:t>Add internal resolution notes.</w:t>
      </w:r>
    </w:p>
    <w:p>
      <w:pPr>
        <w:pStyle w:val="ListNumber"/>
      </w:pPr>
      <w:r>
        <w:t>Add or update an accepted Service Request Evidence Review row with a SharePoint file URL.</w:t>
      </w:r>
    </w:p>
    <w:p>
      <w:pPr>
        <w:pStyle w:val="ListNumber"/>
      </w:pPr>
      <w:r>
        <w:t>Close the request again.</w:t>
      </w:r>
    </w:p>
    <w:p>
      <w:pPr>
        <w:pStyle w:val="Heading1"/>
        <w:jc w:val="left"/>
      </w:pPr>
      <w:r>
        <w:t>Routing Matrix Administration</w:t>
      </w:r>
    </w:p>
    <w:p>
      <w:pPr>
        <w:pStyle w:val="ListNumber"/>
      </w:pPr>
      <w:r>
        <w:t>Open Routing Configuration &gt; Routing Matrix.</w:t>
      </w:r>
    </w:p>
    <w:p>
      <w:pPr>
        <w:pStyle w:val="ListNumber"/>
      </w:pPr>
      <w:r>
        <w:t>Select a service category tab.</w:t>
      </w:r>
    </w:p>
    <w:p>
      <w:pPr>
        <w:pStyle w:val="ListNumber"/>
      </w:pPr>
      <w:r>
        <w:t>Review summary cards for department, SLA distribution, manager review, and required documents.</w:t>
      </w:r>
    </w:p>
    <w:p>
      <w:pPr>
        <w:pStyle w:val="ListNumber"/>
      </w:pPr>
      <w:r>
        <w:t>Find the Impact row and Urgency column to adjust.</w:t>
      </w:r>
    </w:p>
    <w:p>
      <w:pPr>
        <w:pStyle w:val="ListNumber"/>
      </w:pPr>
      <w:r>
        <w:t>Change Department or SLA from the dropdown.</w:t>
      </w:r>
    </w:p>
    <w:p>
      <w:pPr>
        <w:pStyle w:val="ListNumber"/>
      </w:pPr>
      <w:r>
        <w:t>Use toggles for Review and Docs.</w:t>
      </w:r>
    </w:p>
    <w:p>
      <w:pPr>
        <w:pStyle w:val="ListNumber"/>
      </w:pPr>
      <w:r>
        <w:t>Wait for the saved status.</w:t>
      </w:r>
    </w:p>
    <w:p>
      <w:pPr>
        <w:pStyle w:val="ListBullet"/>
      </w:pPr>
      <w:r>
        <w:t>The page updates the same Dataverse Routing / SLA Rule rows used by the portal preview and routing plugin.</w:t>
      </w:r>
    </w:p>
    <w:p>
      <w:pPr>
        <w:pStyle w:val="ListBullet"/>
      </w:pPr>
      <w:r>
        <w:t>Select the rule name inside a matrix cell to open the underlying Dataverse record.</w:t>
      </w:r>
    </w:p>
    <w:p>
      <w:pPr>
        <w:pStyle w:val="ListBullet"/>
      </w:pPr>
      <w:r>
        <w:t>If you change a rule during the live demo, change it back immediately after showing the saved status.</w:t>
      </w:r>
    </w:p>
    <w:p>
      <w:pPr>
        <w:pStyle w:val="Heading1"/>
        <w:jc w:val="left"/>
      </w:pPr>
      <w:r>
        <w:t>Approval, ERP Sync, And Monitoring</w:t>
      </w:r>
    </w:p>
    <w:p>
      <w:pPr>
        <w:pStyle w:val="Heading2"/>
      </w:pPr>
      <w:r>
        <w:t>Manager Approval And ERP Sync</w:t>
      </w:r>
    </w:p>
    <w:p>
      <w:pPr>
        <w:pStyle w:val="ListNumber"/>
      </w:pPr>
      <w:r>
        <w:t>Open an approval-required request.</w:t>
      </w:r>
    </w:p>
    <w:p>
      <w:pPr>
        <w:pStyle w:val="ListNumber"/>
      </w:pPr>
      <w:r>
        <w:t>Confirm approval status is pending.</w:t>
      </w:r>
    </w:p>
    <w:p>
      <w:pPr>
        <w:pStyle w:val="ListNumber"/>
      </w:pPr>
      <w:r>
        <w:t>Open Power Automate flow ESI - Approval and ERP Sync.</w:t>
      </w:r>
    </w:p>
    <w:p>
      <w:pPr>
        <w:pStyle w:val="ListNumber"/>
      </w:pPr>
      <w:r>
        <w:t>Review the Try scope, approval action, OAuth token request, protected HTTP POST, Service Request update, External Sync Log creation, and Catch scope.</w:t>
      </w:r>
    </w:p>
    <w:p>
      <w:pPr>
        <w:pStyle w:val="ListNumber"/>
      </w:pPr>
      <w:r>
        <w:t>Use Approval records and flow run history as evidence if email delivery is restricted.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Surface</w:t>
            </w:r>
          </w:p>
        </w:tc>
        <w:tc>
          <w:tcPr>
            <w:tcW w:type="dxa" w:w="727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6"/>
              </w:rPr>
              <w:t>Use</w:t>
            </w:r>
          </w:p>
        </w:tc>
      </w:tr>
      <w:tr>
        <w:tc>
          <w:tcPr>
            <w:tcW w:type="dxa" w:w="244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System Error Logs</w:t>
            </w:r>
          </w:p>
        </w:tc>
        <w:tc>
          <w:tcPr>
            <w:tcW w:type="dxa" w:w="72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Plugin, portal, flow, approval, and integration failures with source, stage, message, correlation ID, related request, and resolved status.</w:t>
            </w:r>
          </w:p>
        </w:tc>
      </w:tr>
      <w:tr>
        <w:tc>
          <w:tcPr>
            <w:tcW w:type="dxa" w:w="244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External Sync Logs</w:t>
            </w:r>
          </w:p>
        </w:tc>
        <w:tc>
          <w:tcPr>
            <w:tcW w:type="dxa" w:w="72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ERP endpoint calls, HTTP status, external ID, payload snapshot, and timestamps.</w:t>
            </w:r>
          </w:p>
        </w:tc>
      </w:tr>
      <w:tr>
        <w:tc>
          <w:tcPr>
            <w:tcW w:type="dxa" w:w="244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Flow Run Histories</w:t>
            </w:r>
          </w:p>
        </w:tc>
        <w:tc>
          <w:tcPr>
            <w:tcW w:type="dxa" w:w="727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6"/>
              </w:rPr>
              <w:t>Confirmation email, approval, ERP sync, and Catch-path evidence.</w:t>
            </w:r>
          </w:p>
        </w:tc>
      </w:tr>
    </w:tbl>
    <w:p>
      <w:pPr>
        <w:pStyle w:val="Heading1"/>
        <w:jc w:val="left"/>
      </w:pPr>
      <w:r>
        <w:t>Demo Accounts And Notes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Account</w:t>
            </w:r>
          </w:p>
        </w:tc>
        <w:tc>
          <w:tcPr>
            <w:tcW w:type="dxa" w:w="5832"/>
            <w:vAlign w:val="top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>
              <w:rPr>
                <w:b/>
                <w:color w:val="003B66"/>
              </w:rPr>
            </w:r>
            <w:r>
              <w:rPr>
                <w:b/>
                <w:color w:val="003B66"/>
                <w:sz w:val="18"/>
              </w:rPr>
              <w:t>Purpose</w:t>
            </w:r>
          </w:p>
        </w:tc>
      </w:tr>
      <w:tr>
        <w:tc>
          <w:tcPr>
            <w:tcW w:type="dxa" w:w="38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forrest@hellosmart.ca</w:t>
            </w:r>
          </w:p>
        </w:tc>
        <w:tc>
          <w:tcPr>
            <w:tcW w:type="dxa" w:w="58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Admin/customizer reviewer</w:t>
            </w:r>
          </w:p>
        </w:tc>
      </w:tr>
      <w:tr>
        <w:tc>
          <w:tcPr>
            <w:tcW w:type="dxa" w:w="38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agent@hellosmart.ca</w:t>
            </w:r>
          </w:p>
        </w:tc>
        <w:tc>
          <w:tcPr>
            <w:tcW w:type="dxa" w:w="58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Internal service coordinator</w:t>
            </w:r>
          </w:p>
        </w:tc>
      </w:tr>
      <w:tr>
        <w:tc>
          <w:tcPr>
            <w:tcW w:type="dxa" w:w="3888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manager@hellosmart.ca</w:t>
            </w:r>
          </w:p>
        </w:tc>
        <w:tc>
          <w:tcPr>
            <w:tcW w:type="dxa" w:w="5832"/>
            <w:vAlign w:val="top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after="0"/>
            </w:pPr>
            <w:r/>
            <w:r>
              <w:rPr>
                <w:b w:val="0"/>
                <w:color w:val="101828"/>
                <w:sz w:val="18"/>
              </w:rPr>
              <w:t>Approval manager</w:t>
            </w:r>
          </w:p>
        </w:tc>
      </w:tr>
    </w:tbl>
    <w:p>
      <w:pPr>
        <w:pStyle w:val="ListBullet"/>
      </w:pPr>
      <w:r>
        <w:t>Do not commit passwords or OAuth secrets.</w:t>
      </w:r>
    </w:p>
    <w:p>
      <w:pPr>
        <w:pStyle w:val="ListBullet"/>
      </w:pPr>
      <w:r>
        <w:t>The portal is private for the interview tenant.</w:t>
      </w:r>
    </w:p>
    <w:p>
      <w:pPr>
        <w:pStyle w:val="ListBullet"/>
      </w:pPr>
      <w:r>
        <w:t>The raw Routing / SLA Rule table still exists for Dataverse administration, but normal rule maintenance should use Routing Matrix.</w:t>
      </w:r>
    </w:p>
    <w:p>
      <w:pPr>
        <w:pStyle w:val="ListBullet"/>
      </w:pPr>
      <w:r>
        <w:t>No final solution export should be produced until the administrator requests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Prepared for Mitacs hiring review -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Enterprise Service Intake |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67B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B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B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Calibri" w:hAnsi="Calibri"/>
      <w:color w:val="101828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101828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Service Intake User Manual</dc:title>
  <dc:subject>Power Platform Senior Developer Take-Home Case</dc:subject>
  <dc:creator>Forrest Zhang</dc:creator>
  <cp:keywords/>
  <dc:description>Generated from source-controlled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