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510477">
      <w:pPr>
        <w:pStyle w:val="ASM"/>
        <w:rPr>
          <w:lang w:val="en-US"/>
        </w:rPr>
      </w:pPr>
      <w:r w:rsidRPr="00510477">
        <w:rPr>
          <w:lang w:val="en-US"/>
        </w:rPr>
        <w:t>Title:</w:t>
      </w:r>
    </w:p>
    <w:p w14:paraId="6F1A5490" w14:textId="77777777" w:rsidR="00510477" w:rsidRPr="00510477" w:rsidRDefault="00510477" w:rsidP="00510477">
      <w:pPr>
        <w:pStyle w:val="ASM"/>
        <w:jc w:val="center"/>
        <w:rPr>
          <w:b/>
          <w:sz w:val="32"/>
          <w:lang w:val="en-US"/>
        </w:rPr>
        <w:sectPr w:rsidR="00510477" w:rsidRPr="00510477" w:rsidSect="00510477">
          <w:footerReference w:type="even" r:id="rId7"/>
          <w:footerReference w:type="default" r:id="rId8"/>
          <w:pgSz w:w="12240" w:h="15840"/>
          <w:pgMar w:top="1500" w:right="1500" w:bottom="1420" w:left="1400" w:header="720" w:footer="1237" w:gutter="0"/>
          <w:pgNumType w:start="1"/>
          <w:cols w:space="720"/>
        </w:sectPr>
      </w:pPr>
      <w:r w:rsidRPr="00510477">
        <w:rPr>
          <w:b/>
          <w:sz w:val="32"/>
          <w:lang w:val="en-US"/>
        </w:rPr>
        <w:t>Health and disease imprinted in the time variability of the human microbiome</w:t>
      </w:r>
    </w:p>
    <w:p w14:paraId="602AFA51" w14:textId="77777777" w:rsidR="00510477" w:rsidRDefault="00510477" w:rsidP="00510477">
      <w:pPr>
        <w:pStyle w:val="ASM"/>
        <w:rPr>
          <w:lang w:val="en-US"/>
        </w:rPr>
      </w:pPr>
      <w:r>
        <w:rPr>
          <w:lang w:val="en-US"/>
        </w:rPr>
        <w:lastRenderedPageBreak/>
        <w:t>Running Tittle:</w:t>
      </w:r>
    </w:p>
    <w:p w14:paraId="6BD1E5BE" w14:textId="77777777" w:rsidR="00510477" w:rsidRDefault="00510477" w:rsidP="00510477">
      <w:pPr>
        <w:pStyle w:val="ASM"/>
        <w:jc w:val="center"/>
        <w:rPr>
          <w:lang w:val="en-US"/>
        </w:rPr>
      </w:pPr>
      <w:r>
        <w:rPr>
          <w:lang w:val="en-US"/>
        </w:rPr>
        <w:t>Microbiota, are you sick?</w:t>
      </w:r>
    </w:p>
    <w:p w14:paraId="6E678E93" w14:textId="77777777" w:rsidR="00510477" w:rsidRPr="00510477" w:rsidRDefault="00510477" w:rsidP="00510477">
      <w:pPr>
        <w:pStyle w:val="ASM"/>
        <w:rPr>
          <w:lang w:val="es-ES"/>
        </w:rPr>
      </w:pPr>
      <w:proofErr w:type="spellStart"/>
      <w:r w:rsidRPr="00510477">
        <w:rPr>
          <w:b/>
          <w:bCs/>
          <w:lang w:val="es-ES"/>
        </w:rPr>
        <w:t>Jose</w:t>
      </w:r>
      <w:proofErr w:type="spellEnd"/>
      <w:r w:rsidRPr="00510477">
        <w:rPr>
          <w:b/>
          <w:bCs/>
          <w:lang w:val="es-ES"/>
        </w:rPr>
        <w:t xml:space="preserv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510477">
      <w:pPr>
        <w:pStyle w:val="ASM"/>
        <w:rPr>
          <w:lang w:val="es-ES"/>
        </w:rPr>
      </w:pPr>
    </w:p>
    <w:p w14:paraId="3DB32493" w14:textId="77777777" w:rsidR="00510477" w:rsidRPr="00510477" w:rsidRDefault="00510477" w:rsidP="00510477">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510477">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510477">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510477">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510477">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510477">
      <w:pPr>
        <w:pStyle w:val="ASM"/>
        <w:rPr>
          <w:lang w:val="es-ES"/>
        </w:rPr>
      </w:pPr>
    </w:p>
    <w:p w14:paraId="7C54A180" w14:textId="77777777" w:rsidR="00510477" w:rsidRPr="00510477" w:rsidRDefault="00510477" w:rsidP="00510477">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77777777" w:rsidR="00510477" w:rsidRPr="00510477" w:rsidRDefault="00510477" w:rsidP="00510477">
      <w:pPr>
        <w:pStyle w:val="ASM"/>
        <w:rPr>
          <w:lang w:val="en-US"/>
        </w:rPr>
        <w:sectPr w:rsidR="00510477" w:rsidRPr="00510477">
          <w:type w:val="continuous"/>
          <w:pgSz w:w="12240" w:h="15840"/>
          <w:pgMar w:top="1500" w:right="1500" w:bottom="1420" w:left="1400" w:header="720" w:footer="720" w:gutter="0"/>
          <w:cols w:space="720"/>
        </w:sectPr>
      </w:pPr>
      <w:r w:rsidRPr="00510477">
        <w:rPr>
          <w:lang w:val="en-US"/>
        </w:rPr>
        <w:t xml:space="preserve"># Corresponding authors: </w:t>
      </w:r>
      <w:hyperlink r:id="rId9">
        <w:r w:rsidRPr="00510477">
          <w:rPr>
            <w:rStyle w:val="Hipervnculo"/>
            <w:lang w:val="en-US"/>
          </w:rPr>
          <w:t>andres.moya@uv.es,</w:t>
        </w:r>
      </w:hyperlink>
      <w:r w:rsidRPr="00510477">
        <w:rPr>
          <w:lang w:val="en-US"/>
        </w:rPr>
        <w:t xml:space="preserve"> penagaray@gmail.com</w:t>
      </w:r>
    </w:p>
    <w:p w14:paraId="733E5E1B" w14:textId="77777777" w:rsidR="00886E8A" w:rsidRDefault="00886E8A" w:rsidP="00886E8A">
      <w:pPr>
        <w:pStyle w:val="ASM"/>
        <w:jc w:val="center"/>
        <w:rPr>
          <w:lang w:val="en-US"/>
        </w:rPr>
      </w:pPr>
      <w:r w:rsidRPr="00886E8A">
        <w:rPr>
          <w:b/>
          <w:lang w:val="en-US"/>
        </w:rPr>
        <w:lastRenderedPageBreak/>
        <w:t>Abstract</w:t>
      </w:r>
    </w:p>
    <w:p w14:paraId="3AAD2426" w14:textId="77777777" w:rsidR="00886E8A" w:rsidRPr="00886E8A" w:rsidRDefault="00886E8A" w:rsidP="00886E8A">
      <w:pPr>
        <w:pStyle w:val="ASM"/>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886E8A">
      <w:pPr>
        <w:pStyle w:val="ASM"/>
        <w:jc w:val="center"/>
        <w:rPr>
          <w:lang w:val="en-US"/>
        </w:rPr>
      </w:pPr>
      <w:r w:rsidRPr="00886E8A">
        <w:rPr>
          <w:b/>
          <w:lang w:val="en-US"/>
        </w:rPr>
        <w:t>Importance</w:t>
      </w:r>
    </w:p>
    <w:p w14:paraId="741D4232" w14:textId="77777777" w:rsidR="00886E8A" w:rsidRPr="00886E8A" w:rsidRDefault="00886E8A" w:rsidP="00CF7689">
      <w:pPr>
        <w:pStyle w:val="ASM"/>
        <w:ind w:left="283" w:right="283"/>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886E8A">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886E8A">
      <w:pPr>
        <w:pStyle w:val="ASM"/>
        <w:rPr>
          <w:lang w:val="en-US"/>
        </w:rPr>
        <w:sectPr w:rsidR="00886E8A" w:rsidRPr="00886E8A">
          <w:pgSz w:w="12240" w:h="15840"/>
          <w:pgMar w:top="1220" w:right="1400" w:bottom="1420" w:left="1400" w:header="0" w:footer="1237" w:gutter="0"/>
          <w:cols w:space="720"/>
        </w:sectPr>
      </w:pPr>
    </w:p>
    <w:p w14:paraId="0A8330E8" w14:textId="35F0A17C" w:rsidR="00CF7689" w:rsidRPr="00F51F2D" w:rsidRDefault="00CF7689" w:rsidP="00CF7689">
      <w:pPr>
        <w:pStyle w:val="ASM"/>
        <w:rPr>
          <w:sz w:val="28"/>
          <w:lang w:val="en-US"/>
        </w:rPr>
      </w:pPr>
      <w:r w:rsidRPr="00F51F2D">
        <w:rPr>
          <w:b/>
          <w:bCs/>
          <w:sz w:val="28"/>
          <w:lang w:val="en-US"/>
        </w:rPr>
        <w:lastRenderedPageBreak/>
        <w:t>Introduction</w:t>
      </w:r>
    </w:p>
    <w:p w14:paraId="65F7E356" w14:textId="5DE07766" w:rsidR="00CF7689" w:rsidRPr="00CF7689" w:rsidRDefault="00CF7689" w:rsidP="00CF7689">
      <w:pPr>
        <w:pStyle w:val="ASM"/>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w:t>
      </w:r>
      <w:r w:rsidRPr="00BA5DE6">
        <w:rPr>
          <w:i/>
          <w:lang w:val="en-US"/>
        </w:rPr>
        <w:t>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DE6BE8A" w:rsidR="00CF7689" w:rsidRPr="00CF7689" w:rsidRDefault="00CF7689" w:rsidP="00CF7689">
      <w:pPr>
        <w:pStyle w:val="ASM"/>
        <w:rPr>
          <w:lang w:val="en-US"/>
        </w:rPr>
      </w:pPr>
      <w:r w:rsidRPr="00CF7689">
        <w:rPr>
          <w:lang w:val="en-US"/>
        </w:rPr>
        <w:t>High throughput methods for microbial 16S ribosomal RNA gene and SMS 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F3369D">
      <w:pPr>
        <w:pStyle w:val="ASM"/>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and computational approaches. In particular, Systems Biology has placed a </w:t>
      </w:r>
      <w:r w:rsidRPr="00F3369D">
        <w:rPr>
          <w:lang w:val="en-US"/>
        </w:rPr>
        <w:lastRenderedPageBreak/>
        <w:t>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510477">
      <w:pPr>
        <w:pStyle w:val="ASM"/>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510477">
      <w:pPr>
        <w:pStyle w:val="ASM"/>
        <w:rPr>
          <w:sz w:val="28"/>
          <w:lang w:val="en-US"/>
        </w:rPr>
      </w:pPr>
      <w:r w:rsidRPr="00F51F2D">
        <w:rPr>
          <w:b/>
          <w:bCs/>
          <w:sz w:val="28"/>
          <w:lang w:val="en-US"/>
        </w:rPr>
        <w:t>Results</w:t>
      </w:r>
    </w:p>
    <w:p w14:paraId="1476771E" w14:textId="3685FEE8" w:rsidR="00BB0891" w:rsidRDefault="00BB0891" w:rsidP="00BB0891">
      <w:pPr>
        <w:pStyle w:val="ASM"/>
        <w:rPr>
          <w:lang w:val="en-US"/>
        </w:rPr>
      </w:pPr>
      <w:r>
        <w:rPr>
          <w:lang w:val="en-US"/>
        </w:rPr>
        <w:t xml:space="preserve">We have analyzed the microbiome temporal variability to extract global properties of the system. </w:t>
      </w:r>
      <w:r w:rsidRPr="00BB0891">
        <w:rPr>
          <w:lang w:val="en-US"/>
        </w:rPr>
        <w:t xml:space="preserve">As fluctuations in total counts are plagued by systematic errors we worked on temporal variability of relative abundances for each taxon. Our first finding was that, in all cases, changes in relative abundances of taxa follow a ubiquitous pattern known as the </w:t>
      </w:r>
      <w:r w:rsidRPr="00BB0891">
        <w:rPr>
          <w:lang w:val="en-US"/>
        </w:rPr>
        <w:lastRenderedPageBreak/>
        <w:t>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 and related with the health status of the host, which we consider the main finding exposed in this article.</w:t>
      </w:r>
    </w:p>
    <w:p w14:paraId="454478A6" w14:textId="77777777" w:rsidR="00F51F2D" w:rsidRDefault="00F51F2D" w:rsidP="00F51F2D">
      <w:pPr>
        <w:pStyle w:val="ASM"/>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00AE7B65" w:rsidR="00F51F2D" w:rsidRPr="00F51F2D" w:rsidRDefault="00F51F2D" w:rsidP="00F51F2D">
      <w:pPr>
        <w:pStyle w:val="ASM"/>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their Taylor parameters have been standardized, where standardization means that each parameter is subtracted by the mean value and divided by the standard deviation (</w:t>
      </w:r>
      <w:proofErr w:type="spellStart"/>
      <w:r w:rsidRPr="00F51F2D">
        <w:rPr>
          <w:lang w:val="en-US"/>
        </w:rPr>
        <w:t>std</w:t>
      </w:r>
      <w:proofErr w:type="spellEnd"/>
      <w:r w:rsidRPr="00F51F2D">
        <w:rPr>
          <w:lang w:val="en-US"/>
        </w:rPr>
        <w:t xml:space="preserve">) of the group of healthy individuals for each study (for details of the procedure, please see Standardization subsection in Material and Methods). The healthy zone and the standardized Taylor parameters for individuals whose gut microbiota is altered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increased variability, which is particularly severe, and statistically significant at more than 95% CL, for obese patients grade III on a diet, individuals taking antibiotics or IBS–diagnosed patients. A global property emerges from all worldwide data </w:t>
      </w:r>
      <w:r w:rsidRPr="00F51F2D">
        <w:rPr>
          <w:lang w:val="en-US"/>
        </w:rPr>
        <w:lastRenderedPageBreak/>
        <w:t>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F51F2D">
      <w:pPr>
        <w:pStyle w:val="ASM"/>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F51F2D">
      <w:pPr>
        <w:pStyle w:val="ASM"/>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xml:space="preserve">. The fitness parameter has been </w:t>
      </w:r>
      <w:r w:rsidRPr="00F51F2D">
        <w:rPr>
          <w:lang w:val="en-US"/>
        </w:rPr>
        <w:lastRenderedPageBreak/>
        <w:t>chosen with different values for demonstrative purposes. Fitness is larger for the healthiest subjects and smaller for the IBS–diagnosed patients.</w:t>
      </w:r>
    </w:p>
    <w:p w14:paraId="47107B22" w14:textId="212F1139" w:rsidR="00F51F2D" w:rsidRPr="00F51F2D" w:rsidRDefault="00F51F2D" w:rsidP="00F51F2D">
      <w:pPr>
        <w:pStyle w:val="ASM"/>
        <w:rPr>
          <w:sz w:val="28"/>
          <w:lang w:val="en-US"/>
        </w:rPr>
      </w:pPr>
      <w:r w:rsidRPr="00F51F2D">
        <w:rPr>
          <w:b/>
          <w:bCs/>
          <w:sz w:val="28"/>
          <w:lang w:val="en-US"/>
        </w:rPr>
        <w:t>Rank stability of the taxa</w:t>
      </w:r>
    </w:p>
    <w:p w14:paraId="5E509580" w14:textId="7E67A1C0" w:rsidR="00F51F2D" w:rsidRPr="00F51F2D" w:rsidRDefault="00F51F2D" w:rsidP="00F51F2D">
      <w:pPr>
        <w:pStyle w:val="ASM"/>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F51F2D">
      <w:pPr>
        <w:pStyle w:val="ASM"/>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0F0A2FA3" w:rsidR="00F51F2D" w:rsidRPr="00F51F2D" w:rsidRDefault="00F51F2D" w:rsidP="00F51F2D">
      <w:pPr>
        <w:pStyle w:val="ASM"/>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xml:space="preserve">, the medium-ranked taxa are very rank unstable, mostly due </w:t>
      </w:r>
      <w:proofErr w:type="gramStart"/>
      <w:r w:rsidRPr="00F51F2D">
        <w:rPr>
          <w:lang w:val="en-US"/>
        </w:rPr>
        <w:t>to</w:t>
      </w:r>
      <w:proofErr w:type="gramEnd"/>
      <w:r w:rsidRPr="00F51F2D">
        <w:rPr>
          <w:lang w:val="en-US"/>
        </w:rPr>
        <w:t xml:space="preserve"> transient (often one or two con- </w:t>
      </w:r>
      <w:proofErr w:type="spellStart"/>
      <w:r w:rsidRPr="00F51F2D">
        <w:rPr>
          <w:lang w:val="en-US"/>
        </w:rPr>
        <w:t>secutive</w:t>
      </w:r>
      <w:proofErr w:type="spellEnd"/>
      <w:r w:rsidRPr="00F51F2D">
        <w:rPr>
          <w:lang w:val="en-US"/>
        </w:rPr>
        <w:t xml:space="preser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ranking 26th and 29th respectively in the </w:t>
      </w:r>
      <w:r w:rsidRPr="00F51F2D">
        <w:rPr>
          <w:lang w:val="en-US"/>
        </w:rPr>
        <w:lastRenderedPageBreak/>
        <w:t>overall dominance axis but show very low RSI, and thus colored in black attending to the color criteria shown in the table included in Figure 5.</w:t>
      </w:r>
    </w:p>
    <w:p w14:paraId="5090C9ED" w14:textId="60F029A2" w:rsidR="00F51F2D" w:rsidRDefault="00F51F2D" w:rsidP="00F51F2D">
      <w:pPr>
        <w:pStyle w:val="ASM"/>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F51F2D">
      <w:pPr>
        <w:pStyle w:val="ASM"/>
        <w:rPr>
          <w:sz w:val="28"/>
          <w:lang w:val="en-US"/>
        </w:rPr>
      </w:pPr>
      <w:r w:rsidRPr="00F51F2D">
        <w:rPr>
          <w:b/>
          <w:bCs/>
          <w:sz w:val="28"/>
          <w:lang w:val="en-US"/>
        </w:rPr>
        <w:t>Time dependence of model parameters</w:t>
      </w:r>
    </w:p>
    <w:p w14:paraId="76F309C9" w14:textId="1F98B835" w:rsidR="00F51F2D" w:rsidRDefault="00F51F2D" w:rsidP="00F51F2D">
      <w:pPr>
        <w:pStyle w:val="ASM"/>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xml:space="preserve">) corresponding to the gut microbiota of a male (upper plot) and a female (lower plot).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Both samples show changes in the variability V with quasi–periodic behavior peaked at about 10 days. Variability grows more for the gut microbiota of the male and share a minimal value around 0.1 with the gut microbiota of the female.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F51F2D">
      <w:pPr>
        <w:pStyle w:val="ASM"/>
        <w:rPr>
          <w:sz w:val="28"/>
          <w:lang w:val="en-US"/>
        </w:rPr>
      </w:pPr>
      <w:r w:rsidRPr="00F51F2D">
        <w:rPr>
          <w:b/>
          <w:bCs/>
          <w:sz w:val="28"/>
          <w:lang w:val="en-US"/>
        </w:rPr>
        <w:t>Discussion</w:t>
      </w:r>
    </w:p>
    <w:p w14:paraId="18C06502" w14:textId="10CE4252" w:rsidR="00F51F2D" w:rsidRPr="00F51F2D" w:rsidRDefault="00F51F2D" w:rsidP="00F51F2D">
      <w:pPr>
        <w:pStyle w:val="ASM"/>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w:t>
      </w:r>
      <w:r w:rsidRPr="00F51F2D">
        <w:rPr>
          <w:lang w:val="en-US"/>
        </w:rPr>
        <w:lastRenderedPageBreak/>
        <w:t xml:space="preserve">dispersion), which is informing us about the community structure. This means that, in relative 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F51F2D">
      <w:pPr>
        <w:pStyle w:val="ASM"/>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77777777" w:rsidR="00917718" w:rsidRPr="00917718" w:rsidRDefault="00917718" w:rsidP="00917718">
      <w:pPr>
        <w:pStyle w:val="ASM"/>
        <w:rPr>
          <w:lang w:val="en-US"/>
        </w:rPr>
      </w:pPr>
      <w:r w:rsidRPr="00917718">
        <w:rPr>
          <w:lang w:val="en-US"/>
        </w:rPr>
        <w:lastRenderedPageBreak/>
        <w:t xml:space="preserve">The primary hypothesis of this work is that, in adults, having a healthy microbiota means that population is stable in time and does not have huge flips or jumps into another states. In order to 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3425962A" w:rsidR="00F51F2D" w:rsidRPr="00F51F2D" w:rsidRDefault="00917718" w:rsidP="00917718">
      <w:pPr>
        <w:pStyle w:val="ASM"/>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sensible to potential perturbations as, for example, opportunist infections. Third and last condition, the subject is already in the unstable phase due to some healthy issue as IBS. This can be observed in one of the patients from Durban et al study (12). In addition, it was shown that this subject improved its </w:t>
      </w:r>
      <w:proofErr w:type="gramStart"/>
      <w:r w:rsidRPr="00917718">
        <w:rPr>
          <w:lang w:val="en-US"/>
        </w:rPr>
        <w:t xml:space="preserve">healthy  </w:t>
      </w:r>
      <w:r w:rsidR="00F51F2D" w:rsidRPr="00F51F2D">
        <w:rPr>
          <w:lang w:val="en-US"/>
        </w:rPr>
        <w:lastRenderedPageBreak/>
        <w:t>status</w:t>
      </w:r>
      <w:proofErr w:type="gramEnd"/>
      <w:r w:rsidR="00F51F2D" w:rsidRPr="00F51F2D">
        <w:rPr>
          <w:lang w:val="en-US"/>
        </w:rPr>
        <w:t xml:space="preserve"> in the time when the experiment was done, implying that his microbiota also recovered the lost stability.</w:t>
      </w:r>
    </w:p>
    <w:p w14:paraId="06D14B35" w14:textId="5DA6CD10" w:rsidR="00F51F2D" w:rsidRPr="00F51F2D" w:rsidRDefault="00F51F2D" w:rsidP="00F51F2D">
      <w:pPr>
        <w:pStyle w:val="ASM"/>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among 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F51F2D">
      <w:pPr>
        <w:pStyle w:val="ASM"/>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2F8C34FC" w:rsidR="00F51F2D" w:rsidRDefault="00F51F2D" w:rsidP="00F51F2D">
      <w:pPr>
        <w:pStyle w:val="ASM"/>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 xml:space="preserve">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w:t>
      </w:r>
      <w:proofErr w:type="spellStart"/>
      <w:r w:rsidRPr="00F51F2D">
        <w:rPr>
          <w:lang w:val="en-US"/>
        </w:rPr>
        <w:t>interac</w:t>
      </w:r>
      <w:proofErr w:type="spellEnd"/>
      <w:r w:rsidRPr="00F51F2D">
        <w:rPr>
          <w:lang w:val="en-US"/>
        </w:rPr>
        <w:t xml:space="preserve">- </w:t>
      </w:r>
      <w:proofErr w:type="spellStart"/>
      <w:r w:rsidRPr="00F51F2D">
        <w:rPr>
          <w:lang w:val="en-US"/>
        </w:rPr>
        <w:t>tions</w:t>
      </w:r>
      <w:proofErr w:type="spellEnd"/>
      <w:r w:rsidRPr="00F51F2D">
        <w:rPr>
          <w:lang w:val="en-US"/>
        </w:rPr>
        <w:t xml:space="preserve"> among the elements of the community is surely of great </w:t>
      </w:r>
      <w:r w:rsidRPr="00F51F2D">
        <w:rPr>
          <w:lang w:val="en-US"/>
        </w:rPr>
        <w:lastRenderedPageBreak/>
        <w:t>importance in this matter, and it is related to the fitness of the community as has been commented above. How we should address the community fitness is not clear, but works as Tikhonov’s (</w:t>
      </w:r>
      <w:r w:rsidRPr="00A878F0">
        <w:rPr>
          <w:i/>
          <w:lang w:val="en-US"/>
        </w:rPr>
        <w:t>62</w:t>
      </w:r>
      <w:r w:rsidRPr="00F51F2D">
        <w:rPr>
          <w:lang w:val="en-US"/>
        </w:rPr>
        <w:t>) could help us to aim at the correct direction toward unraveling the complexity of the microbiota.</w:t>
      </w:r>
    </w:p>
    <w:p w14:paraId="3ACE5755" w14:textId="473C0337" w:rsidR="007123EF" w:rsidRPr="007123EF" w:rsidRDefault="007123EF" w:rsidP="007123EF">
      <w:pPr>
        <w:pStyle w:val="ASM"/>
        <w:rPr>
          <w:sz w:val="28"/>
          <w:lang w:val="en-US"/>
        </w:rPr>
      </w:pPr>
      <w:r w:rsidRPr="007123EF">
        <w:rPr>
          <w:b/>
          <w:bCs/>
          <w:sz w:val="28"/>
          <w:lang w:val="en-US"/>
        </w:rPr>
        <w:t>Materials and Methods</w:t>
      </w:r>
    </w:p>
    <w:p w14:paraId="2BB8A8B9" w14:textId="64543EB4" w:rsidR="007123EF" w:rsidRPr="007123EF" w:rsidRDefault="007123EF" w:rsidP="007123EF">
      <w:pPr>
        <w:pStyle w:val="ASM"/>
        <w:rPr>
          <w:lang w:val="en-US"/>
        </w:rPr>
      </w:pPr>
      <w:r w:rsidRPr="007123EF">
        <w:rPr>
          <w:b/>
          <w:bCs/>
          <w:lang w:val="en-US"/>
        </w:rPr>
        <w:t>Model</w:t>
      </w:r>
    </w:p>
    <w:p w14:paraId="662D8EE8" w14:textId="1FADAE06" w:rsidR="007123EF" w:rsidRDefault="007123EF" w:rsidP="007123EF">
      <w:pPr>
        <w:pStyle w:val="ASM"/>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7123EF" w:rsidP="007123EF">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7123EF">
      <w:pPr>
        <w:pStyle w:val="ASM"/>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38204F" w:rsidP="007123EF">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38204F">
      <w:pPr>
        <w:pStyle w:val="ASM"/>
        <w:rPr>
          <w:lang w:val="en-US"/>
        </w:rPr>
      </w:pPr>
      <w:r w:rsidRPr="0038204F">
        <w:rPr>
          <w:lang w:val="en-US"/>
        </w:rPr>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917718" w:rsidP="00917718">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Pr="00917718">
        <w:rPr>
          <w:lang w:val="en-US"/>
        </w:rPr>
        <w:t xml:space="preserve">    if      </w:t>
      </w:r>
      <m:oMath>
        <m:r>
          <w:rPr>
            <w:rFonts w:ascii="Cambria Math" w:hAnsi="Cambria Math"/>
            <w:lang w:val="en-US"/>
          </w:rPr>
          <m:t>2β≠1+α</m:t>
        </m:r>
      </m:oMath>
    </w:p>
    <w:p w14:paraId="55554958" w14:textId="77777777" w:rsidR="00917718" w:rsidRPr="00917718" w:rsidRDefault="00917718" w:rsidP="00917718">
      <w:pPr>
        <w:pStyle w:val="ASM"/>
        <w:rPr>
          <w:lang w:val="en-US"/>
        </w:rPr>
      </w:pPr>
    </w:p>
    <w:p w14:paraId="43EBA73C" w14:textId="7BC8A887" w:rsidR="00917718" w:rsidRPr="00917718" w:rsidRDefault="00917718" w:rsidP="00917718">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Pr="00917718">
        <w:rPr>
          <w:lang w:val="en-US"/>
        </w:rPr>
        <w:t xml:space="preserve">     if     </w:t>
      </w:r>
      <m:oMath>
        <m:r>
          <w:rPr>
            <w:rFonts w:ascii="Cambria Math" w:hAnsi="Cambria Math"/>
            <w:lang w:val="en-US"/>
          </w:rPr>
          <m:t>2β=1+α</m:t>
        </m:r>
      </m:oMath>
    </w:p>
    <w:p w14:paraId="16F14B8F" w14:textId="77777777" w:rsidR="00917718" w:rsidRDefault="00917718" w:rsidP="0038204F">
      <w:pPr>
        <w:pStyle w:val="ASM"/>
        <w:rPr>
          <w:lang w:val="en-US"/>
        </w:rPr>
      </w:pPr>
    </w:p>
    <w:p w14:paraId="5CE56998" w14:textId="7827DE25" w:rsidR="00F20B6C" w:rsidRPr="00F20B6C" w:rsidRDefault="001B1F46" w:rsidP="00F51F2D">
      <w:pPr>
        <w:pStyle w:val="ASM"/>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F20B6C" w:rsidP="00F20B6C">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Pr="00F20B6C">
        <w:rPr>
          <w:lang w:val="en-US"/>
        </w:rPr>
        <w:t xml:space="preserve">     if      </w:t>
      </w:r>
      <m:oMath>
        <m:r>
          <w:rPr>
            <w:rFonts w:ascii="Cambria Math" w:hAnsi="Cambria Math"/>
            <w:lang w:val="en-US"/>
          </w:rPr>
          <m:t>β=α≠1</m:t>
        </m:r>
      </m:oMath>
    </w:p>
    <w:p w14:paraId="04EF9924" w14:textId="07E5061B" w:rsidR="00F20B6C" w:rsidRPr="00F20B6C" w:rsidRDefault="00F20B6C" w:rsidP="00F20B6C">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Pr="00F20B6C">
        <w:rPr>
          <w:lang w:val="en-US"/>
        </w:rPr>
        <w:t xml:space="preserve">     if      </w:t>
      </w:r>
      <m:oMath>
        <m:r>
          <w:rPr>
            <w:rFonts w:ascii="Cambria Math" w:hAnsi="Cambria Math"/>
            <w:lang w:val="en-US"/>
          </w:rPr>
          <m:t>2β=1+α</m:t>
        </m:r>
      </m:oMath>
    </w:p>
    <w:p w14:paraId="486C018F" w14:textId="6633CF98" w:rsidR="00F20B6C" w:rsidRDefault="00F20B6C" w:rsidP="00F20B6C">
      <w:pPr>
        <w:pStyle w:val="ASM"/>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63</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F20B6C">
      <w:pPr>
        <w:pStyle w:val="ASM"/>
        <w:rPr>
          <w:lang w:val="en-US"/>
        </w:rPr>
      </w:pPr>
      <w:r w:rsidRPr="00F20B6C">
        <w:rPr>
          <w:b/>
          <w:bCs/>
          <w:lang w:val="en-US"/>
        </w:rPr>
        <w:t>Standardization</w:t>
      </w:r>
    </w:p>
    <w:p w14:paraId="10F860C2" w14:textId="77777777" w:rsidR="00F20B6C" w:rsidRPr="00F20B6C" w:rsidRDefault="00F20B6C" w:rsidP="00F20B6C">
      <w:pPr>
        <w:pStyle w:val="ASM"/>
        <w:rPr>
          <w:lang w:val="en-US"/>
        </w:rPr>
      </w:pPr>
      <w:r w:rsidRPr="00F20B6C">
        <w:rPr>
          <w:lang w:val="en-US"/>
        </w:rPr>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F20B6C">
      <w:pPr>
        <w:pStyle w:val="ASM"/>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206874" w:rsidP="00F20B6C">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F51F2D">
      <w:pPr>
        <w:pStyle w:val="ASM"/>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1A7B4D" w:rsidP="00F51F2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F51F2D">
      <w:pPr>
        <w:pStyle w:val="ASM"/>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F51F2D">
      <w:pPr>
        <w:pStyle w:val="ASM"/>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095DA2" w:rsidP="00F51F2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F51F2D">
      <w:pPr>
        <w:pStyle w:val="ASM"/>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095DA2" w:rsidP="00F51F2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686787">
      <w:pPr>
        <w:pStyle w:val="ASM"/>
        <w:rPr>
          <w:lang w:val="en-US"/>
        </w:rPr>
      </w:pPr>
      <w:r w:rsidRPr="00686787">
        <w:rPr>
          <w:b/>
          <w:bCs/>
          <w:lang w:val="en-US"/>
        </w:rPr>
        <w:t>Selection and Methods</w:t>
      </w:r>
    </w:p>
    <w:p w14:paraId="3E7CBB82" w14:textId="3F19AD7B" w:rsidR="00686787" w:rsidRPr="00686787" w:rsidRDefault="00686787" w:rsidP="00686787">
      <w:pPr>
        <w:pStyle w:val="ASM"/>
        <w:rPr>
          <w:lang w:val="en-US"/>
        </w:rPr>
      </w:pPr>
      <w:r w:rsidRPr="00686787">
        <w:rPr>
          <w:lang w:val="en-US"/>
        </w:rPr>
        <w:t xml:space="preserve">The bacteria and archaea taxonomic assignations were obtained by </w:t>
      </w:r>
      <w:proofErr w:type="spellStart"/>
      <w:r w:rsidRPr="00686787">
        <w:rPr>
          <w:lang w:val="en-US"/>
        </w:rPr>
        <w:t>analysing</w:t>
      </w:r>
      <w:proofErr w:type="spellEnd"/>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sequence identity using QIIME (</w:t>
      </w:r>
      <w:r w:rsidRPr="00A878F0">
        <w:rPr>
          <w:i/>
          <w:lang w:val="en-US"/>
        </w:rPr>
        <w:t>64</w:t>
      </w:r>
      <w:r w:rsidRPr="00686787">
        <w:rPr>
          <w:lang w:val="en-US"/>
        </w:rPr>
        <w:t>). Shotgun metagenomic sequencing (SMS) data (</w:t>
      </w:r>
      <w:r w:rsidRPr="00A878F0">
        <w:rPr>
          <w:i/>
          <w:lang w:val="en-US"/>
        </w:rPr>
        <w:t>49</w:t>
      </w:r>
      <w:r w:rsidRPr="00686787">
        <w:rPr>
          <w:lang w:val="en-US"/>
        </w:rPr>
        <w:t xml:space="preserve">) were </w:t>
      </w:r>
      <w:proofErr w:type="spellStart"/>
      <w:r w:rsidRPr="00686787">
        <w:rPr>
          <w:lang w:val="en-US"/>
        </w:rPr>
        <w:t>analysed</w:t>
      </w:r>
      <w:proofErr w:type="spellEnd"/>
      <w:r w:rsidRPr="00686787">
        <w:rPr>
          <w:lang w:val="en-US"/>
        </w:rPr>
        <w:t xml:space="preserve"> and assigned at strain level by the Livermore Metagenomic Analysis Toolkit (LMAT) (</w:t>
      </w:r>
      <w:r w:rsidRPr="00A878F0">
        <w:rPr>
          <w:i/>
          <w:lang w:val="en-US"/>
        </w:rPr>
        <w:t>65</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686787">
      <w:pPr>
        <w:pStyle w:val="ASM"/>
        <w:rPr>
          <w:lang w:val="en-US"/>
        </w:rPr>
      </w:pPr>
    </w:p>
    <w:p w14:paraId="6F867988" w14:textId="77777777" w:rsidR="00686787" w:rsidRPr="00686787" w:rsidRDefault="00686787" w:rsidP="00686787">
      <w:pPr>
        <w:pStyle w:val="ASM"/>
        <w:rPr>
          <w:lang w:val="en-US"/>
        </w:rPr>
      </w:pPr>
    </w:p>
    <w:p w14:paraId="7581C0D1" w14:textId="3B70BAA8" w:rsidR="00686787" w:rsidRPr="0023421E" w:rsidRDefault="00686787" w:rsidP="00686787">
      <w:pPr>
        <w:pStyle w:val="ASM"/>
        <w:rPr>
          <w:sz w:val="28"/>
          <w:lang w:val="en-US"/>
        </w:rPr>
      </w:pPr>
      <w:r w:rsidRPr="0023421E">
        <w:rPr>
          <w:b/>
          <w:bCs/>
          <w:sz w:val="28"/>
          <w:lang w:val="en-US"/>
        </w:rPr>
        <w:t>Sample selection</w:t>
      </w:r>
    </w:p>
    <w:p w14:paraId="0DCF010C" w14:textId="21278FCF" w:rsidR="00686787" w:rsidRPr="00686787" w:rsidRDefault="00686787" w:rsidP="00686787">
      <w:pPr>
        <w:pStyle w:val="ASM"/>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686787">
      <w:pPr>
        <w:pStyle w:val="ASM"/>
        <w:rPr>
          <w:lang w:val="en-US"/>
        </w:rPr>
      </w:pPr>
      <w:r w:rsidRPr="00686787">
        <w:rPr>
          <w:lang w:val="en-US"/>
        </w:rPr>
        <w:t xml:space="preserve">Metadata of each study is provided in Supplementary Tables S1 to S4. </w:t>
      </w:r>
      <w:proofErr w:type="gramStart"/>
      <w:r w:rsidRPr="00686787">
        <w:rPr>
          <w:lang w:val="en-US"/>
        </w:rPr>
        <w:t>All</w:t>
      </w:r>
      <w:proofErr w:type="gramEnd"/>
      <w:r w:rsidRPr="00686787">
        <w:rPr>
          <w:lang w:val="en-US"/>
        </w:rPr>
        <w:t xml:space="preserve">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E90587">
      <w:pPr>
        <w:pStyle w:val="ASM"/>
        <w:rPr>
          <w:b/>
          <w:lang w:val="en-US"/>
        </w:rPr>
      </w:pPr>
      <w:r w:rsidRPr="0023421E">
        <w:rPr>
          <w:b/>
          <w:lang w:val="en-US"/>
        </w:rPr>
        <w:t>16rRNA sequences processing</w:t>
      </w:r>
    </w:p>
    <w:p w14:paraId="36DCA02C" w14:textId="32198B3C" w:rsidR="00E90587" w:rsidRPr="00E90587" w:rsidRDefault="00E90587" w:rsidP="00E90587">
      <w:pPr>
        <w:pStyle w:val="ASM"/>
        <w:rPr>
          <w:lang w:val="en-US"/>
        </w:rPr>
      </w:pPr>
      <w:r w:rsidRPr="00E90587">
        <w:rPr>
          <w:lang w:val="en-US"/>
        </w:rPr>
        <w:lastRenderedPageBreak/>
        <w:t xml:space="preserve">Reads from the selected studies were first quality filtered using the </w:t>
      </w:r>
      <w:proofErr w:type="spellStart"/>
      <w:r w:rsidRPr="00E90587">
        <w:rPr>
          <w:lang w:val="en-US"/>
        </w:rPr>
        <w:t>FastX</w:t>
      </w:r>
      <w:proofErr w:type="spellEnd"/>
      <w:r w:rsidRPr="00E90587">
        <w:rPr>
          <w:lang w:val="en-US"/>
        </w:rPr>
        <w:t xml:space="preserve"> toolkit (66),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using QIIME package software (64) (version 1.8) We followed open reference OTU picking workflow in all cases. The clustering method used was </w:t>
      </w:r>
      <w:proofErr w:type="spellStart"/>
      <w:r w:rsidRPr="00E90587">
        <w:rPr>
          <w:lang w:val="en-US"/>
        </w:rPr>
        <w:t>uclust</w:t>
      </w:r>
      <w:proofErr w:type="spellEnd"/>
      <w:r w:rsidRPr="00E90587">
        <w:rPr>
          <w:lang w:val="en-US"/>
        </w:rPr>
        <w:t xml:space="preserve">, and the OTUs were matched against Silva database (67) (version 111, July 2012) and were assigned to taxonomy with an </w:t>
      </w:r>
      <w:proofErr w:type="spellStart"/>
      <w:r w:rsidRPr="00E90587">
        <w:rPr>
          <w:lang w:val="en-US"/>
        </w:rPr>
        <w:t>uclust</w:t>
      </w:r>
      <w:proofErr w:type="spellEnd"/>
      <w:r w:rsidRPr="00E90587">
        <w:rPr>
          <w:lang w:val="en-US"/>
        </w:rPr>
        <w:t xml:space="preserve">-based consensus taxonomy assigner. The 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E90587" w:rsidRDefault="00E90587" w:rsidP="00E90587">
      <w:pPr>
        <w:pStyle w:val="ASM"/>
        <w:rPr>
          <w:lang w:val="en-US"/>
        </w:rPr>
      </w:pPr>
      <w:r w:rsidRPr="00E90587">
        <w:rPr>
          <w:lang w:val="en-US"/>
        </w:rPr>
        <w:t>Metagenomic sequences processing</w:t>
      </w:r>
    </w:p>
    <w:p w14:paraId="398C4B7D" w14:textId="69AF050A" w:rsidR="00E90587" w:rsidRDefault="00E90587" w:rsidP="00E90587">
      <w:pPr>
        <w:pStyle w:val="ASM"/>
        <w:rPr>
          <w:lang w:val="en-US"/>
        </w:rPr>
      </w:pPr>
      <w:r w:rsidRPr="00E90587">
        <w:rPr>
          <w:lang w:val="en-US"/>
        </w:rPr>
        <w:t>Shotgun metagenomic (and 16S too) sequences were analyz</w:t>
      </w:r>
      <w:r w:rsidR="0023421E">
        <w:rPr>
          <w:lang w:val="en-US"/>
        </w:rPr>
        <w:t>ed with LMAT (Livermore Metage</w:t>
      </w:r>
      <w:r w:rsidRPr="00E90587">
        <w:rPr>
          <w:lang w:val="en-US"/>
        </w:rPr>
        <w:t>nomics Analysis Toolkit) software package (65) (version 1.2.4, with Feb’15 release of data base LMAT-Grand). 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Pr="00E90587">
        <w:rPr>
          <w:lang w:val="en-US"/>
        </w:rPr>
        <w:t xml:space="preserve">ogy), the E5-2698v3@2.3 GHz, sharing half a </w:t>
      </w:r>
      <w:proofErr w:type="spellStart"/>
      <w:r w:rsidRPr="00E90587">
        <w:rPr>
          <w:lang w:val="en-US"/>
        </w:rPr>
        <w:t>tebibyte</w:t>
      </w:r>
      <w:proofErr w:type="spellEnd"/>
      <w:r w:rsidRPr="00E90587">
        <w:rPr>
          <w:lang w:val="en-US"/>
        </w:rPr>
        <w:t xml:space="preserve"> (0.5 </w:t>
      </w:r>
      <w:proofErr w:type="spellStart"/>
      <w:r w:rsidRPr="00E90587">
        <w:rPr>
          <w:lang w:val="en-US"/>
        </w:rPr>
        <w:t>TiB</w:t>
      </w:r>
      <w:proofErr w:type="spellEnd"/>
      <w:r w:rsidRPr="00E90587">
        <w:rPr>
          <w:lang w:val="en-US"/>
        </w:rPr>
        <w:t xml:space="preserve">, that is, 512 </w:t>
      </w:r>
      <w:proofErr w:type="spellStart"/>
      <w:r w:rsidRPr="00E90587">
        <w:rPr>
          <w:lang w:val="en-US"/>
        </w:rPr>
        <w:t>gibibytes</w:t>
      </w:r>
      <w:proofErr w:type="spellEnd"/>
      <w:r w:rsidRPr="00E90587">
        <w:rPr>
          <w:lang w:val="en-US"/>
        </w:rPr>
        <w:t xml:space="preserve">) of DRAM memory. This node is also provided with a </w:t>
      </w:r>
      <w:proofErr w:type="spellStart"/>
      <w:r w:rsidRPr="00E90587">
        <w:rPr>
          <w:lang w:val="en-US"/>
        </w:rPr>
        <w:t>PCIe</w:t>
      </w:r>
      <w:proofErr w:type="spellEnd"/>
      <w:r w:rsidRPr="00E90587">
        <w:rPr>
          <w:lang w:val="en-US"/>
        </w:rPr>
        <w:t xml:space="preserve"> SSD card as NVRAM, the Micron P420m HHHL, with 1.4 TB, and 750000 reading IOPS, 4 KB, achieving 3.3 GB/s. The com- </w:t>
      </w:r>
      <w:proofErr w:type="spellStart"/>
      <w:r w:rsidRPr="00E90587">
        <w:rPr>
          <w:lang w:val="en-US"/>
        </w:rPr>
        <w:t>puting</w:t>
      </w:r>
      <w:proofErr w:type="spellEnd"/>
      <w:r w:rsidRPr="00E90587">
        <w:rPr>
          <w:lang w:val="en-US"/>
        </w:rPr>
        <w:t xml:space="preserve"> node was supplied with a RAID-0 (striping) scratch disk area. We used the “Grand” database (68), release Feb’15, provided by the LMAT team, where “Grand” refers to a huge database that contains k-</w:t>
      </w:r>
      <w:proofErr w:type="spellStart"/>
      <w:r w:rsidRPr="00E90587">
        <w:rPr>
          <w:lang w:val="en-US"/>
        </w:rPr>
        <w:t>mers</w:t>
      </w:r>
      <w:proofErr w:type="spellEnd"/>
      <w:r w:rsidRPr="00E90587">
        <w:rPr>
          <w:lang w:val="en-US"/>
        </w:rPr>
        <w:t xml:space="preserve"> from all viral, prokaryote, fungal and </w:t>
      </w:r>
      <w:proofErr w:type="spellStart"/>
      <w:r w:rsidRPr="00E90587">
        <w:rPr>
          <w:lang w:val="en-US"/>
        </w:rPr>
        <w:t>protist</w:t>
      </w:r>
      <w:proofErr w:type="spellEnd"/>
      <w:r w:rsidRPr="00E90587">
        <w:rPr>
          <w:lang w:val="en-US"/>
        </w:rPr>
        <w:t xml:space="preserve"> genomes present in the NCBI database, plus Human reference genome (hg19), plus </w:t>
      </w:r>
      <w:proofErr w:type="spellStart"/>
      <w:r w:rsidRPr="00E90587">
        <w:rPr>
          <w:lang w:val="en-US"/>
        </w:rPr>
        <w:t>GenBank</w:t>
      </w:r>
      <w:proofErr w:type="spellEnd"/>
      <w:r w:rsidRPr="00E90587">
        <w:rPr>
          <w:lang w:val="en-US"/>
        </w:rPr>
        <w:t xml:space="preserve"> Human, plus the 1000 Human Genomes Project (HGP) (this represent about 31.75 billion k-</w:t>
      </w:r>
      <w:proofErr w:type="spellStart"/>
      <w:r w:rsidRPr="00E90587">
        <w:rPr>
          <w:lang w:val="en-US"/>
        </w:rPr>
        <w:t>mers</w:t>
      </w:r>
      <w:proofErr w:type="spellEnd"/>
      <w:r w:rsidRPr="00E90587">
        <w:rPr>
          <w:lang w:val="en-US"/>
        </w:rPr>
        <w:t xml:space="preserve"> </w:t>
      </w:r>
      <w:proofErr w:type="spellStart"/>
      <w:r w:rsidRPr="00E90587">
        <w:rPr>
          <w:lang w:val="en-US"/>
        </w:rPr>
        <w:t>occu</w:t>
      </w:r>
      <w:proofErr w:type="spellEnd"/>
      <w:r w:rsidRPr="00E90587">
        <w:rPr>
          <w:lang w:val="en-US"/>
        </w:rPr>
        <w:t xml:space="preserve">- </w:t>
      </w:r>
      <w:proofErr w:type="spellStart"/>
      <w:r w:rsidRPr="00E90587">
        <w:rPr>
          <w:lang w:val="en-US"/>
        </w:rPr>
        <w:t>pying</w:t>
      </w:r>
      <w:proofErr w:type="spellEnd"/>
      <w:r w:rsidRPr="00E90587">
        <w:rPr>
          <w:lang w:val="en-US"/>
        </w:rPr>
        <w:t xml:space="preserve"> 457.62 GB) (68). Previously to any calculation, the full database was loaded in the NVRAM. With this configuration the observed LMAT sustained sequence classification rate was 20 </w:t>
      </w:r>
      <w:proofErr w:type="spellStart"/>
      <w:r w:rsidRPr="00E90587">
        <w:rPr>
          <w:lang w:val="en-US"/>
        </w:rPr>
        <w:t>kpb</w:t>
      </w:r>
      <w:proofErr w:type="spellEnd"/>
      <w:r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913FD9">
      <w:pPr>
        <w:pStyle w:val="ASM"/>
        <w:rPr>
          <w:b/>
          <w:lang w:val="en-US"/>
        </w:rPr>
      </w:pPr>
      <w:r w:rsidRPr="00913FD9">
        <w:rPr>
          <w:b/>
          <w:lang w:val="en-US"/>
        </w:rPr>
        <w:lastRenderedPageBreak/>
        <w:t>Taxa level robustness</w:t>
      </w:r>
    </w:p>
    <w:p w14:paraId="393072D6" w14:textId="77777777" w:rsidR="00913FD9" w:rsidRPr="00913FD9" w:rsidRDefault="00913FD9" w:rsidP="00913FD9">
      <w:pPr>
        <w:pStyle w:val="ASM"/>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467DB7">
      <w:pPr>
        <w:pStyle w:val="ASM"/>
        <w:rPr>
          <w:sz w:val="28"/>
          <w:lang w:val="en-US"/>
        </w:rPr>
      </w:pPr>
      <w:r w:rsidRPr="00467DB7">
        <w:rPr>
          <w:b/>
          <w:bCs/>
          <w:sz w:val="28"/>
          <w:lang w:val="en-US"/>
        </w:rPr>
        <w:t>X-weighted power-law fit</w:t>
      </w:r>
    </w:p>
    <w:p w14:paraId="2F52628B" w14:textId="77777777" w:rsidR="00467DB7" w:rsidRPr="00467DB7" w:rsidRDefault="00467DB7" w:rsidP="00467DB7">
      <w:pPr>
        <w:pStyle w:val="ASM"/>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8D6F78C" w:rsidR="00467DB7" w:rsidRPr="00467DB7" w:rsidRDefault="00467DB7" w:rsidP="00467DB7">
      <w:pPr>
        <w:pStyle w:val="ASM"/>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(resample </w:t>
      </w:r>
      <w:r w:rsidRPr="00467DB7">
        <w:rPr>
          <w:i/>
          <w:lang w:val="en-US"/>
        </w:rPr>
        <w:t xml:space="preserve">→ </w:t>
      </w:r>
      <w:r w:rsidRPr="00467DB7">
        <w:rPr>
          <w:lang w:val="en-US"/>
        </w:rPr>
        <w:t>sample) (</w:t>
      </w:r>
      <w:r w:rsidRPr="00A878F0">
        <w:rPr>
          <w:i/>
          <w:lang w:val="en-US"/>
        </w:rPr>
        <w:t>69</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721949" w:rsidP="00467DB7">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38FB83FC" w:rsidR="00467DB7" w:rsidRPr="00467DB7" w:rsidRDefault="00467DB7" w:rsidP="00467DB7">
      <w:pPr>
        <w:pStyle w:val="ASM"/>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w:t>
      </w:r>
      <w:r w:rsidRPr="00467DB7">
        <w:rPr>
          <w:lang w:val="en-US"/>
        </w:rPr>
        <w:lastRenderedPageBreak/>
        <w:t xml:space="preserve">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70</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E93677">
      <w:pPr>
        <w:pStyle w:val="ASM"/>
        <w:rPr>
          <w:sz w:val="28"/>
          <w:lang w:val="en-US"/>
        </w:rPr>
      </w:pPr>
      <w:r w:rsidRPr="00E93677">
        <w:rPr>
          <w:b/>
          <w:bCs/>
          <w:sz w:val="28"/>
          <w:lang w:val="en-US"/>
        </w:rPr>
        <w:t>Rank Stability Index</w:t>
      </w:r>
    </w:p>
    <w:p w14:paraId="3FC91943" w14:textId="23469D9C" w:rsidR="00E93677" w:rsidRPr="00E93677" w:rsidRDefault="00E93677" w:rsidP="00E93677">
      <w:pPr>
        <w:pStyle w:val="ASM"/>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E93677">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E93677">
      <w:pPr>
        <w:pStyle w:val="ASM"/>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E93677">
      <w:pPr>
        <w:pStyle w:val="ASM"/>
        <w:rPr>
          <w:lang w:val="en-US"/>
        </w:rPr>
      </w:pPr>
      <w:r w:rsidRPr="00E93677">
        <w:rPr>
          <w:b/>
          <w:bCs/>
          <w:lang w:val="en-US"/>
        </w:rPr>
        <w:t>Acknowledgments</w:t>
      </w:r>
    </w:p>
    <w:p w14:paraId="380AE8CD" w14:textId="77777777" w:rsidR="00E93677" w:rsidRPr="00E93677" w:rsidRDefault="00E93677" w:rsidP="00E93677">
      <w:pPr>
        <w:pStyle w:val="ASM"/>
        <w:rPr>
          <w:lang w:val="en-US"/>
        </w:rPr>
      </w:pPr>
      <w:r w:rsidRPr="00E93677">
        <w:rPr>
          <w:lang w:val="en-US"/>
        </w:rPr>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E93677">
      <w:pPr>
        <w:pStyle w:val="ASM"/>
        <w:rPr>
          <w:b/>
          <w:bCs/>
          <w:lang w:val="en-US"/>
        </w:rPr>
      </w:pPr>
    </w:p>
    <w:p w14:paraId="01F1A245" w14:textId="78066BAD" w:rsidR="00E93677" w:rsidRDefault="00E93677" w:rsidP="00E93677">
      <w:pPr>
        <w:pStyle w:val="ASM"/>
        <w:rPr>
          <w:lang w:val="en-US"/>
        </w:rPr>
      </w:pPr>
      <w:r w:rsidRPr="00E93677">
        <w:rPr>
          <w:b/>
          <w:bCs/>
          <w:lang w:val="en-US"/>
        </w:rPr>
        <w:lastRenderedPageBreak/>
        <w:t>Funding Information</w:t>
      </w:r>
    </w:p>
    <w:p w14:paraId="4D4E4C5A" w14:textId="7F6CE873" w:rsidR="00E93677" w:rsidRPr="00E93677" w:rsidRDefault="00E93677" w:rsidP="00E93677">
      <w:pPr>
        <w:pStyle w:val="ASM"/>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686787">
      <w:pPr>
        <w:pStyle w:val="ASM"/>
        <w:rPr>
          <w:b/>
          <w:sz w:val="28"/>
          <w:lang w:val="en-US"/>
        </w:rPr>
      </w:pPr>
      <w:r w:rsidRPr="00EE209B">
        <w:rPr>
          <w:b/>
          <w:sz w:val="28"/>
          <w:lang w:val="en-US"/>
        </w:rPr>
        <w:t>References</w:t>
      </w:r>
    </w:p>
    <w:p w14:paraId="7306F4F1" w14:textId="77777777" w:rsidR="00EB43BE" w:rsidRPr="00EB43BE" w:rsidRDefault="00EB43BE" w:rsidP="00EB43BE">
      <w:pPr>
        <w:pStyle w:val="ASM"/>
        <w:numPr>
          <w:ilvl w:val="0"/>
          <w:numId w:val="1"/>
        </w:numPr>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w:t>
      </w:r>
      <w:proofErr w:type="gramStart"/>
      <w:r w:rsidRPr="00EB43BE">
        <w:rPr>
          <w:lang w:val="en-US"/>
        </w:rPr>
        <w:t>the</w:t>
      </w:r>
      <w:proofErr w:type="gramEnd"/>
      <w:r w:rsidRPr="00EB43BE">
        <w:rPr>
          <w:lang w:val="en-US"/>
        </w:rPr>
        <w:t xml:space="preserv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EB43BE">
      <w:pPr>
        <w:pStyle w:val="ASM"/>
        <w:numPr>
          <w:ilvl w:val="0"/>
          <w:numId w:val="1"/>
        </w:numPr>
        <w:rPr>
          <w:lang w:val="en-US"/>
        </w:rPr>
      </w:pPr>
      <w:bookmarkStart w:id="2" w:name="_bookmark3"/>
      <w:bookmarkEnd w:id="2"/>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EB43BE">
      <w:pPr>
        <w:pStyle w:val="ASM"/>
        <w:numPr>
          <w:ilvl w:val="0"/>
          <w:numId w:val="1"/>
        </w:numPr>
        <w:rPr>
          <w:lang w:val="en-US"/>
        </w:rPr>
      </w:pPr>
      <w:bookmarkStart w:id="3" w:name="_bookmark4"/>
      <w:bookmarkEnd w:id="3"/>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4" w:name="_bookmark5"/>
      <w:bookmarkEnd w:id="4"/>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EB43BE">
      <w:pPr>
        <w:pStyle w:val="ASM"/>
        <w:numPr>
          <w:ilvl w:val="0"/>
          <w:numId w:val="1"/>
        </w:numPr>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EB43BE">
      <w:pPr>
        <w:pStyle w:val="ASM"/>
        <w:numPr>
          <w:ilvl w:val="0"/>
          <w:numId w:val="1"/>
        </w:numPr>
        <w:rPr>
          <w:lang w:val="en-US"/>
        </w:rPr>
      </w:pPr>
      <w:bookmarkStart w:id="5" w:name="_bookmark6"/>
      <w:bookmarkEnd w:id="5"/>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EB43BE">
      <w:pPr>
        <w:pStyle w:val="ASM"/>
        <w:numPr>
          <w:ilvl w:val="0"/>
          <w:numId w:val="1"/>
        </w:numPr>
        <w:rPr>
          <w:lang w:val="en-US"/>
        </w:rPr>
      </w:pPr>
      <w:bookmarkStart w:id="6" w:name="_bookmark7"/>
      <w:bookmarkEnd w:id="6"/>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EB43BE">
      <w:pPr>
        <w:pStyle w:val="ASM"/>
        <w:numPr>
          <w:ilvl w:val="0"/>
          <w:numId w:val="1"/>
        </w:numPr>
        <w:rPr>
          <w:lang w:val="en-US"/>
        </w:rPr>
      </w:pPr>
      <w:bookmarkStart w:id="7" w:name="_bookmark8"/>
      <w:bookmarkEnd w:id="7"/>
      <w:r w:rsidRPr="00EB43BE">
        <w:rPr>
          <w:b/>
          <w:bCs/>
          <w:lang w:val="en-US"/>
        </w:rPr>
        <w:lastRenderedPageBreak/>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EB43BE">
      <w:pPr>
        <w:pStyle w:val="ASM"/>
        <w:numPr>
          <w:ilvl w:val="0"/>
          <w:numId w:val="1"/>
        </w:numPr>
        <w:rPr>
          <w:lang w:val="en-US"/>
        </w:rPr>
      </w:pPr>
      <w:bookmarkStart w:id="8" w:name="_bookmark9"/>
      <w:bookmarkEnd w:id="8"/>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FF0F13">
      <w:pPr>
        <w:pStyle w:val="ASM"/>
        <w:numPr>
          <w:ilvl w:val="0"/>
          <w:numId w:val="1"/>
        </w:numPr>
        <w:rPr>
          <w:lang w:val="en-US"/>
        </w:rPr>
      </w:pPr>
      <w:bookmarkStart w:id="9" w:name="_bookmark10"/>
      <w:bookmarkEnd w:id="9"/>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0" w:name="_bookmark11"/>
      <w:bookmarkEnd w:id="10"/>
      <w:r w:rsidRPr="00EB43BE">
        <w:rPr>
          <w:b/>
          <w:bCs/>
          <w:lang w:val="en-US"/>
        </w:rPr>
        <w:t>461</w:t>
      </w:r>
      <w:r w:rsidRPr="00EB43BE">
        <w:rPr>
          <w:lang w:val="en-US"/>
        </w:rPr>
        <w:t>:1282–1286.</w:t>
      </w:r>
    </w:p>
    <w:p w14:paraId="62948D75" w14:textId="1082C733" w:rsidR="00EB43BE" w:rsidRPr="00FF0F13" w:rsidRDefault="00EB43BE" w:rsidP="00FF0F13">
      <w:pPr>
        <w:pStyle w:val="ASM"/>
        <w:numPr>
          <w:ilvl w:val="0"/>
          <w:numId w:val="1"/>
        </w:numPr>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EB43BE">
      <w:pPr>
        <w:pStyle w:val="ASM"/>
        <w:numPr>
          <w:ilvl w:val="0"/>
          <w:numId w:val="1"/>
        </w:numPr>
        <w:rPr>
          <w:lang w:val="en-US"/>
        </w:rPr>
      </w:pPr>
      <w:bookmarkStart w:id="11" w:name="_bookmark12"/>
      <w:bookmarkEnd w:id="11"/>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EB43BE">
      <w:pPr>
        <w:pStyle w:val="ASM"/>
        <w:numPr>
          <w:ilvl w:val="0"/>
          <w:numId w:val="1"/>
        </w:numPr>
        <w:rPr>
          <w:lang w:val="en-US"/>
        </w:rPr>
      </w:pPr>
      <w:bookmarkStart w:id="12" w:name="_bookmark13"/>
      <w:bookmarkEnd w:id="12"/>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EB43BE">
      <w:pPr>
        <w:pStyle w:val="ASM"/>
        <w:numPr>
          <w:ilvl w:val="0"/>
          <w:numId w:val="1"/>
        </w:numPr>
        <w:rPr>
          <w:lang w:val="en-US"/>
        </w:rPr>
      </w:pPr>
      <w:bookmarkStart w:id="13" w:name="_bookmark14"/>
      <w:bookmarkEnd w:id="13"/>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lastRenderedPageBreak/>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4" w:name="_bookmark15"/>
      <w:bookmarkEnd w:id="14"/>
      <w:r w:rsidRPr="00EB43BE">
        <w:rPr>
          <w:bCs/>
          <w:lang w:val="en-US"/>
        </w:rPr>
        <w:t>naive microbiome in new-onset Crohn’s disease. Cell Host Microbe 15:382–392.</w:t>
      </w:r>
    </w:p>
    <w:p w14:paraId="6CD2974E" w14:textId="77777777" w:rsidR="00EB43BE" w:rsidRPr="00EB43BE" w:rsidRDefault="00EB43BE" w:rsidP="00EB43BE">
      <w:pPr>
        <w:pStyle w:val="ASM"/>
        <w:rPr>
          <w:lang w:val="en-US"/>
        </w:rPr>
      </w:pPr>
    </w:p>
    <w:p w14:paraId="66036A91" w14:textId="77777777" w:rsidR="00EB43BE" w:rsidRPr="00EB43BE" w:rsidRDefault="00EB43BE" w:rsidP="00EB43BE">
      <w:pPr>
        <w:pStyle w:val="ASM"/>
        <w:numPr>
          <w:ilvl w:val="0"/>
          <w:numId w:val="1"/>
        </w:numPr>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5" w:name="_bookmark16"/>
      <w:bookmarkEnd w:id="15"/>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EB43BE">
      <w:pPr>
        <w:pStyle w:val="ASM"/>
        <w:numPr>
          <w:ilvl w:val="0"/>
          <w:numId w:val="1"/>
        </w:numPr>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6" w:name="_bookmark17"/>
      <w:bookmarkEnd w:id="16"/>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EB43BE">
      <w:pPr>
        <w:pStyle w:val="ASM"/>
        <w:numPr>
          <w:ilvl w:val="0"/>
          <w:numId w:val="1"/>
        </w:numPr>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EB43BE">
      <w:pPr>
        <w:pStyle w:val="ASM"/>
        <w:numPr>
          <w:ilvl w:val="0"/>
          <w:numId w:val="1"/>
        </w:numPr>
        <w:rPr>
          <w:lang w:val="en-US"/>
        </w:rPr>
      </w:pPr>
      <w:bookmarkStart w:id="17" w:name="_bookmark18"/>
      <w:bookmarkEnd w:id="17"/>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EB43BE">
      <w:pPr>
        <w:pStyle w:val="ASM"/>
        <w:numPr>
          <w:ilvl w:val="0"/>
          <w:numId w:val="1"/>
        </w:numPr>
        <w:rPr>
          <w:lang w:val="en-US"/>
        </w:rPr>
      </w:pPr>
      <w:bookmarkStart w:id="18" w:name="_bookmark19"/>
      <w:bookmarkEnd w:id="18"/>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19" w:name="_bookmark20"/>
      <w:bookmarkEnd w:id="19"/>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EB43BE">
      <w:pPr>
        <w:pStyle w:val="ASM"/>
        <w:numPr>
          <w:ilvl w:val="0"/>
          <w:numId w:val="1"/>
        </w:numPr>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EB43BE">
      <w:pPr>
        <w:pStyle w:val="ASM"/>
        <w:numPr>
          <w:ilvl w:val="0"/>
          <w:numId w:val="1"/>
        </w:numPr>
        <w:rPr>
          <w:lang w:val="en-US"/>
        </w:rPr>
      </w:pPr>
      <w:bookmarkStart w:id="20" w:name="_bookmark21"/>
      <w:bookmarkEnd w:id="20"/>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EB43BE">
      <w:pPr>
        <w:pStyle w:val="ASM"/>
        <w:numPr>
          <w:ilvl w:val="0"/>
          <w:numId w:val="1"/>
        </w:numPr>
        <w:rPr>
          <w:lang w:val="en-US"/>
        </w:rPr>
      </w:pPr>
      <w:bookmarkStart w:id="21" w:name="_bookmark22"/>
      <w:bookmarkEnd w:id="21"/>
      <w:proofErr w:type="spellStart"/>
      <w:r w:rsidRPr="00EB43BE">
        <w:rPr>
          <w:b/>
          <w:bCs/>
          <w:lang w:val="en-US"/>
        </w:rPr>
        <w:lastRenderedPageBreak/>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EB43BE">
      <w:pPr>
        <w:pStyle w:val="ASM"/>
        <w:numPr>
          <w:ilvl w:val="0"/>
          <w:numId w:val="1"/>
        </w:numPr>
        <w:rPr>
          <w:lang w:val="en-US"/>
        </w:rPr>
      </w:pPr>
      <w:bookmarkStart w:id="22" w:name="_bookmark23"/>
      <w:bookmarkEnd w:id="22"/>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EB43BE">
      <w:pPr>
        <w:pStyle w:val="ASM"/>
        <w:numPr>
          <w:ilvl w:val="0"/>
          <w:numId w:val="1"/>
        </w:numPr>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3" w:name="_bookmark24"/>
      <w:bookmarkEnd w:id="23"/>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EB43BE">
      <w:pPr>
        <w:pStyle w:val="ASM"/>
        <w:numPr>
          <w:ilvl w:val="0"/>
          <w:numId w:val="1"/>
        </w:numPr>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4" w:name="_bookmark25"/>
      <w:bookmarkEnd w:id="24"/>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EB43BE">
      <w:pPr>
        <w:pStyle w:val="ASM"/>
        <w:numPr>
          <w:ilvl w:val="0"/>
          <w:numId w:val="1"/>
        </w:numPr>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EB43BE">
      <w:pPr>
        <w:pStyle w:val="ASM"/>
        <w:numPr>
          <w:ilvl w:val="0"/>
          <w:numId w:val="1"/>
        </w:numPr>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EB43BE">
      <w:pPr>
        <w:pStyle w:val="ASM"/>
        <w:numPr>
          <w:ilvl w:val="0"/>
          <w:numId w:val="1"/>
        </w:numPr>
        <w:rPr>
          <w:lang w:val="en-US"/>
        </w:rPr>
      </w:pPr>
      <w:bookmarkStart w:id="25" w:name="_bookmark26"/>
      <w:bookmarkEnd w:id="25"/>
      <w:proofErr w:type="spellStart"/>
      <w:r w:rsidRPr="00EB43BE">
        <w:rPr>
          <w:b/>
          <w:bCs/>
          <w:lang w:val="en-US"/>
        </w:rPr>
        <w:lastRenderedPageBreak/>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EB43BE">
      <w:pPr>
        <w:pStyle w:val="ASM"/>
        <w:numPr>
          <w:ilvl w:val="0"/>
          <w:numId w:val="1"/>
        </w:numPr>
        <w:rPr>
          <w:lang w:val="en-US"/>
        </w:rPr>
      </w:pPr>
      <w:bookmarkStart w:id="26" w:name="_bookmark27"/>
      <w:bookmarkEnd w:id="26"/>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EB43BE">
      <w:pPr>
        <w:pStyle w:val="ASM"/>
        <w:numPr>
          <w:ilvl w:val="0"/>
          <w:numId w:val="1"/>
        </w:numPr>
        <w:rPr>
          <w:lang w:val="en-US"/>
        </w:rPr>
      </w:pPr>
      <w:bookmarkStart w:id="27" w:name="_bookmark28"/>
      <w:bookmarkEnd w:id="27"/>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EB43BE">
      <w:pPr>
        <w:pStyle w:val="ASM"/>
        <w:numPr>
          <w:ilvl w:val="0"/>
          <w:numId w:val="1"/>
        </w:numPr>
        <w:rPr>
          <w:lang w:val="en-US"/>
        </w:rPr>
      </w:pPr>
      <w:bookmarkStart w:id="28" w:name="_bookmark29"/>
      <w:bookmarkEnd w:id="28"/>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29" w:name="_bookmark30"/>
      <w:bookmarkEnd w:id="29"/>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EB43BE">
      <w:pPr>
        <w:pStyle w:val="ASM"/>
        <w:numPr>
          <w:ilvl w:val="0"/>
          <w:numId w:val="1"/>
        </w:numPr>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0" w:name="_bookmark31"/>
      <w:bookmarkEnd w:id="30"/>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EB43BE">
      <w:pPr>
        <w:pStyle w:val="ASM"/>
        <w:numPr>
          <w:ilvl w:val="0"/>
          <w:numId w:val="1"/>
        </w:numPr>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EB43BE">
      <w:pPr>
        <w:pStyle w:val="ASM"/>
        <w:numPr>
          <w:ilvl w:val="0"/>
          <w:numId w:val="1"/>
        </w:numPr>
        <w:rPr>
          <w:lang w:val="en-US"/>
        </w:rPr>
      </w:pPr>
      <w:bookmarkStart w:id="31" w:name="_bookmark32"/>
      <w:bookmarkEnd w:id="31"/>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2" w:name="_bookmark33"/>
      <w:bookmarkEnd w:id="32"/>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EB43BE">
      <w:pPr>
        <w:pStyle w:val="ASM"/>
        <w:numPr>
          <w:ilvl w:val="0"/>
          <w:numId w:val="1"/>
        </w:numPr>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EB43BE">
      <w:pPr>
        <w:pStyle w:val="ASM"/>
        <w:numPr>
          <w:ilvl w:val="0"/>
          <w:numId w:val="1"/>
        </w:numPr>
        <w:rPr>
          <w:lang w:val="en-US"/>
        </w:rPr>
      </w:pPr>
      <w:bookmarkStart w:id="33" w:name="_bookmark34"/>
      <w:bookmarkEnd w:id="33"/>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EB43BE">
      <w:pPr>
        <w:pStyle w:val="ASM"/>
        <w:numPr>
          <w:ilvl w:val="0"/>
          <w:numId w:val="1"/>
        </w:numPr>
        <w:rPr>
          <w:lang w:val="en-US"/>
        </w:rPr>
      </w:pPr>
      <w:bookmarkStart w:id="34" w:name="_bookmark35"/>
      <w:bookmarkEnd w:id="34"/>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EB43BE">
      <w:pPr>
        <w:pStyle w:val="ASM"/>
        <w:numPr>
          <w:ilvl w:val="0"/>
          <w:numId w:val="1"/>
        </w:numPr>
        <w:rPr>
          <w:lang w:val="en-US"/>
        </w:rPr>
      </w:pPr>
      <w:bookmarkStart w:id="35" w:name="_bookmark36"/>
      <w:bookmarkEnd w:id="35"/>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EB43BE">
      <w:pPr>
        <w:pStyle w:val="ASM"/>
        <w:numPr>
          <w:ilvl w:val="0"/>
          <w:numId w:val="1"/>
        </w:numPr>
        <w:rPr>
          <w:lang w:val="en-US"/>
        </w:rPr>
      </w:pPr>
      <w:bookmarkStart w:id="36" w:name="_bookmark37"/>
      <w:bookmarkEnd w:id="36"/>
      <w:r w:rsidRPr="00EB43BE">
        <w:rPr>
          <w:b/>
          <w:bCs/>
          <w:lang w:val="en-US"/>
        </w:rPr>
        <w:lastRenderedPageBreak/>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7" w:name="_bookmark38"/>
      <w:bookmarkEnd w:id="37"/>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EB43BE">
      <w:pPr>
        <w:pStyle w:val="ASM"/>
        <w:numPr>
          <w:ilvl w:val="0"/>
          <w:numId w:val="1"/>
        </w:numPr>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EB43BE">
      <w:pPr>
        <w:pStyle w:val="ASM"/>
        <w:numPr>
          <w:ilvl w:val="0"/>
          <w:numId w:val="1"/>
        </w:numPr>
        <w:rPr>
          <w:lang w:val="en-US"/>
        </w:rPr>
      </w:pPr>
      <w:bookmarkStart w:id="38" w:name="_bookmark39"/>
      <w:bookmarkEnd w:id="38"/>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39" w:name="_bookmark40"/>
      <w:bookmarkEnd w:id="39"/>
      <w:r w:rsidRPr="00EB43BE">
        <w:rPr>
          <w:b/>
          <w:bCs/>
          <w:lang w:val="en-US"/>
        </w:rPr>
        <w:t>8</w:t>
      </w:r>
      <w:r w:rsidRPr="00EB43BE">
        <w:rPr>
          <w:lang w:val="en-US"/>
        </w:rPr>
        <w:t>:316–319.</w:t>
      </w:r>
    </w:p>
    <w:p w14:paraId="35B32D43" w14:textId="7561D7CC" w:rsidR="00EB43BE" w:rsidRPr="00EB43BE" w:rsidRDefault="00EB43BE" w:rsidP="00EB43BE">
      <w:pPr>
        <w:pStyle w:val="ASM"/>
        <w:numPr>
          <w:ilvl w:val="0"/>
          <w:numId w:val="1"/>
        </w:numPr>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EB43BE">
      <w:pPr>
        <w:pStyle w:val="ASM"/>
        <w:numPr>
          <w:ilvl w:val="0"/>
          <w:numId w:val="1"/>
        </w:numPr>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EB43BE">
      <w:pPr>
        <w:pStyle w:val="ASM"/>
        <w:numPr>
          <w:ilvl w:val="0"/>
          <w:numId w:val="1"/>
        </w:numPr>
        <w:rPr>
          <w:lang w:val="en-US"/>
        </w:rPr>
      </w:pPr>
      <w:bookmarkStart w:id="40" w:name="_bookmark41"/>
      <w:bookmarkEnd w:id="40"/>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EB43BE">
      <w:pPr>
        <w:pStyle w:val="ASM"/>
        <w:numPr>
          <w:ilvl w:val="0"/>
          <w:numId w:val="1"/>
        </w:numPr>
        <w:rPr>
          <w:lang w:val="en-US"/>
        </w:rPr>
      </w:pPr>
      <w:bookmarkStart w:id="41" w:name="_bookmark42"/>
      <w:bookmarkEnd w:id="41"/>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EB43BE">
      <w:pPr>
        <w:pStyle w:val="ASM"/>
        <w:numPr>
          <w:ilvl w:val="0"/>
          <w:numId w:val="1"/>
        </w:numPr>
        <w:rPr>
          <w:lang w:val="en-US"/>
        </w:rPr>
      </w:pPr>
      <w:bookmarkStart w:id="42" w:name="_bookmark43"/>
      <w:bookmarkEnd w:id="42"/>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EB43BE">
      <w:pPr>
        <w:pStyle w:val="ASM"/>
        <w:numPr>
          <w:ilvl w:val="0"/>
          <w:numId w:val="1"/>
        </w:numPr>
        <w:rPr>
          <w:lang w:val="en-US"/>
        </w:rPr>
      </w:pPr>
      <w:bookmarkStart w:id="43" w:name="_bookmark44"/>
      <w:bookmarkEnd w:id="43"/>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EB43BE">
      <w:pPr>
        <w:pStyle w:val="ASM"/>
        <w:numPr>
          <w:ilvl w:val="0"/>
          <w:numId w:val="1"/>
        </w:numPr>
        <w:rPr>
          <w:lang w:val="en-US"/>
        </w:rPr>
      </w:pPr>
      <w:bookmarkStart w:id="44" w:name="_bookmark45"/>
      <w:bookmarkEnd w:id="44"/>
      <w:proofErr w:type="spellStart"/>
      <w:r w:rsidRPr="00EB43BE">
        <w:rPr>
          <w:b/>
          <w:bCs/>
          <w:lang w:val="en-US"/>
        </w:rPr>
        <w:lastRenderedPageBreak/>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5" w:name="_bookmark46"/>
      <w:bookmarkEnd w:id="45"/>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EB43BE">
      <w:pPr>
        <w:pStyle w:val="ASM"/>
        <w:numPr>
          <w:ilvl w:val="0"/>
          <w:numId w:val="1"/>
        </w:numPr>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EB43BE">
      <w:pPr>
        <w:pStyle w:val="ASM"/>
        <w:numPr>
          <w:ilvl w:val="0"/>
          <w:numId w:val="1"/>
        </w:numPr>
        <w:rPr>
          <w:lang w:val="en-US"/>
        </w:rPr>
      </w:pPr>
      <w:bookmarkStart w:id="46" w:name="_bookmark47"/>
      <w:bookmarkEnd w:id="46"/>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EB43BE">
      <w:pPr>
        <w:pStyle w:val="ASM"/>
        <w:numPr>
          <w:ilvl w:val="0"/>
          <w:numId w:val="1"/>
        </w:numPr>
        <w:rPr>
          <w:lang w:val="en-US"/>
        </w:rPr>
      </w:pPr>
      <w:bookmarkStart w:id="47" w:name="_bookmark48"/>
      <w:bookmarkEnd w:id="47"/>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EB43BE">
      <w:pPr>
        <w:pStyle w:val="ASM"/>
        <w:numPr>
          <w:ilvl w:val="0"/>
          <w:numId w:val="1"/>
        </w:numPr>
        <w:rPr>
          <w:lang w:val="en-US"/>
        </w:rPr>
      </w:pPr>
      <w:bookmarkStart w:id="48" w:name="_bookmark49"/>
      <w:bookmarkEnd w:id="48"/>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49" w:name="_bookmark50"/>
      <w:bookmarkEnd w:id="49"/>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EB43BE">
      <w:pPr>
        <w:pStyle w:val="ASM"/>
        <w:numPr>
          <w:ilvl w:val="0"/>
          <w:numId w:val="1"/>
        </w:numPr>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EB43BE">
      <w:pPr>
        <w:pStyle w:val="ASM"/>
        <w:numPr>
          <w:ilvl w:val="0"/>
          <w:numId w:val="1"/>
        </w:numPr>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EB43BE">
      <w:pPr>
        <w:pStyle w:val="ASM"/>
        <w:numPr>
          <w:ilvl w:val="0"/>
          <w:numId w:val="1"/>
        </w:numPr>
        <w:rPr>
          <w:lang w:val="en-US"/>
        </w:rPr>
      </w:pPr>
      <w:bookmarkStart w:id="50" w:name="_bookmark51"/>
      <w:bookmarkEnd w:id="50"/>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1" w:name="_bookmark52"/>
      <w:bookmarkEnd w:id="51"/>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EB43BE">
      <w:pPr>
        <w:pStyle w:val="ASM"/>
        <w:numPr>
          <w:ilvl w:val="0"/>
          <w:numId w:val="1"/>
        </w:numPr>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EB43BE">
      <w:pPr>
        <w:pStyle w:val="ASM"/>
        <w:numPr>
          <w:ilvl w:val="0"/>
          <w:numId w:val="1"/>
        </w:numPr>
        <w:rPr>
          <w:lang w:val="en-US"/>
        </w:rPr>
      </w:pPr>
      <w:bookmarkStart w:id="52" w:name="_bookmark53"/>
      <w:bookmarkEnd w:id="52"/>
      <w:r w:rsidRPr="00EB43BE">
        <w:rPr>
          <w:b/>
          <w:bCs/>
          <w:lang w:val="en-US"/>
        </w:rPr>
        <w:lastRenderedPageBreak/>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EB43BE">
      <w:pPr>
        <w:pStyle w:val="ASM"/>
        <w:numPr>
          <w:ilvl w:val="0"/>
          <w:numId w:val="1"/>
        </w:numPr>
        <w:rPr>
          <w:lang w:val="en-US"/>
        </w:rPr>
      </w:pPr>
      <w:bookmarkStart w:id="53" w:name="_bookmark54"/>
      <w:bookmarkEnd w:id="53"/>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EB43BE">
      <w:pPr>
        <w:pStyle w:val="ASM"/>
        <w:numPr>
          <w:ilvl w:val="0"/>
          <w:numId w:val="1"/>
        </w:numPr>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EB43BE">
      <w:pPr>
        <w:pStyle w:val="ASM"/>
        <w:numPr>
          <w:ilvl w:val="0"/>
          <w:numId w:val="1"/>
        </w:numPr>
        <w:rPr>
          <w:lang w:val="en-US"/>
        </w:rPr>
      </w:pPr>
      <w:bookmarkStart w:id="54" w:name="_bookmark55"/>
      <w:bookmarkEnd w:id="54"/>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5" w:name="_bookmark56"/>
      <w:bookmarkEnd w:id="55"/>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EB43BE">
      <w:pPr>
        <w:pStyle w:val="ASM"/>
        <w:numPr>
          <w:ilvl w:val="0"/>
          <w:numId w:val="1"/>
        </w:numPr>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6" w:name="_bookmark57"/>
      <w:bookmarkEnd w:id="56"/>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Pr="00FF0F13" w:rsidRDefault="00EB43BE" w:rsidP="00EB43BE">
      <w:pPr>
        <w:pStyle w:val="ASM"/>
        <w:numPr>
          <w:ilvl w:val="0"/>
          <w:numId w:val="1"/>
        </w:numPr>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0BBA0DA" w14:textId="3A5D0742" w:rsidR="00EB43BE" w:rsidRPr="00FF0F13" w:rsidRDefault="00EB43BE" w:rsidP="00EB43BE">
      <w:pPr>
        <w:pStyle w:val="ASM"/>
        <w:numPr>
          <w:ilvl w:val="0"/>
          <w:numId w:val="1"/>
        </w:numPr>
        <w:rPr>
          <w:lang w:val="en-US"/>
        </w:rPr>
      </w:pPr>
      <w:bookmarkStart w:id="57" w:name="_bookmark58"/>
      <w:bookmarkEnd w:id="57"/>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EB43BE">
      <w:pPr>
        <w:pStyle w:val="ASM"/>
        <w:numPr>
          <w:ilvl w:val="0"/>
          <w:numId w:val="1"/>
        </w:numPr>
        <w:rPr>
          <w:lang w:val="en-US"/>
        </w:rPr>
      </w:pPr>
      <w:bookmarkStart w:id="58" w:name="_bookmark59"/>
      <w:bookmarkEnd w:id="58"/>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EB43BE">
      <w:pPr>
        <w:pStyle w:val="ASM"/>
        <w:numPr>
          <w:ilvl w:val="0"/>
          <w:numId w:val="1"/>
        </w:numPr>
        <w:rPr>
          <w:lang w:val="en-US"/>
        </w:rPr>
      </w:pPr>
      <w:bookmarkStart w:id="59" w:name="_bookmark60"/>
      <w:bookmarkEnd w:id="59"/>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w:t>
      </w:r>
      <w:r w:rsidRPr="00EB43BE">
        <w:rPr>
          <w:bCs/>
          <w:lang w:val="en-US"/>
        </w:rPr>
        <w:lastRenderedPageBreak/>
        <w:t xml:space="preserve">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EB43BE">
      <w:pPr>
        <w:pStyle w:val="ASM"/>
        <w:numPr>
          <w:ilvl w:val="0"/>
          <w:numId w:val="1"/>
        </w:numPr>
        <w:rPr>
          <w:lang w:val="en-US"/>
        </w:rPr>
      </w:pPr>
      <w:bookmarkStart w:id="60" w:name="_bookmark61"/>
      <w:bookmarkEnd w:id="60"/>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1" w:name="_bookmark62"/>
      <w:bookmarkEnd w:id="61"/>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EB43BE">
      <w:pPr>
        <w:pStyle w:val="ASM"/>
        <w:numPr>
          <w:ilvl w:val="0"/>
          <w:numId w:val="1"/>
        </w:numPr>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0">
        <w:r w:rsidRPr="00EB43BE">
          <w:rPr>
            <w:rStyle w:val="Hipervnculo"/>
            <w:lang w:val="en-US"/>
          </w:rPr>
          <w:t>http:</w:t>
        </w:r>
        <w:bookmarkStart w:id="62" w:name="_bookmark63"/>
        <w:bookmarkEnd w:id="62"/>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EB43BE">
      <w:pPr>
        <w:pStyle w:val="ASM"/>
        <w:numPr>
          <w:ilvl w:val="0"/>
          <w:numId w:val="1"/>
        </w:numPr>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3" w:name="_bookmark64"/>
      <w:bookmarkEnd w:id="63"/>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EB43BE">
      <w:pPr>
        <w:pStyle w:val="ASM"/>
        <w:numPr>
          <w:ilvl w:val="0"/>
          <w:numId w:val="1"/>
        </w:numPr>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4" w:name="_bookmark65"/>
      <w:bookmarkEnd w:id="64"/>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EB43BE">
      <w:pPr>
        <w:pStyle w:val="ASM"/>
        <w:numPr>
          <w:ilvl w:val="0"/>
          <w:numId w:val="1"/>
        </w:numPr>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EB43BE">
      <w:pPr>
        <w:pStyle w:val="ASM"/>
        <w:numPr>
          <w:ilvl w:val="0"/>
          <w:numId w:val="1"/>
        </w:numPr>
        <w:rPr>
          <w:lang w:val="en-US"/>
        </w:rPr>
      </w:pPr>
      <w:bookmarkStart w:id="65" w:name="_bookmark66"/>
      <w:bookmarkEnd w:id="65"/>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686787">
      <w:pPr>
        <w:pStyle w:val="ASM"/>
        <w:rPr>
          <w:lang w:val="en-US"/>
        </w:rPr>
      </w:pPr>
    </w:p>
    <w:p w14:paraId="3E053495" w14:textId="4CA20865" w:rsidR="00722AEF" w:rsidRPr="00722AEF" w:rsidRDefault="00722AEF" w:rsidP="00722AEF">
      <w:pPr>
        <w:pStyle w:val="ASM"/>
        <w:rPr>
          <w:lang w:val="en-US"/>
        </w:rPr>
      </w:pPr>
      <w:r w:rsidRPr="00722AEF">
        <w:rPr>
          <w:b/>
          <w:bCs/>
          <w:lang w:val="en-US"/>
        </w:rPr>
        <w:t xml:space="preserve">Figure 1. </w:t>
      </w:r>
      <w:r w:rsidRPr="00722AEF">
        <w:rPr>
          <w:lang w:val="en-US"/>
        </w:rPr>
        <w:t>X-weighted power-law fits of the standard deviations (</w:t>
      </w:r>
      <w:proofErr w:type="spellStart"/>
      <w:r w:rsidRPr="00722AEF">
        <w:rPr>
          <w:lang w:val="en-US"/>
        </w:rPr>
        <w:t>std</w:t>
      </w:r>
      <w:proofErr w:type="spellEnd"/>
      <w:r w:rsidRPr="00722AEF">
        <w:rPr>
          <w:lang w:val="en-US"/>
        </w:rPr>
        <w:t>) 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722AEF">
      <w:pPr>
        <w:pStyle w:val="ASM"/>
        <w:rPr>
          <w:lang w:val="en-US"/>
        </w:rPr>
      </w:pPr>
    </w:p>
    <w:p w14:paraId="053DE77A" w14:textId="421A7E4B" w:rsidR="00722AEF" w:rsidRPr="00722AEF" w:rsidRDefault="00722AEF" w:rsidP="00722AEF">
      <w:pPr>
        <w:pStyle w:val="ASM"/>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w:t>
      </w:r>
      <w:r w:rsidRPr="00722AEF">
        <w:rPr>
          <w:lang w:val="en-US"/>
        </w:rPr>
        <w:lastRenderedPageBreak/>
        <w:t>individuals in the Taylor parameter space, while dashed line delimits the 98% CL region. Points with errors place each individual gut microbiome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722AEF">
      <w:pPr>
        <w:pStyle w:val="ASM"/>
        <w:rPr>
          <w:lang w:val="en-US"/>
        </w:rPr>
      </w:pPr>
    </w:p>
    <w:p w14:paraId="38557779" w14:textId="5059BE77" w:rsidR="00722AEF" w:rsidRPr="00722AEF" w:rsidRDefault="00722AEF" w:rsidP="00722AEF">
      <w:pPr>
        <w:pStyle w:val="ASM"/>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722AEF">
      <w:pPr>
        <w:pStyle w:val="ASM"/>
        <w:rPr>
          <w:lang w:val="en-US"/>
        </w:rPr>
      </w:pPr>
    </w:p>
    <w:p w14:paraId="2A0054AA" w14:textId="5EEDE5EA" w:rsidR="00722AEF" w:rsidRPr="00722AEF" w:rsidRDefault="00722AEF" w:rsidP="00722AEF">
      <w:pPr>
        <w:pStyle w:val="ASM"/>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722AEF">
      <w:pPr>
        <w:pStyle w:val="ASM"/>
        <w:rPr>
          <w:lang w:val="en-US"/>
        </w:rPr>
      </w:pPr>
    </w:p>
    <w:p w14:paraId="0AC4EFFC" w14:textId="1E4DA3F4" w:rsidR="00722AEF" w:rsidRPr="00722AEF" w:rsidRDefault="00722AEF" w:rsidP="00722AEF">
      <w:pPr>
        <w:pStyle w:val="ASM"/>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722AEF">
      <w:pPr>
        <w:pStyle w:val="ASM"/>
        <w:rPr>
          <w:lang w:val="en-US"/>
        </w:rPr>
      </w:pPr>
    </w:p>
    <w:p w14:paraId="24535787" w14:textId="77777777" w:rsidR="00722AEF" w:rsidRPr="00722AEF" w:rsidRDefault="00722AEF" w:rsidP="00722AEF">
      <w:pPr>
        <w:pStyle w:val="ASM"/>
        <w:rPr>
          <w:lang w:val="en-US"/>
        </w:rPr>
      </w:pPr>
    </w:p>
    <w:p w14:paraId="2C518B9E" w14:textId="09601146" w:rsidR="00722AEF" w:rsidRPr="00722AEF" w:rsidRDefault="00722AEF" w:rsidP="00722AEF">
      <w:pPr>
        <w:pStyle w:val="ASM"/>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722AEF">
      <w:pPr>
        <w:pStyle w:val="ASM"/>
        <w:rPr>
          <w:lang w:val="en-US"/>
        </w:rPr>
      </w:pPr>
    </w:p>
    <w:p w14:paraId="174F4C3E" w14:textId="1A688849" w:rsidR="00722AEF" w:rsidRPr="00722AEF" w:rsidRDefault="00722AEF" w:rsidP="00722AEF">
      <w:pPr>
        <w:pStyle w:val="ASM"/>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bookmarkStart w:id="66" w:name="_GoBack"/>
      <w:bookmarkEnd w:id="66"/>
      <w:r w:rsidRPr="00722AEF">
        <w:rPr>
          <w:lang w:val="en-US"/>
        </w:rPr>
        <w:t>) (lower plot). The blue vertical lines in the lower plot are showing the periods of antibiotic treatment.</w:t>
      </w:r>
    </w:p>
    <w:p w14:paraId="582C98E0" w14:textId="77777777" w:rsidR="00722AEF" w:rsidRPr="00722AEF" w:rsidRDefault="00722AEF" w:rsidP="00722AEF">
      <w:pPr>
        <w:pStyle w:val="ASM"/>
        <w:rPr>
          <w:lang w:val="en-US"/>
        </w:rPr>
      </w:pPr>
    </w:p>
    <w:p w14:paraId="41F1A59D" w14:textId="77777777" w:rsidR="00722AEF" w:rsidRPr="00722AEF" w:rsidRDefault="00722AEF" w:rsidP="00722AEF">
      <w:pPr>
        <w:pStyle w:val="ASM"/>
        <w:rPr>
          <w:lang w:val="en-US"/>
        </w:rPr>
      </w:pPr>
      <w:r w:rsidRPr="00722AEF">
        <w:rPr>
          <w:b/>
          <w:lang w:val="en-US"/>
        </w:rPr>
        <w:t xml:space="preserve">Figure 8. </w:t>
      </w:r>
      <w:r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722AEF">
      <w:pPr>
        <w:pStyle w:val="ASM"/>
        <w:rPr>
          <w:lang w:val="en-US"/>
        </w:rPr>
      </w:pPr>
    </w:p>
    <w:p w14:paraId="23E38A90" w14:textId="77777777" w:rsidR="00722AEF" w:rsidRPr="00722AEF" w:rsidRDefault="00722AEF" w:rsidP="00722AEF">
      <w:pPr>
        <w:pStyle w:val="ASM"/>
        <w:rPr>
          <w:lang w:val="en-US"/>
        </w:rPr>
      </w:pPr>
      <w:r w:rsidRPr="00722AEF">
        <w:rPr>
          <w:b/>
          <w:lang w:val="en-US"/>
        </w:rPr>
        <w:t xml:space="preserve">Figure 9. </w:t>
      </w:r>
      <w:r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p w14:paraId="4A26B552" w14:textId="77777777" w:rsidR="00095DA2" w:rsidRPr="00095DA2" w:rsidRDefault="00095DA2" w:rsidP="00F51F2D">
      <w:pPr>
        <w:pStyle w:val="ASM"/>
        <w:rPr>
          <w:lang w:val="en-US"/>
        </w:rPr>
      </w:pPr>
    </w:p>
    <w:sectPr w:rsidR="00095DA2" w:rsidRPr="00095DA2" w:rsidSect="00510477">
      <w:footerReference w:type="default" r:id="rId11"/>
      <w:pgSz w:w="12240" w:h="15840" w:code="1"/>
      <w:pgMar w:top="1417" w:right="1701" w:bottom="1417" w:left="1701" w:header="708" w:footer="708" w:gutter="0"/>
      <w:cols w:space="708"/>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4BC80" w14:textId="77777777" w:rsidR="00405785" w:rsidRDefault="00405785" w:rsidP="00917718">
      <w:pPr>
        <w:spacing w:after="0" w:line="240" w:lineRule="auto"/>
      </w:pPr>
      <w:r>
        <w:separator/>
      </w:r>
    </w:p>
  </w:endnote>
  <w:endnote w:type="continuationSeparator" w:id="0">
    <w:p w14:paraId="5E98C4B9" w14:textId="77777777" w:rsidR="00405785" w:rsidRDefault="00405785"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FF0F13" w:rsidRDefault="00FF0F13"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FF0F13" w:rsidRDefault="00FF0F1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FF0F13" w:rsidRDefault="00FF0F13"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5DE6">
      <w:rPr>
        <w:rStyle w:val="Nmerodepgina"/>
        <w:noProof/>
      </w:rPr>
      <w:t>2</w:t>
    </w:r>
    <w:r>
      <w:rPr>
        <w:rStyle w:val="Nmerodepgina"/>
      </w:rPr>
      <w:fldChar w:fldCharType="end"/>
    </w:r>
  </w:p>
  <w:p w14:paraId="0FC5CDE6" w14:textId="27F3A154" w:rsidR="00FF0F13" w:rsidRDefault="00FF0F13">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722AEF" w:rsidRDefault="00722AEF">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7216;mso-position-horizontal-relative:page;mso-position-vertical-relative:page" filled="f" stroked="f">
          <v:textbox style="mso-next-textbox:#_x0000_s2052" inset="0,0,0,0">
            <w:txbxContent>
              <w:p w14:paraId="3F5D39D2" w14:textId="77777777" w:rsidR="00722AEF" w:rsidRDefault="00722AEF">
                <w:pPr>
                  <w:pStyle w:val="Textoindependiente"/>
                  <w:spacing w:line="254" w:lineRule="exact"/>
                  <w:ind w:left="40"/>
                </w:pPr>
                <w:r>
                  <w:fldChar w:fldCharType="begin"/>
                </w:r>
                <w:r>
                  <w:rPr>
                    <w:w w:val="110"/>
                  </w:rPr>
                  <w:instrText xml:space="preserve"> PAGE </w:instrText>
                </w:r>
                <w:r>
                  <w:fldChar w:fldCharType="separate"/>
                </w:r>
                <w:r w:rsidR="00A878F0">
                  <w:rPr>
                    <w:noProof/>
                    <w:w w:val="110"/>
                  </w:rPr>
                  <w:t>29</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97889" w14:textId="77777777" w:rsidR="00405785" w:rsidRDefault="00405785" w:rsidP="00917718">
      <w:pPr>
        <w:spacing w:after="0" w:line="240" w:lineRule="auto"/>
      </w:pPr>
      <w:r>
        <w:separator/>
      </w:r>
    </w:p>
  </w:footnote>
  <w:footnote w:type="continuationSeparator" w:id="0">
    <w:p w14:paraId="7B66FB42" w14:textId="77777777" w:rsidR="00405785" w:rsidRDefault="00405785"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1A7B4D"/>
    <w:rsid w:val="001B1F46"/>
    <w:rsid w:val="00206874"/>
    <w:rsid w:val="0023421E"/>
    <w:rsid w:val="002E19AC"/>
    <w:rsid w:val="0032465C"/>
    <w:rsid w:val="00371757"/>
    <w:rsid w:val="0038204F"/>
    <w:rsid w:val="00405785"/>
    <w:rsid w:val="00467DB7"/>
    <w:rsid w:val="004D2399"/>
    <w:rsid w:val="00510477"/>
    <w:rsid w:val="005722CB"/>
    <w:rsid w:val="00686787"/>
    <w:rsid w:val="006F45FF"/>
    <w:rsid w:val="007123EF"/>
    <w:rsid w:val="00721949"/>
    <w:rsid w:val="00722AEF"/>
    <w:rsid w:val="00867997"/>
    <w:rsid w:val="00886E8A"/>
    <w:rsid w:val="00913FD9"/>
    <w:rsid w:val="00917718"/>
    <w:rsid w:val="00A878F0"/>
    <w:rsid w:val="00AE31C9"/>
    <w:rsid w:val="00B43286"/>
    <w:rsid w:val="00BA5DE6"/>
    <w:rsid w:val="00BB0891"/>
    <w:rsid w:val="00CF7689"/>
    <w:rsid w:val="00D64243"/>
    <w:rsid w:val="00DA184C"/>
    <w:rsid w:val="00DE16C1"/>
    <w:rsid w:val="00E90587"/>
    <w:rsid w:val="00E9242A"/>
    <w:rsid w:val="00E93677"/>
    <w:rsid w:val="00EB43BE"/>
    <w:rsid w:val="00EC0C64"/>
    <w:rsid w:val="00EE209B"/>
    <w:rsid w:val="00F030F3"/>
    <w:rsid w:val="00F20B6C"/>
    <w:rsid w:val="00F3369D"/>
    <w:rsid w:val="00F51F2D"/>
    <w:rsid w:val="00F62034"/>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 TargetMode="Externa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29</Pages>
  <Words>8583</Words>
  <Characters>47212</Characters>
  <Application>Microsoft Macintosh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20</cp:revision>
  <dcterms:created xsi:type="dcterms:W3CDTF">2016-11-24T12:26:00Z</dcterms:created>
  <dcterms:modified xsi:type="dcterms:W3CDTF">2016-11-24T17:02:00Z</dcterms:modified>
</cp:coreProperties>
</file>