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w:t>
      </w:r>
      <w:proofErr w:type="spellStart"/>
      <w:r w:rsidRPr="00886E8A">
        <w:rPr>
          <w:lang w:val="en-US"/>
        </w:rPr>
        <w:t>metagenomic</w:t>
      </w:r>
      <w:proofErr w:type="spellEnd"/>
      <w:r w:rsidRPr="00886E8A">
        <w:rPr>
          <w:lang w:val="en-US"/>
        </w:rPr>
        <w:t xml:space="preserve">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789EFAEC"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their Taylor parameters have been standardized, where standardization means that each parameter is subtracted by the mean value and divided by the standard deviation (</w:t>
      </w:r>
      <w:proofErr w:type="spellStart"/>
      <w:r w:rsidRPr="00F51F2D">
        <w:rPr>
          <w:lang w:val="en-US"/>
        </w:rPr>
        <w:t>std</w:t>
      </w:r>
      <w:proofErr w:type="spellEnd"/>
      <w:r w:rsidRPr="00F51F2D">
        <w:rPr>
          <w:lang w:val="en-US"/>
        </w:rPr>
        <w:t xml:space="preserve">) 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 xml:space="preserve">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563A66C5"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501D4E">
        <w:rPr>
          <w:highlight w:val="green"/>
          <w:lang w:val="en-US"/>
        </w:rPr>
        <w:t xml:space="preserve">perturbations, causing then a </w:t>
      </w:r>
      <w:proofErr w:type="spellStart"/>
      <w:r w:rsidR="00501D4E">
        <w:rPr>
          <w:highlight w:val="green"/>
          <w:lang w:val="en-US"/>
        </w:rPr>
        <w:t>dysbiotic</w:t>
      </w:r>
      <w:proofErr w:type="spellEnd"/>
      <w:r w:rsidR="00501D4E">
        <w:rPr>
          <w:highlight w:val="green"/>
          <w:lang w:val="en-US"/>
        </w:rPr>
        <w:t xml:space="preserve"> state in the microbiota.</w:t>
      </w:r>
      <w:r w:rsidR="00F740BC">
        <w:rPr>
          <w:lang w:val="en-US"/>
        </w:rPr>
        <w:t xml:space="preserve"> </w:t>
      </w:r>
      <w:r w:rsidRPr="00917718">
        <w:rPr>
          <w:lang w:val="en-US"/>
        </w:rPr>
        <w:t xml:space="preserve">In order to </w:t>
      </w:r>
      <w:r w:rsidRPr="00917718">
        <w:rPr>
          <w:lang w:val="en-US"/>
        </w:rPr>
        <w:lastRenderedPageBreak/>
        <w:t xml:space="preserve">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64A954A5" w:rsidR="00F51F2D" w:rsidRPr="00F51F2D" w:rsidRDefault="00F51F2D" w:rsidP="0061151D">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w:t>
      </w:r>
      <w:r w:rsidR="0061151D" w:rsidRPr="003E6ED0">
        <w:rPr>
          <w:highlight w:val="green"/>
          <w:lang w:val="en-US"/>
        </w:rPr>
        <w:t>From the literature, it seems that some genera from the families</w:t>
      </w:r>
      <w:r w:rsidR="0061151D" w:rsidRPr="00EC1839">
        <w:rPr>
          <w:highlight w:val="green"/>
          <w:lang w:val="en-US"/>
        </w:rPr>
        <w:t xml:space="preserve"> </w:t>
      </w:r>
      <w:proofErr w:type="spellStart"/>
      <w:r w:rsidR="009B3ADF" w:rsidRPr="003E6ED0">
        <w:rPr>
          <w:highlight w:val="green"/>
          <w:lang w:val="en-US"/>
        </w:rPr>
        <w:t>Comamonadaceae</w:t>
      </w:r>
      <w:proofErr w:type="spellEnd"/>
      <w:r w:rsidR="0061151D" w:rsidRPr="003E6ED0">
        <w:rPr>
          <w:highlight w:val="green"/>
          <w:lang w:val="en-US"/>
        </w:rPr>
        <w:t xml:space="preserve">, </w:t>
      </w:r>
      <w:proofErr w:type="spellStart"/>
      <w:r w:rsidR="009B3ADF" w:rsidRPr="003E6ED0">
        <w:rPr>
          <w:highlight w:val="green"/>
          <w:lang w:val="en-US"/>
        </w:rPr>
        <w:t>Neisseriaceae</w:t>
      </w:r>
      <w:proofErr w:type="spellEnd"/>
      <w:r w:rsidR="009B3ADF" w:rsidRPr="003E6ED0">
        <w:rPr>
          <w:highlight w:val="green"/>
          <w:lang w:val="en-US"/>
        </w:rPr>
        <w:t xml:space="preserve"> </w:t>
      </w:r>
      <w:r w:rsidR="0061151D" w:rsidRPr="003E6ED0">
        <w:rPr>
          <w:highlight w:val="green"/>
          <w:lang w:val="en-US"/>
        </w:rPr>
        <w:t xml:space="preserve">and </w:t>
      </w:r>
      <w:proofErr w:type="spellStart"/>
      <w:r w:rsidR="009B3ADF" w:rsidRPr="003E6ED0">
        <w:rPr>
          <w:highlight w:val="green"/>
          <w:lang w:val="en-US"/>
        </w:rPr>
        <w:t>Carnobacteriaceae</w:t>
      </w:r>
      <w:proofErr w:type="spellEnd"/>
      <w:r w:rsidR="009B3ADF" w:rsidRPr="003E6ED0">
        <w:rPr>
          <w:highlight w:val="green"/>
          <w:lang w:val="en-US"/>
        </w:rPr>
        <w:t xml:space="preserve"> </w:t>
      </w:r>
      <w:r w:rsidR="0061151D" w:rsidRPr="003E6ED0">
        <w:rPr>
          <w:highlight w:val="green"/>
          <w:lang w:val="en-US"/>
        </w:rPr>
        <w:t>have been reported to lower their abundance in IBS patients against healthy controls (</w:t>
      </w:r>
      <w:r w:rsidR="00553284">
        <w:rPr>
          <w:highlight w:val="green"/>
          <w:lang w:val="en-US"/>
        </w:rPr>
        <w:t>62</w:t>
      </w:r>
      <w:r w:rsidR="0061151D" w:rsidRPr="003E6ED0">
        <w:rPr>
          <w:highlight w:val="green"/>
          <w:lang w:val="en-US"/>
        </w:rPr>
        <w:t xml:space="preserve">). In our case, we see that these families that are present in the </w:t>
      </w:r>
      <w:r w:rsidR="0061151D" w:rsidRPr="003E6ED0">
        <w:rPr>
          <w:i/>
          <w:highlight w:val="green"/>
          <w:lang w:val="en-US"/>
        </w:rPr>
        <w:t>rank stability island</w:t>
      </w:r>
      <w:r w:rsidR="0061151D" w:rsidRPr="003E6ED0">
        <w:rPr>
          <w:highlight w:val="green"/>
          <w:lang w:val="en-US"/>
        </w:rPr>
        <w:t xml:space="preserve"> of the healthy patient decrease their rank stability index or even disappear in the IBS patient. However, we also see contradictory results in other families as </w:t>
      </w:r>
      <w:proofErr w:type="spellStart"/>
      <w:r w:rsidR="009B3ADF" w:rsidRPr="003E6ED0">
        <w:rPr>
          <w:highlight w:val="green"/>
          <w:lang w:val="en-US"/>
        </w:rPr>
        <w:t>Lactobacillaceae</w:t>
      </w:r>
      <w:proofErr w:type="spellEnd"/>
      <w:r w:rsidR="009B3ADF" w:rsidRPr="003E6ED0">
        <w:rPr>
          <w:highlight w:val="green"/>
          <w:lang w:val="en-US"/>
        </w:rPr>
        <w:t xml:space="preserve"> </w:t>
      </w:r>
      <w:r w:rsidR="0061151D" w:rsidRPr="003E6ED0">
        <w:rPr>
          <w:highlight w:val="green"/>
          <w:lang w:val="en-US"/>
        </w:rPr>
        <w:t xml:space="preserve">or </w:t>
      </w:r>
      <w:proofErr w:type="spellStart"/>
      <w:r w:rsidR="004439B9" w:rsidRPr="003E6ED0">
        <w:rPr>
          <w:highlight w:val="green"/>
          <w:lang w:val="en-US"/>
        </w:rPr>
        <w:t>Fusobacteriaceae</w:t>
      </w:r>
      <w:proofErr w:type="spellEnd"/>
      <w:r w:rsidR="0061151D" w:rsidRPr="003E6ED0">
        <w:rPr>
          <w:highlight w:val="green"/>
          <w:lang w:val="en-US"/>
        </w:rPr>
        <w:t>, which seems to increase their abundance in IBS patients (</w:t>
      </w:r>
      <w:r w:rsidR="00553284">
        <w:rPr>
          <w:highlight w:val="green"/>
          <w:lang w:val="en-US"/>
        </w:rPr>
        <w:t>63</w:t>
      </w:r>
      <w:r w:rsidR="0061151D" w:rsidRPr="003E6ED0">
        <w:rPr>
          <w:highlight w:val="green"/>
          <w:lang w:val="en-US"/>
        </w:rPr>
        <w:t xml:space="preserve">), </w:t>
      </w:r>
      <w:r w:rsidR="004439B9" w:rsidRPr="003E6ED0">
        <w:rPr>
          <w:highlight w:val="green"/>
          <w:lang w:val="en-US"/>
        </w:rPr>
        <w:t>while we observe an increase of the former and a decrease of the latter.</w:t>
      </w:r>
      <w:r w:rsidR="0061151D" w:rsidRPr="003E6ED0">
        <w:rPr>
          <w:highlight w:val="green"/>
          <w:lang w:val="en-US"/>
        </w:rPr>
        <w:t xml:space="preserve"> </w:t>
      </w:r>
      <w:r w:rsidR="004439B9" w:rsidRPr="003E6ED0">
        <w:rPr>
          <w:highlight w:val="green"/>
          <w:lang w:val="en-US"/>
        </w:rPr>
        <w:t>The</w:t>
      </w:r>
      <w:r w:rsidR="0061151D" w:rsidRPr="003E6ED0">
        <w:rPr>
          <w:highlight w:val="green"/>
          <w:lang w:val="en-US"/>
        </w:rPr>
        <w:t xml:space="preserve"> presence of members of the </w:t>
      </w:r>
      <w:proofErr w:type="spellStart"/>
      <w:r w:rsidR="0061151D" w:rsidRPr="003E6ED0">
        <w:rPr>
          <w:highlight w:val="green"/>
          <w:lang w:val="en-US"/>
        </w:rPr>
        <w:t>Lactobacillae</w:t>
      </w:r>
      <w:proofErr w:type="spellEnd"/>
      <w:r w:rsidR="0061151D" w:rsidRPr="003E6ED0">
        <w:rPr>
          <w:highlight w:val="green"/>
          <w:lang w:val="en-US"/>
        </w:rPr>
        <w:t xml:space="preserve"> family have been reported to have positive effects against gut inflammation and visceral hyperalgesia (</w:t>
      </w:r>
      <w:r w:rsidR="00553284">
        <w:rPr>
          <w:highlight w:val="green"/>
          <w:lang w:val="en-US"/>
        </w:rPr>
        <w:t>64</w:t>
      </w:r>
      <w:r w:rsidR="0061151D" w:rsidRPr="003E6ED0">
        <w:rPr>
          <w:highlight w:val="green"/>
          <w:lang w:val="en-US"/>
        </w:rPr>
        <w:t>), usual symptoms of gastrointestinal disorders.</w:t>
      </w:r>
      <w:r w:rsidR="004439B9" w:rsidRPr="003E6ED0">
        <w:rPr>
          <w:highlight w:val="green"/>
          <w:lang w:val="en-US"/>
        </w:rPr>
        <w:t xml:space="preserve"> It could be happening that a disorder in the stability of this particular group may help to arise the onset of symptoms associated to gastrointestinal disorders.</w:t>
      </w:r>
      <w:r w:rsidR="009E0B34" w:rsidRPr="003E6ED0">
        <w:rPr>
          <w:highlight w:val="green"/>
          <w:lang w:val="en-US"/>
        </w:rPr>
        <w:t xml:space="preserve"> </w:t>
      </w:r>
      <w:r w:rsidR="0061151D" w:rsidRPr="003E6ED0">
        <w:rPr>
          <w:highlight w:val="green"/>
          <w:lang w:val="en-US"/>
        </w:rPr>
        <w:t xml:space="preserve">The </w:t>
      </w:r>
      <w:proofErr w:type="spellStart"/>
      <w:r w:rsidR="0061151D" w:rsidRPr="003E6ED0">
        <w:rPr>
          <w:highlight w:val="green"/>
          <w:lang w:val="en-US"/>
        </w:rPr>
        <w:t>Aerococacceae</w:t>
      </w:r>
      <w:proofErr w:type="spellEnd"/>
      <w:r w:rsidR="0061151D" w:rsidRPr="003E6ED0">
        <w:rPr>
          <w:highlight w:val="green"/>
          <w:lang w:val="en-US"/>
        </w:rPr>
        <w:t xml:space="preserve"> family is also enriched in rats with IBS symptoms who have been treated with </w:t>
      </w:r>
      <w:proofErr w:type="spellStart"/>
      <w:r w:rsidR="0061151D" w:rsidRPr="003E6ED0">
        <w:rPr>
          <w:highlight w:val="green"/>
          <w:lang w:val="en-US"/>
        </w:rPr>
        <w:t>immunomodulators</w:t>
      </w:r>
      <w:proofErr w:type="spellEnd"/>
      <w:r w:rsidR="0061151D" w:rsidRPr="003E6ED0">
        <w:rPr>
          <w:highlight w:val="green"/>
          <w:lang w:val="en-US"/>
        </w:rPr>
        <w:t xml:space="preserve"> (</w:t>
      </w:r>
      <w:r w:rsidR="00553284">
        <w:rPr>
          <w:highlight w:val="green"/>
          <w:lang w:val="en-US"/>
        </w:rPr>
        <w:t>65</w:t>
      </w:r>
      <w:r w:rsidR="0061151D" w:rsidRPr="003E6ED0">
        <w:rPr>
          <w:highlight w:val="green"/>
          <w:lang w:val="en-US"/>
        </w:rPr>
        <w:t xml:space="preserve">). Inside this island of stability, we also have families as </w:t>
      </w:r>
      <w:proofErr w:type="spellStart"/>
      <w:r w:rsidR="0061151D" w:rsidRPr="003E6ED0">
        <w:rPr>
          <w:highlight w:val="green"/>
          <w:lang w:val="en-US"/>
        </w:rPr>
        <w:t>Fusobacteriaceae</w:t>
      </w:r>
      <w:proofErr w:type="spellEnd"/>
      <w:r w:rsidR="0061151D" w:rsidRPr="003E6ED0">
        <w:rPr>
          <w:highlight w:val="green"/>
          <w:lang w:val="en-US"/>
        </w:rPr>
        <w:t xml:space="preserve"> o </w:t>
      </w:r>
      <w:proofErr w:type="spellStart"/>
      <w:r w:rsidR="0061151D" w:rsidRPr="003E6ED0">
        <w:rPr>
          <w:highlight w:val="green"/>
          <w:lang w:val="en-US"/>
        </w:rPr>
        <w:t>Hallomonadaceae</w:t>
      </w:r>
      <w:proofErr w:type="spellEnd"/>
      <w:r w:rsidR="0061151D" w:rsidRPr="003E6ED0">
        <w:rPr>
          <w:highlight w:val="green"/>
          <w:lang w:val="en-US"/>
        </w:rPr>
        <w:t xml:space="preserve"> which include pathogenic genera in them, but that are not present in the IBS patient.</w:t>
      </w:r>
      <w:r w:rsidR="0061151D" w:rsidRPr="0061151D">
        <w:rPr>
          <w:lang w:val="en-US"/>
        </w:rPr>
        <w:t xml:space="preserve"> </w:t>
      </w:r>
      <w:r w:rsidRPr="00F51F2D">
        <w:rPr>
          <w:lang w:val="en-US"/>
        </w:rPr>
        <w:t>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lastRenderedPageBreak/>
        <w:t>compo</w:t>
      </w:r>
      <w:r w:rsidRPr="00F51F2D">
        <w:rPr>
          <w:lang w:val="en-US"/>
        </w:rPr>
        <w:t>sition (functional redundancy). What we have shown in this work could be explained as the transitions of a stable microbiota into a dysbiosis state.</w:t>
      </w:r>
    </w:p>
    <w:p w14:paraId="532F6B93" w14:textId="57B6AEA7"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w:t>
      </w:r>
      <w:r w:rsidR="00EC1839">
        <w:rPr>
          <w:lang w:val="en-US"/>
        </w:rPr>
        <w:t>ure. The nature of the interac</w:t>
      </w:r>
      <w:r w:rsidRPr="00F51F2D">
        <w:rPr>
          <w:lang w:val="en-US"/>
        </w:rPr>
        <w:t>tions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w:t>
      </w:r>
      <w:r w:rsidR="00553284">
        <w:rPr>
          <w:i/>
          <w:lang w:val="en-US"/>
        </w:rPr>
        <w:t>6</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EC1839"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EC1839"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lastRenderedPageBreak/>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EC183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EC183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EC183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EC183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5966FFAB"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w:t>
      </w:r>
      <w:r w:rsidR="002B3F0D">
        <w:rPr>
          <w:i/>
          <w:lang w:val="en-US"/>
        </w:rPr>
        <w:t>7</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lastRenderedPageBreak/>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EC1839"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EC1839"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EC183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EC183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2C8A390E"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w:t>
      </w:r>
      <w:r w:rsidRPr="00686787">
        <w:rPr>
          <w:lang w:val="en-US"/>
        </w:rPr>
        <w:lastRenderedPageBreak/>
        <w:t>sequence identity using QIIME (</w:t>
      </w:r>
      <w:r w:rsidRPr="00A878F0">
        <w:rPr>
          <w:i/>
          <w:lang w:val="en-US"/>
        </w:rPr>
        <w:t>6</w:t>
      </w:r>
      <w:r w:rsidR="002B3F0D">
        <w:rPr>
          <w:i/>
          <w:lang w:val="en-US"/>
        </w:rPr>
        <w:t>8</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Pr="00A878F0">
        <w:rPr>
          <w:i/>
          <w:lang w:val="en-US"/>
        </w:rPr>
        <w:t>6</w:t>
      </w:r>
      <w:r w:rsidR="002B3F0D">
        <w:rPr>
          <w:i/>
          <w:lang w:val="en-US"/>
        </w:rPr>
        <w:t>9</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w:t>
      </w:r>
      <w:r w:rsidR="00FB69ED" w:rsidRPr="0071649C">
        <w:rPr>
          <w:highlight w:val="green"/>
          <w:lang w:val="en-US"/>
        </w:rPr>
        <w:t xml:space="preserve">Supplementary </w:t>
      </w:r>
      <w:r w:rsidRPr="0071649C">
        <w:rPr>
          <w:highlight w:val="green"/>
          <w:lang w:val="en-US"/>
        </w:rPr>
        <w:t>Figure</w:t>
      </w:r>
      <w:r w:rsidR="006D5D65" w:rsidRPr="0071649C">
        <w:rPr>
          <w:highlight w:val="green"/>
          <w:lang w:val="en-US"/>
        </w:rPr>
        <w:t>s</w:t>
      </w:r>
      <w:r w:rsidRPr="0071649C">
        <w:rPr>
          <w:highlight w:val="green"/>
          <w:lang w:val="en-US"/>
        </w:rPr>
        <w:t xml:space="preserve"> </w:t>
      </w:r>
      <w:r w:rsidR="00FB69ED" w:rsidRPr="0071649C">
        <w:rPr>
          <w:highlight w:val="green"/>
          <w:lang w:val="en-US"/>
        </w:rPr>
        <w:t>1</w:t>
      </w:r>
      <w:r w:rsidR="006D5D65" w:rsidRPr="0071649C">
        <w:rPr>
          <w:highlight w:val="green"/>
          <w:lang w:val="en-US"/>
        </w:rPr>
        <w:t xml:space="preserve"> and 2</w:t>
      </w:r>
      <w:r w:rsidRPr="00A878F0">
        <w:rPr>
          <w:lang w:val="en-US"/>
        </w:rPr>
        <w:t>).</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bookmarkStart w:id="2" w:name="_GoBack"/>
      <w:bookmarkEnd w:id="2"/>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lastRenderedPageBreak/>
        <w:t xml:space="preserve">Metadata of each study is provided in Supplementary Tables S1 to S4. All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5A26B03E" w:rsidR="00E90587" w:rsidRPr="00E90587" w:rsidRDefault="00E90587" w:rsidP="008D6AE0">
      <w:pPr>
        <w:pStyle w:val="ASM"/>
        <w:jc w:val="left"/>
        <w:rPr>
          <w:lang w:val="en-US"/>
        </w:rPr>
      </w:pPr>
      <w:r w:rsidRPr="00E90587">
        <w:rPr>
          <w:lang w:val="en-US"/>
        </w:rPr>
        <w:t>Reads from the selected studies were first quality filt</w:t>
      </w:r>
      <w:r w:rsidR="002B3F0D">
        <w:rPr>
          <w:lang w:val="en-US"/>
        </w:rPr>
        <w:t xml:space="preserve">ered using the </w:t>
      </w:r>
      <w:proofErr w:type="spellStart"/>
      <w:r w:rsidR="002B3F0D">
        <w:rPr>
          <w:lang w:val="en-US"/>
        </w:rPr>
        <w:t>FastX</w:t>
      </w:r>
      <w:proofErr w:type="spellEnd"/>
      <w:r w:rsidR="002B3F0D">
        <w:rPr>
          <w:lang w:val="en-US"/>
        </w:rPr>
        <w:t xml:space="preserve"> toolkit (70</w:t>
      </w:r>
      <w:r w:rsidRPr="00E90587">
        <w:rPr>
          <w:lang w:val="en-US"/>
        </w:rPr>
        <w:t xml:space="preserve">),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w:t>
      </w:r>
      <w:r w:rsidR="002B3F0D">
        <w:rPr>
          <w:lang w:val="en-US"/>
        </w:rPr>
        <w:t>using QIIME package software (68</w:t>
      </w:r>
      <w:r w:rsidRPr="00E90587">
        <w:rPr>
          <w:lang w:val="en-US"/>
        </w:rPr>
        <w:t xml:space="preserve">) (version 1.8) We followed open reference OTU picking workflow in all cases. The clustering method used was </w:t>
      </w:r>
      <w:proofErr w:type="spellStart"/>
      <w:r w:rsidRPr="00E90587">
        <w:rPr>
          <w:lang w:val="en-US"/>
        </w:rPr>
        <w:t>uclust</w:t>
      </w:r>
      <w:proofErr w:type="spellEnd"/>
      <w:r w:rsidRPr="00E90587">
        <w:rPr>
          <w:lang w:val="en-US"/>
        </w:rPr>
        <w:t>, and the OTUs were ma</w:t>
      </w:r>
      <w:r w:rsidR="00423E4D">
        <w:rPr>
          <w:lang w:val="en-US"/>
        </w:rPr>
        <w:t>tched against Silva database (71</w:t>
      </w:r>
      <w:r w:rsidRPr="00E90587">
        <w:rPr>
          <w:lang w:val="en-US"/>
        </w:rPr>
        <w:t xml:space="preserve">) (version 111, July 2012) and were assigned to taxonomy with an </w:t>
      </w:r>
      <w:proofErr w:type="spellStart"/>
      <w:r w:rsidRPr="00E90587">
        <w:rPr>
          <w:lang w:val="en-US"/>
        </w:rPr>
        <w:t>uclust</w:t>
      </w:r>
      <w:proofErr w:type="spellEnd"/>
      <w:r w:rsidRPr="00E90587">
        <w:rPr>
          <w:lang w:val="en-US"/>
        </w:rPr>
        <w:t xml:space="preserve">-based consensus taxonomy assigner. The 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0436B313"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w:t>
      </w:r>
      <w:r w:rsidR="002B3F0D">
        <w:rPr>
          <w:lang w:val="en-US"/>
        </w:rPr>
        <w:t>lkit) software package (69</w:t>
      </w:r>
      <w:r w:rsidR="00E90587" w:rsidRPr="00E90587">
        <w:rPr>
          <w:lang w:val="en-US"/>
        </w:rPr>
        <w:t>)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 xml:space="preserve">ogy), the E5-2698v3@2.3 GHz, sharing half a </w:t>
      </w:r>
      <w:proofErr w:type="spellStart"/>
      <w:r w:rsidR="00E90587" w:rsidRPr="00E90587">
        <w:rPr>
          <w:lang w:val="en-US"/>
        </w:rPr>
        <w:t>tebibyte</w:t>
      </w:r>
      <w:proofErr w:type="spellEnd"/>
      <w:r w:rsidR="00E90587" w:rsidRPr="00E90587">
        <w:rPr>
          <w:lang w:val="en-US"/>
        </w:rPr>
        <w:t xml:space="preserve"> of DRAM memory. This node is also provided with a </w:t>
      </w:r>
      <w:proofErr w:type="spellStart"/>
      <w:r w:rsidR="00E90587" w:rsidRPr="00E90587">
        <w:rPr>
          <w:lang w:val="en-US"/>
        </w:rPr>
        <w:t>PCIe</w:t>
      </w:r>
      <w:proofErr w:type="spellEnd"/>
      <w:r w:rsidR="00E90587" w:rsidRPr="00E90587">
        <w:rPr>
          <w:lang w:val="en-US"/>
        </w:rPr>
        <w:t xml:space="preserve"> SSD card as NVRAM, the Micron P420m HHHL, with 1.4 TB, and 750000 reading IOPS, 4 K</w:t>
      </w:r>
      <w:r w:rsidR="00CE5E84">
        <w:rPr>
          <w:lang w:val="en-US"/>
        </w:rPr>
        <w:t>B, achieving 3.3 GB/s. The com</w:t>
      </w:r>
      <w:r w:rsidR="00E90587" w:rsidRPr="00E90587">
        <w:rPr>
          <w:lang w:val="en-US"/>
        </w:rPr>
        <w:t xml:space="preserve">puting node was supplied with a RAID-0 (striping) scratch disk area. </w:t>
      </w:r>
      <w:r w:rsidR="00423E4D">
        <w:rPr>
          <w:lang w:val="en-US"/>
        </w:rPr>
        <w:t>We used the “Grand” database (72</w:t>
      </w:r>
      <w:r w:rsidR="00E90587" w:rsidRPr="00E90587">
        <w:rPr>
          <w:lang w:val="en-US"/>
        </w:rPr>
        <w:t>), release Feb’15, provided by the LMAT team, where “Grand” refers to a huge database that contains k-</w:t>
      </w:r>
      <w:proofErr w:type="spellStart"/>
      <w:r w:rsidR="00E90587" w:rsidRPr="00E90587">
        <w:rPr>
          <w:lang w:val="en-US"/>
        </w:rPr>
        <w:t>mers</w:t>
      </w:r>
      <w:proofErr w:type="spellEnd"/>
      <w:r w:rsidR="00E90587" w:rsidRPr="00E90587">
        <w:rPr>
          <w:lang w:val="en-US"/>
        </w:rPr>
        <w:t xml:space="preserve"> from all viral, prokaryote, fungal and </w:t>
      </w:r>
      <w:proofErr w:type="spellStart"/>
      <w:r w:rsidR="00E90587" w:rsidRPr="00E90587">
        <w:rPr>
          <w:lang w:val="en-US"/>
        </w:rPr>
        <w:t>protist</w:t>
      </w:r>
      <w:proofErr w:type="spellEnd"/>
      <w:r w:rsidR="00E90587" w:rsidRPr="00E90587">
        <w:rPr>
          <w:lang w:val="en-US"/>
        </w:rPr>
        <w:t xml:space="preserve"> genomes present in the NCBI database, plus Human reference genome (hg19), plus </w:t>
      </w:r>
      <w:proofErr w:type="spellStart"/>
      <w:r w:rsidR="00E90587" w:rsidRPr="00E90587">
        <w:rPr>
          <w:lang w:val="en-US"/>
        </w:rPr>
        <w:t>GenBank</w:t>
      </w:r>
      <w:proofErr w:type="spellEnd"/>
      <w:r w:rsidR="00E90587" w:rsidRPr="00E90587">
        <w:rPr>
          <w:lang w:val="en-US"/>
        </w:rPr>
        <w:t xml:space="preserve"> Human, plus the 1000 Human Genomes Project (HGP) (this represent about 31.75 </w:t>
      </w:r>
      <w:r w:rsidR="00E90587" w:rsidRPr="00E90587">
        <w:rPr>
          <w:lang w:val="en-US"/>
        </w:rPr>
        <w:lastRenderedPageBreak/>
        <w:t>b</w:t>
      </w:r>
      <w:r w:rsidR="00CE5E84">
        <w:rPr>
          <w:lang w:val="en-US"/>
        </w:rPr>
        <w:t>illion k-</w:t>
      </w:r>
      <w:proofErr w:type="spellStart"/>
      <w:r w:rsidR="00CE5E84">
        <w:rPr>
          <w:lang w:val="en-US"/>
        </w:rPr>
        <w:t>mers</w:t>
      </w:r>
      <w:proofErr w:type="spellEnd"/>
      <w:r w:rsidR="00CE5E84">
        <w:rPr>
          <w:lang w:val="en-US"/>
        </w:rPr>
        <w:t xml:space="preserve"> occu</w:t>
      </w:r>
      <w:r w:rsidR="00423E4D">
        <w:rPr>
          <w:lang w:val="en-US"/>
        </w:rPr>
        <w:t>pying 457.62 GB) (72</w:t>
      </w:r>
      <w:r w:rsidR="00E90587" w:rsidRPr="00E90587">
        <w:rPr>
          <w:lang w:val="en-US"/>
        </w:rPr>
        <w:t xml:space="preserve">). Previously to any calculation, the full database was loaded in the NVRAM. With this configuration the observed LMAT sustained sequence classification rate was 20 </w:t>
      </w:r>
      <w:proofErr w:type="spellStart"/>
      <w:r w:rsidR="00E90587" w:rsidRPr="00E90587">
        <w:rPr>
          <w:lang w:val="en-US"/>
        </w:rPr>
        <w:t>kpb</w:t>
      </w:r>
      <w:proofErr w:type="spellEnd"/>
      <w:r w:rsidR="00E90587"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35A7842F"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w:t>
      </w:r>
      <w:r w:rsidRPr="00467DB7">
        <w:rPr>
          <w:lang w:val="en-US"/>
        </w:rPr>
        <w:lastRenderedPageBreak/>
        <w:t xml:space="preserve">(resample </w:t>
      </w:r>
      <w:r w:rsidRPr="00467DB7">
        <w:rPr>
          <w:i/>
          <w:lang w:val="en-US"/>
        </w:rPr>
        <w:t xml:space="preserve">→ </w:t>
      </w:r>
      <w:r w:rsidRPr="00467DB7">
        <w:rPr>
          <w:lang w:val="en-US"/>
        </w:rPr>
        <w:t>sample) (</w:t>
      </w:r>
      <w:r w:rsidR="00423E4D">
        <w:rPr>
          <w:i/>
          <w:lang w:val="en-US"/>
        </w:rPr>
        <w:t>73</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EC1839"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7398754A"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423E4D">
        <w:rPr>
          <w:i/>
          <w:lang w:val="en-US"/>
        </w:rPr>
        <w:t>4</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lastRenderedPageBreak/>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lastRenderedPageBreak/>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proofErr w:type="spellStart"/>
      <w:r w:rsidRPr="00EB43BE">
        <w:rPr>
          <w:b/>
          <w:bCs/>
          <w:lang w:val="es-ES"/>
        </w:rPr>
        <w:lastRenderedPageBreak/>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8D6AE0">
      <w:pPr>
        <w:pStyle w:val="ASM"/>
        <w:numPr>
          <w:ilvl w:val="0"/>
          <w:numId w:val="1"/>
        </w:numPr>
        <w:jc w:val="left"/>
        <w:rPr>
          <w:lang w:val="en-US"/>
        </w:rPr>
      </w:pPr>
      <w:proofErr w:type="spellStart"/>
      <w:r w:rsidRPr="00EB43BE">
        <w:rPr>
          <w:b/>
          <w:bCs/>
          <w:lang w:val="en-US"/>
        </w:rPr>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20" w:name="_bookmark20"/>
      <w:bookmarkEnd w:id="20"/>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lastRenderedPageBreak/>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lastRenderedPageBreak/>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lastRenderedPageBreak/>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proofErr w:type="spellStart"/>
      <w:r w:rsidRPr="00EB43BE">
        <w:rPr>
          <w:b/>
          <w:lang w:val="en-US"/>
        </w:rPr>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proofErr w:type="spellStart"/>
      <w:r w:rsidRPr="00EB43BE">
        <w:rPr>
          <w:b/>
          <w:bCs/>
          <w:lang w:val="en-US"/>
        </w:rPr>
        <w:lastRenderedPageBreak/>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50" w:name="_bookmark50"/>
      <w:bookmarkEnd w:id="50"/>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lastRenderedPageBreak/>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w:t>
      </w:r>
      <w:proofErr w:type="spellStart"/>
      <w:r w:rsidRPr="00EB43BE">
        <w:rPr>
          <w:lang w:val="en-US"/>
        </w:rPr>
        <w:t>metagenomic</w:t>
      </w:r>
      <w:proofErr w:type="spellEnd"/>
      <w:r w:rsidRPr="00EB43BE">
        <w:rPr>
          <w:lang w:val="en-US"/>
        </w:rPr>
        <w:t xml:space="preserve">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668CDE4" w14:textId="77777777" w:rsidR="00EA589E" w:rsidRPr="00EA589E" w:rsidRDefault="00EA589E" w:rsidP="00EA589E">
      <w:pPr>
        <w:pStyle w:val="ASM"/>
        <w:numPr>
          <w:ilvl w:val="0"/>
          <w:numId w:val="1"/>
        </w:numPr>
      </w:pPr>
      <w:r w:rsidRPr="00EC1839">
        <w:rPr>
          <w:b/>
          <w:bCs/>
          <w:lang w:val="en-US"/>
        </w:rPr>
        <w:t>Ng SC</w:t>
      </w:r>
      <w:r w:rsidRPr="00EC1839">
        <w:rPr>
          <w:lang w:val="en-US"/>
        </w:rPr>
        <w:t xml:space="preserve">, </w:t>
      </w:r>
      <w:r w:rsidRPr="00EC1839">
        <w:rPr>
          <w:b/>
          <w:bCs/>
          <w:lang w:val="en-US"/>
        </w:rPr>
        <w:t>Lam EFC</w:t>
      </w:r>
      <w:r w:rsidRPr="00EC1839">
        <w:rPr>
          <w:lang w:val="en-US"/>
        </w:rPr>
        <w:t xml:space="preserve">, </w:t>
      </w:r>
      <w:r w:rsidRPr="00EC1839">
        <w:rPr>
          <w:b/>
          <w:bCs/>
          <w:lang w:val="en-US"/>
        </w:rPr>
        <w:t>Lam TTY</w:t>
      </w:r>
      <w:r w:rsidRPr="00EC1839">
        <w:rPr>
          <w:lang w:val="en-US"/>
        </w:rPr>
        <w:t xml:space="preserve">, </w:t>
      </w:r>
      <w:r w:rsidRPr="00EC1839">
        <w:rPr>
          <w:b/>
          <w:bCs/>
          <w:lang w:val="en-US"/>
        </w:rPr>
        <w:t>Chan Y</w:t>
      </w:r>
      <w:r w:rsidRPr="00EC1839">
        <w:rPr>
          <w:lang w:val="en-US"/>
        </w:rPr>
        <w:t xml:space="preserve">, </w:t>
      </w:r>
      <w:r w:rsidRPr="00EC1839">
        <w:rPr>
          <w:b/>
          <w:bCs/>
          <w:lang w:val="en-US"/>
        </w:rPr>
        <w:t>Law W</w:t>
      </w:r>
      <w:r w:rsidRPr="00EC1839">
        <w:rPr>
          <w:lang w:val="en-US"/>
        </w:rPr>
        <w:t xml:space="preserve">, </w:t>
      </w:r>
      <w:proofErr w:type="spellStart"/>
      <w:r w:rsidRPr="00EC1839">
        <w:rPr>
          <w:b/>
          <w:bCs/>
          <w:lang w:val="en-US"/>
        </w:rPr>
        <w:t>Tse</w:t>
      </w:r>
      <w:proofErr w:type="spellEnd"/>
      <w:r w:rsidRPr="00EC1839">
        <w:rPr>
          <w:b/>
          <w:bCs/>
          <w:lang w:val="en-US"/>
        </w:rPr>
        <w:t xml:space="preserve"> PCH</w:t>
      </w:r>
      <w:r w:rsidRPr="00EC1839">
        <w:rPr>
          <w:lang w:val="en-US"/>
        </w:rPr>
        <w:t xml:space="preserve">, </w:t>
      </w:r>
      <w:proofErr w:type="spellStart"/>
      <w:r w:rsidRPr="00EC1839">
        <w:rPr>
          <w:b/>
          <w:bCs/>
          <w:lang w:val="en-US"/>
        </w:rPr>
        <w:t>Kamm</w:t>
      </w:r>
      <w:proofErr w:type="spellEnd"/>
      <w:r w:rsidRPr="00EC1839">
        <w:rPr>
          <w:b/>
          <w:bCs/>
          <w:lang w:val="en-US"/>
        </w:rPr>
        <w:t xml:space="preserve"> M a</w:t>
      </w:r>
      <w:r w:rsidRPr="00EC1839">
        <w:rPr>
          <w:lang w:val="en-US"/>
        </w:rPr>
        <w:t xml:space="preserve">, </w:t>
      </w:r>
      <w:r w:rsidRPr="00EC1839">
        <w:rPr>
          <w:b/>
          <w:bCs/>
          <w:lang w:val="en-US"/>
        </w:rPr>
        <w:t>Sung JJY</w:t>
      </w:r>
      <w:r w:rsidRPr="00EC1839">
        <w:rPr>
          <w:lang w:val="en-US"/>
        </w:rPr>
        <w:t xml:space="preserve">, </w:t>
      </w:r>
      <w:r w:rsidRPr="00EC1839">
        <w:rPr>
          <w:b/>
          <w:bCs/>
          <w:lang w:val="en-US"/>
        </w:rPr>
        <w:t>Chan FKL</w:t>
      </w:r>
      <w:r w:rsidRPr="00EC1839">
        <w:rPr>
          <w:lang w:val="en-US"/>
        </w:rPr>
        <w:t xml:space="preserve">, </w:t>
      </w:r>
      <w:r w:rsidRPr="00EC1839">
        <w:rPr>
          <w:b/>
          <w:bCs/>
          <w:lang w:val="en-US"/>
        </w:rPr>
        <w:t>Wu JCY</w:t>
      </w:r>
      <w:r w:rsidRPr="00EC1839">
        <w:rPr>
          <w:lang w:val="en-US"/>
        </w:rPr>
        <w:t xml:space="preserve">. 2013. Effect of probiotic bacteria on the intestinal microbiota in irritable bowel syndrome. </w:t>
      </w:r>
      <w:r w:rsidRPr="00EA589E">
        <w:t xml:space="preserve">J </w:t>
      </w:r>
      <w:proofErr w:type="spellStart"/>
      <w:r w:rsidRPr="00EA589E">
        <w:t>Gastroenterol</w:t>
      </w:r>
      <w:proofErr w:type="spellEnd"/>
      <w:r w:rsidRPr="00EA589E">
        <w:t xml:space="preserve"> </w:t>
      </w:r>
      <w:proofErr w:type="spellStart"/>
      <w:r w:rsidRPr="00EA589E">
        <w:t>Hepatol</w:t>
      </w:r>
      <w:proofErr w:type="spellEnd"/>
      <w:r w:rsidRPr="00EA589E">
        <w:t xml:space="preserve"> </w:t>
      </w:r>
      <w:r w:rsidRPr="00EA589E">
        <w:rPr>
          <w:b/>
          <w:bCs/>
        </w:rPr>
        <w:t>28</w:t>
      </w:r>
      <w:r w:rsidRPr="00EA589E">
        <w:t>:1624–31.</w:t>
      </w:r>
    </w:p>
    <w:p w14:paraId="6DAF84B5" w14:textId="77777777" w:rsidR="00EA589E" w:rsidRPr="00EA589E" w:rsidRDefault="00EA589E" w:rsidP="00EA589E">
      <w:pPr>
        <w:pStyle w:val="ASM"/>
        <w:numPr>
          <w:ilvl w:val="0"/>
          <w:numId w:val="1"/>
        </w:numPr>
      </w:pPr>
      <w:r w:rsidRPr="00EC1839">
        <w:rPr>
          <w:b/>
          <w:bCs/>
          <w:lang w:val="en-US"/>
        </w:rPr>
        <w:t>Carroll IM</w:t>
      </w:r>
      <w:r w:rsidRPr="00EC1839">
        <w:rPr>
          <w:lang w:val="en-US"/>
        </w:rPr>
        <w:t xml:space="preserve">, </w:t>
      </w:r>
      <w:proofErr w:type="spellStart"/>
      <w:r w:rsidRPr="00EC1839">
        <w:rPr>
          <w:b/>
          <w:bCs/>
          <w:lang w:val="en-US"/>
        </w:rPr>
        <w:t>Ringel-Kulka</w:t>
      </w:r>
      <w:proofErr w:type="spellEnd"/>
      <w:r w:rsidRPr="00EC1839">
        <w:rPr>
          <w:b/>
          <w:bCs/>
          <w:lang w:val="en-US"/>
        </w:rPr>
        <w:t xml:space="preserve"> T</w:t>
      </w:r>
      <w:r w:rsidRPr="00EC1839">
        <w:rPr>
          <w:lang w:val="en-US"/>
        </w:rPr>
        <w:t xml:space="preserve">, </w:t>
      </w:r>
      <w:proofErr w:type="spellStart"/>
      <w:r w:rsidRPr="00EC1839">
        <w:rPr>
          <w:b/>
          <w:bCs/>
          <w:lang w:val="en-US"/>
        </w:rPr>
        <w:t>Siddle</w:t>
      </w:r>
      <w:proofErr w:type="spellEnd"/>
      <w:r w:rsidRPr="00EC1839">
        <w:rPr>
          <w:b/>
          <w:bCs/>
          <w:lang w:val="en-US"/>
        </w:rPr>
        <w:t xml:space="preserve"> JP</w:t>
      </w:r>
      <w:r w:rsidRPr="00EC1839">
        <w:rPr>
          <w:lang w:val="en-US"/>
        </w:rPr>
        <w:t xml:space="preserve">, </w:t>
      </w:r>
      <w:proofErr w:type="spellStart"/>
      <w:r w:rsidRPr="00EC1839">
        <w:rPr>
          <w:b/>
          <w:bCs/>
          <w:lang w:val="en-US"/>
        </w:rPr>
        <w:t>Ringel</w:t>
      </w:r>
      <w:proofErr w:type="spellEnd"/>
      <w:r w:rsidRPr="00EC1839">
        <w:rPr>
          <w:b/>
          <w:bCs/>
          <w:lang w:val="en-US"/>
        </w:rPr>
        <w:t xml:space="preserve"> Y</w:t>
      </w:r>
      <w:r w:rsidRPr="00EC1839">
        <w:rPr>
          <w:lang w:val="en-US"/>
        </w:rPr>
        <w:t xml:space="preserve">. 2012. Alterations in composition and diversity of the intestinal microbiota in patients with diarrhea-predominant irritable bowel syndrome. </w:t>
      </w:r>
      <w:proofErr w:type="spellStart"/>
      <w:r w:rsidRPr="00EA589E">
        <w:t>Neurogastroenterol</w:t>
      </w:r>
      <w:proofErr w:type="spellEnd"/>
      <w:r w:rsidRPr="00EA589E">
        <w:t xml:space="preserve"> Motil </w:t>
      </w:r>
      <w:r w:rsidRPr="00EA589E">
        <w:rPr>
          <w:b/>
          <w:bCs/>
        </w:rPr>
        <w:t>24</w:t>
      </w:r>
      <w:r w:rsidRPr="00EA589E">
        <w:t>.</w:t>
      </w:r>
    </w:p>
    <w:p w14:paraId="01830EA4" w14:textId="77777777" w:rsidR="00EA589E" w:rsidRPr="00EA589E" w:rsidRDefault="00EA589E" w:rsidP="00EA589E">
      <w:pPr>
        <w:pStyle w:val="ASM"/>
        <w:numPr>
          <w:ilvl w:val="0"/>
          <w:numId w:val="1"/>
        </w:numPr>
      </w:pPr>
      <w:r w:rsidRPr="00EC1839">
        <w:rPr>
          <w:b/>
          <w:bCs/>
          <w:lang w:val="en-US"/>
        </w:rPr>
        <w:t>Xu D</w:t>
      </w:r>
      <w:r w:rsidRPr="00EC1839">
        <w:rPr>
          <w:lang w:val="en-US"/>
        </w:rPr>
        <w:t xml:space="preserve">, </w:t>
      </w:r>
      <w:r w:rsidRPr="00EC1839">
        <w:rPr>
          <w:b/>
          <w:bCs/>
          <w:lang w:val="en-US"/>
        </w:rPr>
        <w:t>Gao J</w:t>
      </w:r>
      <w:r w:rsidRPr="00EC1839">
        <w:rPr>
          <w:lang w:val="en-US"/>
        </w:rPr>
        <w:t xml:space="preserve">, </w:t>
      </w:r>
      <w:proofErr w:type="spellStart"/>
      <w:r w:rsidRPr="00EC1839">
        <w:rPr>
          <w:b/>
          <w:bCs/>
          <w:lang w:val="en-US"/>
        </w:rPr>
        <w:t>Gillilland</w:t>
      </w:r>
      <w:proofErr w:type="spellEnd"/>
      <w:r w:rsidRPr="00EC1839">
        <w:rPr>
          <w:b/>
          <w:bCs/>
          <w:lang w:val="en-US"/>
        </w:rPr>
        <w:t xml:space="preserve"> M</w:t>
      </w:r>
      <w:r w:rsidRPr="00EC1839">
        <w:rPr>
          <w:lang w:val="en-US"/>
        </w:rPr>
        <w:t xml:space="preserve">, </w:t>
      </w:r>
      <w:r w:rsidRPr="00EC1839">
        <w:rPr>
          <w:b/>
          <w:bCs/>
          <w:lang w:val="en-US"/>
        </w:rPr>
        <w:t>Wu X</w:t>
      </w:r>
      <w:r w:rsidRPr="00EC1839">
        <w:rPr>
          <w:lang w:val="en-US"/>
        </w:rPr>
        <w:t xml:space="preserve">, </w:t>
      </w:r>
      <w:r w:rsidRPr="00EC1839">
        <w:rPr>
          <w:b/>
          <w:bCs/>
          <w:lang w:val="en-US"/>
        </w:rPr>
        <w:t>Song I</w:t>
      </w:r>
      <w:r w:rsidRPr="00EC1839">
        <w:rPr>
          <w:lang w:val="en-US"/>
        </w:rPr>
        <w:t xml:space="preserve">, </w:t>
      </w:r>
      <w:r w:rsidRPr="00EC1839">
        <w:rPr>
          <w:b/>
          <w:bCs/>
          <w:lang w:val="en-US"/>
        </w:rPr>
        <w:t>Kao JY</w:t>
      </w:r>
      <w:r w:rsidRPr="00EC1839">
        <w:rPr>
          <w:lang w:val="en-US"/>
        </w:rPr>
        <w:t xml:space="preserve">, </w:t>
      </w:r>
      <w:proofErr w:type="spellStart"/>
      <w:r w:rsidRPr="00EC1839">
        <w:rPr>
          <w:b/>
          <w:bCs/>
          <w:lang w:val="en-US"/>
        </w:rPr>
        <w:t>Owyang</w:t>
      </w:r>
      <w:proofErr w:type="spellEnd"/>
      <w:r w:rsidRPr="00EC1839">
        <w:rPr>
          <w:b/>
          <w:bCs/>
          <w:lang w:val="en-US"/>
        </w:rPr>
        <w:t xml:space="preserve"> C</w:t>
      </w:r>
      <w:r w:rsidRPr="00EC1839">
        <w:rPr>
          <w:lang w:val="en-US"/>
        </w:rPr>
        <w:t xml:space="preserve">. 2014. </w:t>
      </w:r>
      <w:proofErr w:type="spellStart"/>
      <w:r w:rsidRPr="00EC1839">
        <w:rPr>
          <w:lang w:val="en-US"/>
        </w:rPr>
        <w:t>Rifaximin</w:t>
      </w:r>
      <w:proofErr w:type="spellEnd"/>
      <w:r w:rsidRPr="00EC1839">
        <w:rPr>
          <w:lang w:val="en-US"/>
        </w:rPr>
        <w:t xml:space="preserve"> alters intestinal bacteria and prevents stress-induced gut inflammation and visceral hyperalgesia in rats. </w:t>
      </w:r>
      <w:proofErr w:type="spellStart"/>
      <w:r w:rsidRPr="00EA589E">
        <w:t>Gastroenterology</w:t>
      </w:r>
      <w:proofErr w:type="spellEnd"/>
      <w:r w:rsidRPr="00EA589E">
        <w:t xml:space="preserve"> </w:t>
      </w:r>
      <w:r w:rsidRPr="00EA589E">
        <w:rPr>
          <w:b/>
          <w:bCs/>
        </w:rPr>
        <w:t>146</w:t>
      </w:r>
      <w:r w:rsidRPr="00EA589E">
        <w:t>:484–496.e4.</w:t>
      </w:r>
    </w:p>
    <w:p w14:paraId="1BD558DC" w14:textId="77777777" w:rsidR="00EA589E" w:rsidRPr="00EA589E" w:rsidRDefault="00EA589E" w:rsidP="00EA589E">
      <w:pPr>
        <w:pStyle w:val="ASM"/>
        <w:numPr>
          <w:ilvl w:val="0"/>
          <w:numId w:val="1"/>
        </w:numPr>
      </w:pPr>
      <w:proofErr w:type="spellStart"/>
      <w:r w:rsidRPr="00EA589E">
        <w:rPr>
          <w:b/>
          <w:bCs/>
        </w:rPr>
        <w:t>Rooks</w:t>
      </w:r>
      <w:proofErr w:type="spellEnd"/>
      <w:r w:rsidRPr="00EA589E">
        <w:rPr>
          <w:b/>
          <w:bCs/>
        </w:rPr>
        <w:t xml:space="preserve"> MG</w:t>
      </w:r>
      <w:r w:rsidRPr="00EA589E">
        <w:t xml:space="preserve">, </w:t>
      </w:r>
      <w:proofErr w:type="spellStart"/>
      <w:r w:rsidRPr="00EA589E">
        <w:rPr>
          <w:b/>
          <w:bCs/>
        </w:rPr>
        <w:t>Veiga</w:t>
      </w:r>
      <w:proofErr w:type="spellEnd"/>
      <w:r w:rsidRPr="00EA589E">
        <w:rPr>
          <w:b/>
          <w:bCs/>
        </w:rPr>
        <w:t xml:space="preserve"> P</w:t>
      </w:r>
      <w:r w:rsidRPr="00EA589E">
        <w:t xml:space="preserve">, </w:t>
      </w:r>
      <w:proofErr w:type="spellStart"/>
      <w:r w:rsidRPr="00EA589E">
        <w:rPr>
          <w:b/>
          <w:bCs/>
        </w:rPr>
        <w:t>Wardwell-scott</w:t>
      </w:r>
      <w:proofErr w:type="spellEnd"/>
      <w:r w:rsidRPr="00EA589E">
        <w:rPr>
          <w:b/>
          <w:bCs/>
        </w:rPr>
        <w:t xml:space="preserve"> LH</w:t>
      </w:r>
      <w:r w:rsidRPr="00EA589E">
        <w:t xml:space="preserve">, </w:t>
      </w:r>
      <w:proofErr w:type="spellStart"/>
      <w:r w:rsidRPr="00EA589E">
        <w:rPr>
          <w:b/>
          <w:bCs/>
        </w:rPr>
        <w:t>Tickle</w:t>
      </w:r>
      <w:proofErr w:type="spellEnd"/>
      <w:r w:rsidRPr="00EA589E">
        <w:rPr>
          <w:b/>
          <w:bCs/>
        </w:rPr>
        <w:t xml:space="preserve"> T</w:t>
      </w:r>
      <w:r w:rsidRPr="00EA589E">
        <w:t xml:space="preserve">, </w:t>
      </w:r>
      <w:proofErr w:type="spellStart"/>
      <w:r w:rsidRPr="00EA589E">
        <w:rPr>
          <w:b/>
          <w:bCs/>
        </w:rPr>
        <w:t>Segata</w:t>
      </w:r>
      <w:proofErr w:type="spellEnd"/>
      <w:r w:rsidRPr="00EA589E">
        <w:rPr>
          <w:b/>
          <w:bCs/>
        </w:rPr>
        <w:t xml:space="preserve"> N</w:t>
      </w:r>
      <w:r w:rsidRPr="00EA589E">
        <w:t xml:space="preserve">, </w:t>
      </w:r>
      <w:proofErr w:type="spellStart"/>
      <w:r w:rsidRPr="00EA589E">
        <w:rPr>
          <w:b/>
          <w:bCs/>
        </w:rPr>
        <w:t>Michaud</w:t>
      </w:r>
      <w:proofErr w:type="spellEnd"/>
      <w:r w:rsidRPr="00EA589E">
        <w:rPr>
          <w:b/>
          <w:bCs/>
        </w:rPr>
        <w:t xml:space="preserve"> M</w:t>
      </w:r>
      <w:r w:rsidRPr="00EA589E">
        <w:t xml:space="preserve">, </w:t>
      </w:r>
      <w:proofErr w:type="spellStart"/>
      <w:r w:rsidRPr="00EA589E">
        <w:rPr>
          <w:b/>
          <w:bCs/>
        </w:rPr>
        <w:t>Gallini</w:t>
      </w:r>
      <w:proofErr w:type="spellEnd"/>
      <w:r w:rsidRPr="00EA589E">
        <w:rPr>
          <w:b/>
          <w:bCs/>
        </w:rPr>
        <w:t xml:space="preserve"> CA</w:t>
      </w:r>
      <w:r w:rsidRPr="00EA589E">
        <w:t xml:space="preserve">, </w:t>
      </w:r>
      <w:proofErr w:type="spellStart"/>
      <w:r w:rsidRPr="00EA589E">
        <w:rPr>
          <w:b/>
          <w:bCs/>
        </w:rPr>
        <w:t>Beal</w:t>
      </w:r>
      <w:proofErr w:type="spellEnd"/>
      <w:r w:rsidRPr="00EA589E">
        <w:rPr>
          <w:b/>
          <w:bCs/>
        </w:rPr>
        <w:t xml:space="preserve"> C</w:t>
      </w:r>
      <w:r w:rsidRPr="00EA589E">
        <w:t xml:space="preserve">, </w:t>
      </w:r>
      <w:r w:rsidRPr="00EA589E">
        <w:rPr>
          <w:b/>
          <w:bCs/>
        </w:rPr>
        <w:t xml:space="preserve">van </w:t>
      </w:r>
      <w:proofErr w:type="spellStart"/>
      <w:r w:rsidRPr="00EA589E">
        <w:rPr>
          <w:b/>
          <w:bCs/>
        </w:rPr>
        <w:t>Hylckama-Vlieg</w:t>
      </w:r>
      <w:proofErr w:type="spellEnd"/>
      <w:r w:rsidRPr="00EA589E">
        <w:rPr>
          <w:b/>
          <w:bCs/>
        </w:rPr>
        <w:t xml:space="preserve"> JET</w:t>
      </w:r>
      <w:r w:rsidRPr="00EA589E">
        <w:t xml:space="preserve">, </w:t>
      </w:r>
      <w:proofErr w:type="spellStart"/>
      <w:r w:rsidRPr="00EA589E">
        <w:rPr>
          <w:b/>
          <w:bCs/>
        </w:rPr>
        <w:t>Ballal</w:t>
      </w:r>
      <w:proofErr w:type="spellEnd"/>
      <w:r w:rsidRPr="00EA589E">
        <w:rPr>
          <w:b/>
          <w:bCs/>
        </w:rPr>
        <w:t xml:space="preserve"> SA</w:t>
      </w:r>
      <w:r w:rsidRPr="00EA589E">
        <w:t xml:space="preserve">, </w:t>
      </w:r>
      <w:r w:rsidRPr="00EA589E">
        <w:rPr>
          <w:b/>
          <w:bCs/>
        </w:rPr>
        <w:t>Morgan XC</w:t>
      </w:r>
      <w:r w:rsidRPr="00EA589E">
        <w:t xml:space="preserve">, </w:t>
      </w:r>
      <w:proofErr w:type="spellStart"/>
      <w:r w:rsidRPr="00EA589E">
        <w:rPr>
          <w:b/>
          <w:bCs/>
        </w:rPr>
        <w:t>Glickman</w:t>
      </w:r>
      <w:proofErr w:type="spellEnd"/>
      <w:r w:rsidRPr="00EA589E">
        <w:rPr>
          <w:b/>
          <w:bCs/>
        </w:rPr>
        <w:t xml:space="preserve"> JN</w:t>
      </w:r>
      <w:r w:rsidRPr="00EA589E">
        <w:t xml:space="preserve">, </w:t>
      </w:r>
      <w:proofErr w:type="spellStart"/>
      <w:r w:rsidRPr="00EA589E">
        <w:rPr>
          <w:b/>
          <w:bCs/>
        </w:rPr>
        <w:t>Gevers</w:t>
      </w:r>
      <w:proofErr w:type="spellEnd"/>
      <w:r w:rsidRPr="00EA589E">
        <w:rPr>
          <w:b/>
          <w:bCs/>
        </w:rPr>
        <w:t xml:space="preserve"> D</w:t>
      </w:r>
      <w:r w:rsidRPr="00EA589E">
        <w:t xml:space="preserve">, </w:t>
      </w:r>
      <w:proofErr w:type="spellStart"/>
      <w:r w:rsidRPr="00EA589E">
        <w:rPr>
          <w:b/>
          <w:bCs/>
        </w:rPr>
        <w:t>Huttenhower</w:t>
      </w:r>
      <w:proofErr w:type="spellEnd"/>
      <w:r w:rsidRPr="00EA589E">
        <w:rPr>
          <w:b/>
          <w:bCs/>
        </w:rPr>
        <w:t xml:space="preserve"> C</w:t>
      </w:r>
      <w:r w:rsidRPr="00EA589E">
        <w:t xml:space="preserve">, </w:t>
      </w:r>
      <w:r w:rsidRPr="00EA589E">
        <w:rPr>
          <w:b/>
          <w:bCs/>
        </w:rPr>
        <w:t>Garrett WS</w:t>
      </w:r>
      <w:r w:rsidRPr="00EA589E">
        <w:t xml:space="preserve">, </w:t>
      </w:r>
      <w:proofErr w:type="spellStart"/>
      <w:r w:rsidRPr="00EA589E">
        <w:rPr>
          <w:b/>
          <w:bCs/>
        </w:rPr>
        <w:t>Hylckama-vlieg</w:t>
      </w:r>
      <w:proofErr w:type="spellEnd"/>
      <w:r w:rsidRPr="00EA589E">
        <w:rPr>
          <w:b/>
          <w:bCs/>
        </w:rPr>
        <w:t xml:space="preserve"> JET Van</w:t>
      </w:r>
      <w:r w:rsidRPr="00EA589E">
        <w:t xml:space="preserve">, </w:t>
      </w:r>
      <w:proofErr w:type="spellStart"/>
      <w:r w:rsidRPr="00EA589E">
        <w:rPr>
          <w:b/>
          <w:bCs/>
        </w:rPr>
        <w:t>Ballal</w:t>
      </w:r>
      <w:proofErr w:type="spellEnd"/>
      <w:r w:rsidRPr="00EA589E">
        <w:rPr>
          <w:b/>
          <w:bCs/>
        </w:rPr>
        <w:t xml:space="preserve"> SA</w:t>
      </w:r>
      <w:r w:rsidRPr="00EA589E">
        <w:t xml:space="preserve">, </w:t>
      </w:r>
      <w:r w:rsidRPr="00EA589E">
        <w:rPr>
          <w:b/>
          <w:bCs/>
        </w:rPr>
        <w:t>Morgan XC</w:t>
      </w:r>
      <w:r w:rsidRPr="00EA589E">
        <w:t xml:space="preserve">, </w:t>
      </w:r>
      <w:proofErr w:type="spellStart"/>
      <w:r w:rsidRPr="00EA589E">
        <w:rPr>
          <w:b/>
          <w:bCs/>
        </w:rPr>
        <w:t>Glickman</w:t>
      </w:r>
      <w:proofErr w:type="spellEnd"/>
      <w:r w:rsidRPr="00EA589E">
        <w:rPr>
          <w:b/>
          <w:bCs/>
        </w:rPr>
        <w:t xml:space="preserve"> JN</w:t>
      </w:r>
      <w:r w:rsidRPr="00EA589E">
        <w:t xml:space="preserve">, </w:t>
      </w:r>
      <w:proofErr w:type="spellStart"/>
      <w:r w:rsidRPr="00EA589E">
        <w:rPr>
          <w:b/>
          <w:bCs/>
        </w:rPr>
        <w:t>Gevers</w:t>
      </w:r>
      <w:proofErr w:type="spellEnd"/>
      <w:r w:rsidRPr="00EA589E">
        <w:rPr>
          <w:b/>
          <w:bCs/>
        </w:rPr>
        <w:t xml:space="preserve"> D</w:t>
      </w:r>
      <w:r w:rsidRPr="00EA589E">
        <w:t xml:space="preserve">, </w:t>
      </w:r>
      <w:proofErr w:type="spellStart"/>
      <w:r w:rsidRPr="00EA589E">
        <w:rPr>
          <w:b/>
          <w:bCs/>
        </w:rPr>
        <w:t>Huttenhower</w:t>
      </w:r>
      <w:proofErr w:type="spellEnd"/>
      <w:r w:rsidRPr="00EA589E">
        <w:rPr>
          <w:b/>
          <w:bCs/>
        </w:rPr>
        <w:t xml:space="preserve"> C</w:t>
      </w:r>
      <w:r w:rsidRPr="00EA589E">
        <w:t xml:space="preserve">, </w:t>
      </w:r>
      <w:r w:rsidRPr="00EA589E">
        <w:rPr>
          <w:b/>
          <w:bCs/>
        </w:rPr>
        <w:t>Garrett WS</w:t>
      </w:r>
      <w:r w:rsidRPr="00EA589E">
        <w:t xml:space="preserve">. 2014. </w:t>
      </w:r>
      <w:r w:rsidRPr="00EC1839">
        <w:rPr>
          <w:lang w:val="en-US"/>
        </w:rPr>
        <w:t xml:space="preserve">Gut microbiome composition and function in </w:t>
      </w:r>
      <w:r w:rsidRPr="00EC1839">
        <w:rPr>
          <w:lang w:val="en-US"/>
        </w:rPr>
        <w:lastRenderedPageBreak/>
        <w:t xml:space="preserve">experimental colitis during active disease and treatment-induced remission. </w:t>
      </w:r>
      <w:r w:rsidRPr="00EA589E">
        <w:t xml:space="preserve">ISME J </w:t>
      </w:r>
      <w:r w:rsidRPr="00EA589E">
        <w:rPr>
          <w:b/>
          <w:bCs/>
        </w:rPr>
        <w:t>8</w:t>
      </w:r>
      <w:r w:rsidRPr="00EA589E">
        <w:t>:1403–17.</w:t>
      </w:r>
    </w:p>
    <w:p w14:paraId="27521FAC" w14:textId="77777777" w:rsidR="00EA589E" w:rsidRPr="00FF0F13" w:rsidRDefault="00EA589E" w:rsidP="00EA589E">
      <w:pPr>
        <w:pStyle w:val="ASM"/>
        <w:ind w:left="830"/>
        <w:jc w:val="left"/>
        <w:rPr>
          <w:lang w:val="en-US"/>
        </w:rPr>
      </w:pP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9">
        <w:r w:rsidRPr="00EB43BE">
          <w:rPr>
            <w:rStyle w:val="Hyperlink"/>
            <w:lang w:val="en-US"/>
          </w:rPr>
          <w:t>http:</w:t>
        </w:r>
        <w:bookmarkStart w:id="63" w:name="_bookmark63"/>
        <w:bookmarkEnd w:id="63"/>
        <w:r w:rsidRPr="00EB43BE">
          <w:rPr>
            <w:rStyle w:val="Hyperlink"/>
            <w:i/>
            <w:lang w:val="en-US"/>
          </w:rPr>
          <w:t>//</w:t>
        </w:r>
        <w:r w:rsidRPr="00EB43BE">
          <w:rPr>
            <w:rStyle w:val="Hyperlink"/>
            <w:lang w:val="en-US"/>
          </w:rPr>
          <w:t>hannonlab.cshl.edu</w:t>
        </w:r>
        <w:r w:rsidRPr="00EB43BE">
          <w:rPr>
            <w:rStyle w:val="Hyperlink"/>
            <w:i/>
            <w:lang w:val="en-US"/>
          </w:rPr>
          <w:t>/</w:t>
        </w:r>
        <w:r w:rsidRPr="00EB43BE">
          <w:rPr>
            <w:rStyle w:val="Hyperlink"/>
            <w:lang w:val="en-US"/>
          </w:rPr>
          <w:t>fastx_toolkit</w:t>
        </w:r>
        <w:r w:rsidRPr="00EB43BE">
          <w:rPr>
            <w:rStyle w:val="Hyperlink"/>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8D6AE0">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lastRenderedPageBreak/>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CA20865" w:rsidR="00722AEF" w:rsidRPr="00722AEF" w:rsidRDefault="00722AEF" w:rsidP="008D6AE0">
      <w:pPr>
        <w:pStyle w:val="ASM"/>
        <w:jc w:val="left"/>
        <w:rPr>
          <w:lang w:val="en-US"/>
        </w:rPr>
      </w:pPr>
      <w:r w:rsidRPr="00722AEF">
        <w:rPr>
          <w:b/>
          <w:bCs/>
          <w:lang w:val="en-US"/>
        </w:rPr>
        <w:t xml:space="preserve">Figure 1. </w:t>
      </w:r>
      <w:r w:rsidRPr="00722AEF">
        <w:rPr>
          <w:lang w:val="en-US"/>
        </w:rPr>
        <w:t>X-weighted power-law fits of the standard deviations (</w:t>
      </w:r>
      <w:proofErr w:type="spellStart"/>
      <w:r w:rsidRPr="00722AEF">
        <w:rPr>
          <w:lang w:val="en-US"/>
        </w:rPr>
        <w:t>std</w:t>
      </w:r>
      <w:proofErr w:type="spellEnd"/>
      <w:r w:rsidRPr="00722AEF">
        <w:rPr>
          <w:lang w:val="en-US"/>
        </w:rPr>
        <w:t>) 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173F3EA0" w:rsidR="00722AEF" w:rsidRPr="00722AEF" w:rsidRDefault="00722AEF" w:rsidP="008D6AE0">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individuals in the Taylor parameter space, while dashed line delimits the 98% CL region. Points with errors place each individual gut microbiome</w:t>
      </w:r>
      <w:r w:rsidR="005151B6">
        <w:rPr>
          <w:lang w:val="en-US"/>
        </w:rPr>
        <w:t xml:space="preserve"> </w:t>
      </w:r>
      <w:r w:rsidR="005151B6" w:rsidRPr="005151B6">
        <w:rPr>
          <w:highlight w:val="green"/>
          <w:lang w:val="en-US"/>
        </w:rPr>
        <w:t>whose microbiota was compromised,</w:t>
      </w:r>
      <w:r w:rsidRPr="00722AEF">
        <w:rPr>
          <w:lang w:val="en-US"/>
        </w:rPr>
        <w:t xml:space="preserv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lastRenderedPageBreak/>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1C603CD8" w:rsidR="00722AEF" w:rsidRPr="00722AEF" w:rsidRDefault="0056254F" w:rsidP="008D6AE0">
      <w:pPr>
        <w:pStyle w:val="ASM"/>
        <w:jc w:val="left"/>
        <w:rPr>
          <w:lang w:val="en-US"/>
        </w:rPr>
      </w:pPr>
      <w:r>
        <w:rPr>
          <w:b/>
          <w:lang w:val="en-US"/>
        </w:rPr>
        <w:t xml:space="preserve">Supplementary </w:t>
      </w:r>
      <w:r w:rsidR="00722AEF" w:rsidRPr="00722AEF">
        <w:rPr>
          <w:b/>
          <w:lang w:val="en-US"/>
        </w:rPr>
        <w:t xml:space="preserve">Figure </w:t>
      </w:r>
      <w:r w:rsidR="00FB69ED">
        <w:rPr>
          <w:b/>
          <w:lang w:val="en-US"/>
        </w:rPr>
        <w:t>1</w:t>
      </w:r>
      <w:r w:rsidR="00722AEF" w:rsidRPr="00722AEF">
        <w:rPr>
          <w:b/>
          <w:lang w:val="en-US"/>
        </w:rPr>
        <w:t xml:space="preserve">. </w:t>
      </w:r>
      <w:r w:rsidR="00722AEF"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7E71A617" w14:textId="083F70E3" w:rsidR="00EA589E" w:rsidRPr="00095DA2" w:rsidRDefault="00FB69ED" w:rsidP="008D6AE0">
      <w:pPr>
        <w:pStyle w:val="ASM"/>
        <w:jc w:val="left"/>
        <w:rPr>
          <w:lang w:val="en-US"/>
        </w:rPr>
      </w:pPr>
      <w:r>
        <w:rPr>
          <w:b/>
          <w:lang w:val="en-US"/>
        </w:rPr>
        <w:t xml:space="preserve">Supplementary </w:t>
      </w:r>
      <w:r w:rsidR="00722AEF" w:rsidRPr="00722AEF">
        <w:rPr>
          <w:b/>
          <w:lang w:val="en-US"/>
        </w:rPr>
        <w:t xml:space="preserve">Figure </w:t>
      </w:r>
      <w:r>
        <w:rPr>
          <w:b/>
          <w:lang w:val="en-US"/>
        </w:rPr>
        <w:t>2</w:t>
      </w:r>
      <w:r w:rsidR="00722AEF" w:rsidRPr="00722AEF">
        <w:rPr>
          <w:b/>
          <w:lang w:val="en-US"/>
        </w:rPr>
        <w:t xml:space="preserve">. </w:t>
      </w:r>
      <w:r w:rsidR="00722AEF" w:rsidRPr="00722AEF">
        <w:rPr>
          <w:lang w:val="en-US"/>
        </w:rPr>
        <w:t xml:space="preserve">Detail of comparison of different approaches based on adjacent taxonomic levels using plots of X-weighted power-law fits (see Material and Methods). The </w:t>
      </w:r>
      <w:r w:rsidR="00722AEF" w:rsidRPr="00722AEF">
        <w:rPr>
          <w:lang w:val="en-US"/>
        </w:rPr>
        <w:lastRenderedPageBreak/>
        <w:t>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EA589E"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D3446" w14:textId="77777777" w:rsidR="00EF3129" w:rsidRDefault="00EF3129" w:rsidP="00917718">
      <w:pPr>
        <w:spacing w:after="0" w:line="240" w:lineRule="auto"/>
      </w:pPr>
      <w:r>
        <w:separator/>
      </w:r>
    </w:p>
  </w:endnote>
  <w:endnote w:type="continuationSeparator" w:id="0">
    <w:p w14:paraId="39172A08" w14:textId="77777777" w:rsidR="00EF3129" w:rsidRDefault="00EF3129"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C1839" w:rsidRDefault="00EC1839"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C1839" w:rsidRDefault="00EC18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C1839" w:rsidRDefault="00EC1839"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074C">
      <w:rPr>
        <w:rStyle w:val="PageNumber"/>
        <w:noProof/>
      </w:rPr>
      <w:t>1</w:t>
    </w:r>
    <w:r>
      <w:rPr>
        <w:rStyle w:val="PageNumber"/>
      </w:rPr>
      <w:fldChar w:fldCharType="end"/>
    </w:r>
  </w:p>
  <w:p w14:paraId="0FC5CDE6" w14:textId="27F3A154" w:rsidR="00EC1839" w:rsidRDefault="00EC1839">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C1839" w:rsidRDefault="00EC1839">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C1839" w:rsidRDefault="00EC1839">
                <w:pPr>
                  <w:pStyle w:val="BodyText"/>
                  <w:spacing w:line="254" w:lineRule="exact"/>
                  <w:ind w:left="40"/>
                </w:pPr>
                <w:r>
                  <w:fldChar w:fldCharType="begin"/>
                </w:r>
                <w:r>
                  <w:rPr>
                    <w:w w:val="110"/>
                  </w:rPr>
                  <w:instrText xml:space="preserve"> PAGE </w:instrText>
                </w:r>
                <w:r>
                  <w:fldChar w:fldCharType="separate"/>
                </w:r>
                <w:r w:rsidR="0071649C">
                  <w:rPr>
                    <w:noProof/>
                    <w:w w:val="110"/>
                  </w:rPr>
                  <w:t>15</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1721C" w14:textId="77777777" w:rsidR="00EF3129" w:rsidRDefault="00EF3129" w:rsidP="00917718">
      <w:pPr>
        <w:spacing w:after="0" w:line="240" w:lineRule="auto"/>
      </w:pPr>
      <w:r>
        <w:separator/>
      </w:r>
    </w:p>
  </w:footnote>
  <w:footnote w:type="continuationSeparator" w:id="0">
    <w:p w14:paraId="27456B4D" w14:textId="77777777" w:rsidR="00EF3129" w:rsidRDefault="00EF3129"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0C1880"/>
    <w:rsid w:val="001A7B4D"/>
    <w:rsid w:val="001B1F46"/>
    <w:rsid w:val="001F074C"/>
    <w:rsid w:val="002021C7"/>
    <w:rsid w:val="00206874"/>
    <w:rsid w:val="0023421E"/>
    <w:rsid w:val="002A71E1"/>
    <w:rsid w:val="002B3F0D"/>
    <w:rsid w:val="002C6793"/>
    <w:rsid w:val="002E19AC"/>
    <w:rsid w:val="002F5053"/>
    <w:rsid w:val="00302881"/>
    <w:rsid w:val="0032465C"/>
    <w:rsid w:val="00371757"/>
    <w:rsid w:val="00374ACE"/>
    <w:rsid w:val="0038204F"/>
    <w:rsid w:val="003E6ED0"/>
    <w:rsid w:val="00401130"/>
    <w:rsid w:val="00405785"/>
    <w:rsid w:val="00423E4D"/>
    <w:rsid w:val="004439B9"/>
    <w:rsid w:val="00467DB7"/>
    <w:rsid w:val="004944C9"/>
    <w:rsid w:val="004D2399"/>
    <w:rsid w:val="00501D4E"/>
    <w:rsid w:val="00510477"/>
    <w:rsid w:val="005151B6"/>
    <w:rsid w:val="00553284"/>
    <w:rsid w:val="0056254F"/>
    <w:rsid w:val="005722CB"/>
    <w:rsid w:val="0061151D"/>
    <w:rsid w:val="0065557D"/>
    <w:rsid w:val="00680807"/>
    <w:rsid w:val="00686787"/>
    <w:rsid w:val="006B480E"/>
    <w:rsid w:val="006D5D65"/>
    <w:rsid w:val="006E2CD9"/>
    <w:rsid w:val="006F45FF"/>
    <w:rsid w:val="007028A0"/>
    <w:rsid w:val="007123EF"/>
    <w:rsid w:val="0071649C"/>
    <w:rsid w:val="00721949"/>
    <w:rsid w:val="00722AEF"/>
    <w:rsid w:val="00755A74"/>
    <w:rsid w:val="00770992"/>
    <w:rsid w:val="00786555"/>
    <w:rsid w:val="0085786F"/>
    <w:rsid w:val="00867997"/>
    <w:rsid w:val="008720B6"/>
    <w:rsid w:val="00886E8A"/>
    <w:rsid w:val="008D6AE0"/>
    <w:rsid w:val="008E68E4"/>
    <w:rsid w:val="00913FD9"/>
    <w:rsid w:val="00917718"/>
    <w:rsid w:val="00967E23"/>
    <w:rsid w:val="009B3ADF"/>
    <w:rsid w:val="009D0AF4"/>
    <w:rsid w:val="009E0B34"/>
    <w:rsid w:val="00A54373"/>
    <w:rsid w:val="00A878F0"/>
    <w:rsid w:val="00AE31C9"/>
    <w:rsid w:val="00B00202"/>
    <w:rsid w:val="00B43286"/>
    <w:rsid w:val="00B9636B"/>
    <w:rsid w:val="00BA5DE6"/>
    <w:rsid w:val="00BB0891"/>
    <w:rsid w:val="00BC148C"/>
    <w:rsid w:val="00BD5592"/>
    <w:rsid w:val="00C85E8F"/>
    <w:rsid w:val="00CE5E84"/>
    <w:rsid w:val="00CF7689"/>
    <w:rsid w:val="00D4116B"/>
    <w:rsid w:val="00D64243"/>
    <w:rsid w:val="00DA184C"/>
    <w:rsid w:val="00DD36DA"/>
    <w:rsid w:val="00DE1637"/>
    <w:rsid w:val="00DE16C1"/>
    <w:rsid w:val="00E90587"/>
    <w:rsid w:val="00E9242A"/>
    <w:rsid w:val="00E93677"/>
    <w:rsid w:val="00EA589E"/>
    <w:rsid w:val="00EB43BE"/>
    <w:rsid w:val="00EB6821"/>
    <w:rsid w:val="00EC0C64"/>
    <w:rsid w:val="00EC0E2A"/>
    <w:rsid w:val="00EC1839"/>
    <w:rsid w:val="00EE209B"/>
    <w:rsid w:val="00EF3129"/>
    <w:rsid w:val="00EF5D46"/>
    <w:rsid w:val="00F030F3"/>
    <w:rsid w:val="00F20B6C"/>
    <w:rsid w:val="00F3369D"/>
    <w:rsid w:val="00F51F2D"/>
    <w:rsid w:val="00F62034"/>
    <w:rsid w:val="00F740BC"/>
    <w:rsid w:val="00F931C4"/>
    <w:rsid w:val="00FB69ED"/>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30</Pages>
  <Words>8757</Words>
  <Characters>49916</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Microsoft Office User</cp:lastModifiedBy>
  <cp:revision>42</cp:revision>
  <dcterms:created xsi:type="dcterms:W3CDTF">2016-11-24T12:26:00Z</dcterms:created>
  <dcterms:modified xsi:type="dcterms:W3CDTF">2016-12-20T00:42:00Z</dcterms:modified>
</cp:coreProperties>
</file>