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Astera Labs（ALAB）深度研究报告</w:t>
      </w:r>
    </w:p>
    <w:p>
      <w:pPr>
        <w:jc w:val="center"/>
      </w:pPr>
      <w:r>
        <w:rPr>
          <w:color w:val="585858"/>
          <w:sz w:val="24"/>
        </w:rPr>
        <w:t>Astera Labs, Inc.（NASDAQ: ALAB）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2026年6月4日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Astera Labs, Inc.（NASDAQ: ALAB）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Rack-scale AI connectivity、PCIe/CXL、UALink、NVLink Fusion、Scorpio/Aries/Taurus/Leo、COSMOS 软件平台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沿用前文深度研报结构，强化主营业务、财务质量、生态链卡位、非龙头反超潜力和风险分析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2026年6月4日公开资料；最新季度口径为 2026 Q1，最新全年口径为 FY2025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免责声明：本报告仅用于研究和信息参考，不构成任何投资建议、买卖建议或收益承诺。ALAB 估值和股价受 AI 资本开支、客户集中度、PCIe/CXL/UALink/NVLink 标准演进、产品导入节奏、供应链、竞争格局和市场流动性影响较大，实际投资决策需结合实时行情和个人风险承受能力。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Agent 生态链与商业模式</w:t>
      </w:r>
    </w:p>
    <w:p>
      <w:pPr>
        <w:pStyle w:val="ListBullet"/>
        <w:spacing w:after="80" w:line="280" w:lineRule="auto"/>
        <w:ind w:left="720" w:hanging="360"/>
      </w:pPr>
      <w:r>
        <w:t>五、主营业务深度拆解</w:t>
      </w:r>
    </w:p>
    <w:p>
      <w:pPr>
        <w:pStyle w:val="ListBullet"/>
        <w:spacing w:after="80" w:line="280" w:lineRule="auto"/>
        <w:ind w:left="720" w:hanging="360"/>
      </w:pPr>
      <w:r>
        <w:t>六、行业竞争格局与反超潜力</w:t>
      </w:r>
    </w:p>
    <w:p>
      <w:pPr>
        <w:pStyle w:val="ListBullet"/>
        <w:spacing w:after="80" w:line="280" w:lineRule="auto"/>
        <w:ind w:left="720" w:hanging="360"/>
      </w:pPr>
      <w:r>
        <w:t>七、管理层与治理结构</w:t>
      </w:r>
    </w:p>
    <w:p>
      <w:pPr>
        <w:pStyle w:val="ListBullet"/>
        <w:spacing w:after="80" w:line="280" w:lineRule="auto"/>
        <w:ind w:left="720" w:hanging="360"/>
      </w:pPr>
      <w:r>
        <w:t>八、财务会计信息</w:t>
      </w:r>
    </w:p>
    <w:p>
      <w:pPr>
        <w:pStyle w:val="ListBullet"/>
        <w:spacing w:after="80" w:line="280" w:lineRule="auto"/>
        <w:ind w:left="720" w:hanging="360"/>
      </w:pPr>
      <w:r>
        <w:t>九、估值框架与研究评级</w:t>
      </w:r>
    </w:p>
    <w:p>
      <w:pPr>
        <w:pStyle w:val="ListBullet"/>
        <w:spacing w:after="80" w:line="280" w:lineRule="auto"/>
        <w:ind w:left="720" w:hanging="360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Astera Labs, Inc.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NASDAQ: ALAB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美国加利福尼亚州圣何塞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面向机架级 AI 基础设施的半导体连接方案公司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核心平台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Aries、Taurus、Leo、Scorpio、COSMOS、定制连接解决方案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Q1，季度截至 2026年3月31日，公告日 2026年5月5日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Astera Labs 的核心价值是“AI 机架内部和机架间高速连接平台”。它不是 GPU 龙头，也不是交换机系统龙头，而是把 GPU、CPU、NIC、内存、交换芯片和加速器组织成可扩展 AI 系统的连接芯片和软件公司。</w:t>
      </w:r>
    </w:p>
    <w:p>
      <w:pPr>
        <w:spacing w:after="120" w:line="264" w:lineRule="auto"/>
      </w:pPr>
      <w:r>
        <w:rPr>
          <w:sz w:val="22"/>
        </w:rPr>
        <w:t>在 AI Agent 生态链中，ALAB 卡在非常关键但容易被忽视的一层：当 Agentic AI 推理规模扩大后，瓶颈不只在 GPU 数量，而在 GPU 间通信、KV Cache、内存扩展、PCIe/CXL 链路完整性、以太网连接和机架级 fabric 效率。ALAB 的反超潜力来自这些“数据搬运”和“协议连接”瓶颈被重新定价。</w:t>
      </w:r>
    </w:p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2017年，公司成立，聚焦云和 AI 数据中心高速连接芯片。</w:t>
      </w:r>
    </w:p>
    <w:p>
      <w:pPr>
        <w:pStyle w:val="ListBullet"/>
        <w:spacing w:after="80" w:line="280" w:lineRule="auto"/>
        <w:ind w:left="720" w:hanging="360"/>
      </w:pPr>
      <w:r>
        <w:t>2020年前后，Aries PCIe/CXL retimer 产品进入商业化，服务云服务器和加速器互联需求。</w:t>
      </w:r>
    </w:p>
    <w:p>
      <w:pPr>
        <w:pStyle w:val="ListBullet"/>
        <w:spacing w:after="80" w:line="280" w:lineRule="auto"/>
        <w:ind w:left="720" w:hanging="360"/>
      </w:pPr>
      <w:r>
        <w:t>2024年，公司上市，成为 AI connectivity 赛道里最受关注的纯度标的之一。</w:t>
      </w:r>
    </w:p>
    <w:p>
      <w:pPr>
        <w:pStyle w:val="ListBullet"/>
        <w:spacing w:after="80" w:line="280" w:lineRule="auto"/>
        <w:ind w:left="720" w:hanging="360"/>
      </w:pPr>
      <w:r>
        <w:t>2025年，收入达到 8.525 亿美元、同比增长 115%，Scorpio、Aries、Taurus 等产品需求快速放量。</w:t>
      </w:r>
    </w:p>
    <w:p>
      <w:pPr>
        <w:pStyle w:val="ListBullet"/>
        <w:spacing w:after="80" w:line="280" w:lineRule="auto"/>
        <w:ind w:left="720" w:hanging="360"/>
      </w:pPr>
      <w:r>
        <w:t>2026年，Scorpio X-Series 320-lane AI Fabric Switch 开始出货，Q1 收入达到 3.08361 亿美元，同比增长 93%。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Retimer 起步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Aries PCIe/CXL Smart DSP Retimer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解决高速 PCIe 链路信号完整性，是 AI 服务器连接基础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Cable/Module 扩展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Taurus Ethernet Smart Cable Module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从芯片扩展到高速互联模块，提高系统价值量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Memory 扩展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Leo CXL Smart Memory Controller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 KV Cache、内存池化和大内存 AI/数据库工作负载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Fabric Switch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Scorpio P-Series/X-Series PCIe 6 / AI Fabric Switch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从点到点连接升级为机架级 fabric 控制点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软件平台化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COSMOS 软件套件和嵌入式管理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把硬件连接扩展为可观测、可更新、可诊断的平台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产品体系总览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产品/平台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AI Agent 相关性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Aries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PCIe/CXL Smart DSP Retimers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保障 GPU、CPU、NIC、SSD 与加速卡之间高速链路稳定性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Taurus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Ethernet Smart Cable Modules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服务 AI scale-out 网络和高速铜缆/模块化连接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Leo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CXL Smart Memory Controllers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支持内存扩展、KV Cache、AI 推理和内存密集型数据库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Scorpio P-Series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PCIe 6 Smart Fabric Switch，32 到 320 lanes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构建灵活的机架级 PCIe fabric，连接多 GPU/多加速器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Scorpio X-Series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320-lane AI scale-up fabric switch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 frontier AI lab 和高 radix scale-up，支持 memory-semantic fabric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COSMOS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软件管理、诊断、遥测、固件升级和链路可观测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降低 AI 基础设施部署、排障和 fleet management 复杂度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Custom Connectivity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NVLink Fusion、光连接和客户定制方案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适配异构 AI 架构，增强对 hyperscaler 定制需求的覆盖</w:t>
            </w:r>
          </w:p>
        </w:tc>
      </w:tr>
    </w:tbl>
    <w:p/>
    <w:p>
      <w:pPr>
        <w:pStyle w:val="Heading2"/>
      </w:pPr>
      <w:r>
        <w:t>3.2 技术护城河</w:t>
      </w:r>
    </w:p>
    <w:p>
      <w:pPr>
        <w:pStyle w:val="ListBullet"/>
        <w:spacing w:after="80" w:line="280" w:lineRule="auto"/>
        <w:ind w:left="720" w:hanging="360"/>
      </w:pPr>
      <w:r>
        <w:t>协议深度：公司同时覆盖 PCIe、CXL、Ethernet、UALink 和 NVLink Fusion 相关连接需求。</w:t>
      </w:r>
    </w:p>
    <w:p>
      <w:pPr>
        <w:pStyle w:val="ListBullet"/>
        <w:spacing w:after="80" w:line="280" w:lineRule="auto"/>
        <w:ind w:left="720" w:hanging="360"/>
      </w:pPr>
      <w:r>
        <w:t>信号完整性：高速 SerDes、retimer、switch 和 smart cable module 是 AI 服务器链路可靠性的基础。</w:t>
      </w:r>
    </w:p>
    <w:p>
      <w:pPr>
        <w:pStyle w:val="ListBullet"/>
        <w:spacing w:after="80" w:line="280" w:lineRule="auto"/>
        <w:ind w:left="720" w:hanging="360"/>
      </w:pPr>
      <w:r>
        <w:t>软件嵌入：COSMOS 提供诊断、遥测、固件更新和 fleet 管理，提高客户切换成本。</w:t>
      </w:r>
    </w:p>
    <w:p>
      <w:pPr>
        <w:pStyle w:val="ListBullet"/>
        <w:spacing w:after="80" w:line="280" w:lineRule="auto"/>
        <w:ind w:left="720" w:hanging="360"/>
      </w:pPr>
      <w:r>
        <w:t>客户联合设计：与 hyperscaler 和生态伙伴共研，能更早进入下一代 AI 机架架构。</w:t>
      </w:r>
    </w:p>
    <w:p>
      <w:pPr>
        <w:pStyle w:val="ListBullet"/>
        <w:spacing w:after="80" w:line="280" w:lineRule="auto"/>
        <w:ind w:left="720" w:hanging="360"/>
      </w:pPr>
      <w:r>
        <w:t>产品纯度：与综合芯片公司相比，ALAB 更集中受益于 AI connectivity 需求。</w:t>
      </w:r>
    </w:p>
    <w:p>
      <w:pPr>
        <w:pStyle w:val="Heading2"/>
      </w:pPr>
      <w:r>
        <w:t>3.3 Scorpio X-Series 的战略意义</w:t>
      </w:r>
    </w:p>
    <w:p>
      <w:pPr>
        <w:spacing w:after="120" w:line="264" w:lineRule="auto"/>
      </w:pPr>
      <w:r>
        <w:rPr>
          <w:sz w:val="22"/>
        </w:rPr>
        <w:t>Scorpio X-Series 320-lane AI Fabric Switch 是 ALAB 从连接芯片供应商升级为 AI fabric 平台公司的关键产品。公司称其面向 frontier AI lab 工作负载，支持开放和平台特定协议，并通过 Hypercast 和 In-Network Compute 改善 collective operations、降低延迟和优化 agentic inference token economics。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ALAB 的最大机会在于 AI 机架从“GPU 拼装”走向“fabric 架构优化”。如果未来异构加速器、开放标准和 memory-semantic fabric 普及，ALAB 有机会从 retimer 公司跃迁为机架级 AI fabric 控制点。</w:t>
            </w:r>
          </w:p>
        </w:tc>
      </w:tr>
    </w:tbl>
    <w:p/>
    <w:p>
      <w:pPr>
        <w:pStyle w:val="Heading1"/>
      </w:pPr>
      <w:r>
        <w:t>四、AI Agent 生态链与商业模式</w:t>
      </w:r>
    </w:p>
    <w:p>
      <w:pPr>
        <w:pStyle w:val="Heading2"/>
      </w:pPr>
      <w:r>
        <w:t>4.1 生态链卡位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100"/>
        <w:gridCol w:w="2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生态层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ALAB 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A股/产业映射方向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Agent 应用层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不直接做应用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Agent 请求量和上下文长度增加，推动推理集群扩张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应用、云服务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算力层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GPU/CPU/NIC/内存之间的高速连接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集群性能受数据搬运效率约束，连接芯片价值提升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服务器、PCB、连接器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机架级互联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PCIe/CXL/UALink/NVLink Fusion/Scorpio fabric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多加速器 scale-up 和异构计算需要开放互联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高速互联、交换芯片、CXL 生态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互联层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Taurus Ethernet SCM、光/定制连接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从机架内到机架间，铜缆/光互联需求升级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AEC/DAC、光模块、硅光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软件管理层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COSMOS 诊断和 fleet management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集群需要可观测、可更新、可诊断的连接层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网络运维、数据中心管理软件</w:t>
            </w:r>
          </w:p>
        </w:tc>
      </w:tr>
    </w:tbl>
    <w:p/>
    <w:p>
      <w:pPr>
        <w:pStyle w:val="Heading2"/>
      </w:pPr>
      <w:r>
        <w:t>4.2 商业模式</w:t>
      </w:r>
    </w:p>
    <w:p>
      <w:pPr>
        <w:spacing w:after="120" w:line="264" w:lineRule="auto"/>
      </w:pPr>
      <w:r>
        <w:rPr>
          <w:sz w:val="22"/>
        </w:rPr>
        <w:t>ALAB 是 fabless 半导体公司，收入主要来自面向云和 AI 基础设施客户的连接芯片、模块和相关解决方案。公司不承担晶圆厂资本开支，但依赖代工、封测、基板、线缆、模块和客户认证周期。</w:t>
      </w:r>
    </w:p>
    <w:p>
      <w:pPr>
        <w:spacing w:after="120" w:line="264" w:lineRule="auto"/>
      </w:pPr>
      <w:r>
        <w:rPr>
          <w:sz w:val="22"/>
        </w:rPr>
        <w:t>公司商业模式的关键不是单颗芯片 ASP，而是进入 hyperscaler 的 AI 平台架构后，随服务器代际、GPU 机架密度、协议升级和软件管理需求同步扩张。由于产品通常嵌入系统级设计，客户导入成功后具备较强放量弹性，但客户集中度和项目节奏也会放大业绩波动。</w:t>
      </w:r>
    </w:p>
    <w:p>
      <w:pPr>
        <w:pStyle w:val="Heading1"/>
      </w:pPr>
      <w:r>
        <w:t>五、主营业务深度拆解</w:t>
      </w:r>
    </w:p>
    <w:p>
      <w:pPr>
        <w:pStyle w:val="Heading2"/>
      </w:pPr>
      <w:r>
        <w:t>5.1 业务线与收入逻辑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700"/>
        <w:gridCol w:w="27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业务线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核心产品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收入逻辑</w:t>
            </w:r>
          </w:p>
        </w:tc>
        <w:tc>
          <w:tcPr>
            <w:tcW w:type="dxa" w:w="2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跟踪指标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PCIe/CXL Retimer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Aries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服务器和加速卡高速链路升级带动 retimer 数量和规格提升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PCIe 5/6 迁移、GPU 服务器设计赢单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Ethernet SCM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Taurus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scale-out 和高带宽网络推动 smart cable/module 需求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800G/1.6T 连接、铜缆距离、客户认证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CXL Memory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Leo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KV Cache、内存扩展和内存池化带来新需求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CXL 服务器部署、Azure M-series 相关进展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PCIe Fabric Switch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Scorpio P-Series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 32 到 320 lane，服务不同规模机架 fabric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下半年客户出货、2027 规模放量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Scale-up Fabric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Scorpio X-Series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 frontier AI lab，高 radix、memory-semantic fabric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生产爬坡、merchant scale-up TAM、UALink/NVLink Fusion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Software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COSMOS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诊断、遥测、固件和链路管理提高客户黏性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 attach、故障诊断能力、fleet 管理采用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Custom / Optical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NVLink Fusion、光连接、客户定制方案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满足 hyperscaler 异构和定制架构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新设计项目、光连接路线、客户数量</w:t>
            </w:r>
          </w:p>
        </w:tc>
      </w:tr>
    </w:tbl>
    <w:p/>
    <w:p>
      <w:pPr>
        <w:pStyle w:val="Heading2"/>
      </w:pPr>
      <w:r>
        <w:t>5.2 非龙头反超逻辑</w:t>
      </w:r>
    </w:p>
    <w:p>
      <w:pPr>
        <w:spacing w:after="120" w:line="264" w:lineRule="auto"/>
      </w:pPr>
      <w:r>
        <w:rPr>
          <w:sz w:val="22"/>
        </w:rPr>
        <w:t>ALAB 不是 Broadcom、NVIDIA 或 Arista 那样的平台龙头，但它的反超潜力来自赛道变化：AI 基础设施的瓶颈正从“单颗 GPU 性能”扩展到“机架级数据搬运效率”。如果 PCIe 6、CXL、UALink、NVLink Fusion 和 Ethernet 共同构成下一代异构 AI 机架，ALAB 的连接平台会从配套芯片变成架构关键节点。</w:t>
      </w:r>
    </w:p>
    <w:p>
      <w:pPr>
        <w:spacing w:after="120" w:line="264" w:lineRule="auto"/>
      </w:pPr>
      <w:r>
        <w:rPr>
          <w:sz w:val="22"/>
        </w:rPr>
        <w:t>与 MRVL 相比，ALAB 业务更窄但纯度更高；与 Credo 相比，ALAB 覆盖协议更广，且从 retimer 延伸到 switch、memory controller 和 software；与 Broadcom 相比，ALAB 体量小但更容易在细分新标准中获得高增速。</w:t>
      </w:r>
    </w:p>
    <w:p>
      <w:pPr>
        <w:pStyle w:val="Heading1"/>
      </w:pPr>
      <w:r>
        <w:t>六、行业竞争格局与反超潜力</w:t>
      </w:r>
    </w:p>
    <w:p>
      <w:pPr>
        <w:pStyle w:val="Heading2"/>
      </w:pPr>
      <w:r>
        <w:t>6.1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900"/>
        <w:gridCol w:w="25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ALAB 优势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PCIe/CXL Retimer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Broadcom、Parade、Rambus、Montage 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connectivity 纯度高，客户验证和产品迭代快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大厂可通过平台捆绑和价格竞争压制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PCIe/CXL Switch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Broadcom、Microchip、XConn/Marvell、定制 ASIC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Scorpio P/X 覆盖 32-320 lanes，定位 AI fabric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Broadcom/Marvell 生态和客户深度更强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Ethernet/Smart Cable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Credo、Marvell、Broadcom、传统线缆/模块厂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Taurus 与 COSMOS 可做智能诊断和系统管理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Credo 在 AEC 和线缆生态中也有高弹性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CXL Memory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Rambus、Samsung、Micron、Intel 生态、云厂商自研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Leo 已进入云端验证场景，适配 KV Cache 和内存扩展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CXL 商业化节奏仍不确定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Scale-up Fabric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NVLink、UALink 生态、Broadcom、云厂商自研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开放标准和异构架构受益，Scorpio X 先发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封闭生态和客户自研方案压力大</w:t>
            </w:r>
          </w:p>
        </w:tc>
      </w:tr>
    </w:tbl>
    <w:p/>
    <w:p>
      <w:pPr>
        <w:pStyle w:val="Heading2"/>
      </w:pPr>
      <w:r>
        <w:t>6.2 竞争格局判断</w:t>
      </w:r>
    </w:p>
    <w:p>
      <w:pPr>
        <w:spacing w:after="120" w:line="264" w:lineRule="auto"/>
      </w:pPr>
      <w:r>
        <w:rPr>
          <w:sz w:val="22"/>
        </w:rPr>
        <w:t>ALAB 的关键不在于与所有大厂正面竞争，而在于能否在新一代 AI 机架标准切换中成为默认连接层供应商。其优势是专注、迭代快、产品组合围绕 AI connectivity 设计；风险是大客户集中、标准变化快、Broadcom/Marvell/NVIDIA 等大厂都有能力内生或捆绑替代。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研究判断：</w:t>
            </w:r>
            <w:r>
              <w:t xml:space="preserve"> ALAB 更像“AI 机架互联的高贝塔标的”。当市场关注点从 GPU 转向机架级系统效率时，它的估值弹性会放大；但若客户自研或大厂平台化吞噬连接层利润，回撤也会更剧烈。</w:t>
            </w:r>
          </w:p>
        </w:tc>
      </w:tr>
    </w:tbl>
    <w:p/>
    <w:p>
      <w:pPr>
        <w:pStyle w:val="Heading1"/>
      </w:pPr>
      <w:r>
        <w:t>七、管理层与治理结构</w:t>
      </w:r>
    </w:p>
    <w:p>
      <w:pPr>
        <w:pStyle w:val="Heading2"/>
      </w:pPr>
      <w:r>
        <w:t>7.1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Jitendra Mohan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Executive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产品路线、hyperscaler 合作、AI fabric 战略和长期平台化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Sanjay Gajendra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President and Chief Operating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全球运营、客户导入、供应链和规模化执行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Desmond Lynch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Financial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财务纪律、费用投入、毛利率和资本配置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Casey Morrison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Product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产品组合、协议路线和客户定制解决方案</w:t>
            </w:r>
          </w:p>
        </w:tc>
      </w:tr>
    </w:tbl>
    <w:p/>
    <w:p>
      <w:pPr>
        <w:pStyle w:val="Heading2"/>
      </w:pPr>
      <w:r>
        <w:t>7.2 资本配置</w:t>
      </w:r>
    </w:p>
    <w:p>
      <w:pPr>
        <w:spacing w:after="120" w:line="264" w:lineRule="auto"/>
      </w:pPr>
      <w:r>
        <w:rPr>
          <w:sz w:val="22"/>
        </w:rPr>
        <w:t>ALAB 处于高增长阶段，资本配置重点是 R&amp;D、产品扩张、客户支持和全球设计能力。2025 年公司开设以色列设计中心，2026 Q1 研发费用达到 1.256 亿美元，同比显著增长，显示公司正在用高毛利支持新一代 fabric、光连接和定制方案投入。</w:t>
      </w:r>
    </w:p>
    <w:p>
      <w:pPr>
        <w:pStyle w:val="Heading1"/>
      </w:pPr>
      <w:r>
        <w:t>八、财务会计信息</w:t>
      </w:r>
    </w:p>
    <w:p>
      <w:pPr>
        <w:pStyle w:val="Heading2"/>
      </w:pPr>
      <w:r>
        <w:t>8.1 最新季度损益表</w:t>
      </w:r>
    </w:p>
    <w:p>
      <w:pPr>
        <w:spacing w:after="80"/>
      </w:pPr>
      <w:r>
        <w:rPr>
          <w:color w:val="585858"/>
          <w:sz w:val="18"/>
        </w:rPr>
        <w:t>数据来源：Astera Labs 2026 Q1 业绩公告。金额单位：亿美元，EPS 为美元。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400"/>
        <w:gridCol w:w="4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3.08361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+93%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PCIe 6 产品和 AI connectivity 需求推动季度新高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76.3%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+1.4pct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产品结构强，毛利率显著高于多数硬件芯片公司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营业利润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0.61833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+448%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收入规模扩大后经营杠杆明显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营业利润率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20.1%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+13.0pct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仍受高研发和股权激励影响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0.80310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+152%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受营业利润和利息收入/税项影响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Diluted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0.44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+144%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盈利快速增长，但需关注股权激励和摊薄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毛利率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76.4%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+1.2pct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经营毛利率极高，体现产品稀缺性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Non-GAAP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0.61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+85%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非 GAAP 盈利延续高增长</w:t>
            </w:r>
          </w:p>
        </w:tc>
      </w:tr>
    </w:tbl>
    <w:p/>
    <w:p>
      <w:pPr>
        <w:pStyle w:val="Heading2"/>
      </w:pPr>
      <w:r>
        <w:t>8.2 资产负债与现金流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5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研究意义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现金及现金等价物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1.48285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短期现金储备充足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有价证券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10.36189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现金+有价证券合计约 11.845 亿美元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应收账款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1.34797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随收入增长上升，需跟踪客户回款和集中度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库存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0.60156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库存水平相对收入可控，但供应链准备度需要跟踪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总资产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16.59215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资产负债表轻，主要资产为现金/证券和营运资本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总负债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1.65267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无重债务压力，财务弹性强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0.74598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现金创造能力显著优于 2025 Q1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资本开支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0.07586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fabless 模式资本开支轻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0.67012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按经营现金流减资本开支估算，现金转换良好</w:t>
            </w:r>
          </w:p>
        </w:tc>
      </w:tr>
    </w:tbl>
    <w:p/>
    <w:p>
      <w:pPr>
        <w:pStyle w:val="Heading2"/>
      </w:pPr>
      <w:r>
        <w:t>8.3 FY2025 全年表现与 Q2 指引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2200"/>
        <w:gridCol w:w="47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数据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收入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8.525 亿美元，YoY +115%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connectivity 需求爆发，收入规模快速跃迁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GAAP 毛利率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75.7%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全年毛利率非常高，体现产品定位和竞争格局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GAAP 净利润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2.191 亿美元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公司已从早期亏损切换到盈利状态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FY2025 Non-GAAP 净利润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3.310 亿美元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剔除股权激励后盈利能力更强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Q2 收入指引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3.55-3.65 亿美元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中点环比约 +17%，显示增长仍在加速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Q2 Non-GAAP 毛利率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73%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指引低于 Q1，可能反映产品 mix 和新产品爬坡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Q2 Non-GAAP EPS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0.68-0.70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利润继续增长，但费用投入也在加大</w:t>
            </w:r>
          </w:p>
        </w:tc>
      </w:tr>
    </w:tbl>
    <w:p/>
    <w:p>
      <w:pPr>
        <w:pStyle w:val="Heading2"/>
      </w:pPr>
      <w:r>
        <w:t>8.4 财务质量判断</w:t>
      </w:r>
    </w:p>
    <w:p>
      <w:pPr>
        <w:spacing w:after="120" w:line="264" w:lineRule="auto"/>
      </w:pPr>
      <w:r>
        <w:rPr>
          <w:sz w:val="22"/>
        </w:rPr>
        <w:t>ALAB 的财务质量亮点是高收入增速、高毛利、轻资本开支和净现金资产负债表。2026 Q1 收入同比增长 93%，Non-GAAP 毛利率 76.4%，同时经营现金流 7,459.8 万美元，说明公司已不是单纯概念型早期公司。</w:t>
      </w:r>
    </w:p>
    <w:p>
      <w:pPr>
        <w:spacing w:after="120" w:line="264" w:lineRule="auto"/>
      </w:pPr>
      <w:r>
        <w:rPr>
          <w:sz w:val="22"/>
        </w:rPr>
        <w:t>但高质量背后有两个硬风险：第一，客户集中度高，项目节奏会放大季度波动；第二，研发和股权激励投入高，GAAP 利润率与 Non-GAAP 利润率差距需要持续收敛。</w:t>
      </w:r>
    </w:p>
    <w:p>
      <w:pPr>
        <w:pStyle w:val="Heading1"/>
      </w:pPr>
      <w:r>
        <w:t>九、估值框架与研究评级</w:t>
      </w:r>
    </w:p>
    <w:p>
      <w:pPr>
        <w:pStyle w:val="Heading2"/>
      </w:pPr>
      <w:r>
        <w:t>9.1 估值方法</w:t>
      </w:r>
    </w:p>
    <w:p>
      <w:pPr>
        <w:spacing w:after="120" w:line="264" w:lineRule="auto"/>
      </w:pPr>
      <w:r>
        <w:rPr>
          <w:sz w:val="22"/>
        </w:rPr>
        <w:t>ALAB 不宜按传统模拟/连接芯片公司估值，也不宜简单按 GPU 平台股估值。更合适的框架是“AI connectivity 高增长资产 + 机架级 fabric 期权 + 高毛利 fabless 模型 + 客户集中折价”。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收入增长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Q1 YoY +93%，Q2 指引环比继续增长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高基数后增速可能快速回落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毛利率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76% 左右毛利率显示产品稀缺性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Q2 指引降至约 73%，mix 和竞争需观察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Scorpio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 retimer 走向 fabric switch，打开更大 TAM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生产爬坡和客户采用仍需验证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开放标准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UALink/CXL/PCIe 6 有利于异构开放架构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封闭生态和客户自研可能压制空间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客户质量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hyperscaler 和 frontier AI lab 需求强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客户集中度高，项目切换风险大</w:t>
            </w:r>
          </w:p>
        </w:tc>
      </w:tr>
    </w:tbl>
    <w:p/>
    <w:p>
      <w:pPr>
        <w:pStyle w:val="Heading2"/>
      </w:pPr>
      <w:r>
        <w:t>9.2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中长期积极关注，但波动风险高。ALAB 是 AI Agent 生态链里“非龙头但有反超潜力”的代表性标的，适合跟踪 AI 机架级互联从配套环节升级为核心架构环节的过程。</w:t>
            </w:r>
          </w:p>
        </w:tc>
      </w:tr>
    </w:tbl>
    <w:p/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客户集中度风险：2025 年报披露单一终端客户贡献超过 70% 收入，前三大终端客户约 86%。</w:t>
      </w:r>
    </w:p>
    <w:p>
      <w:pPr>
        <w:pStyle w:val="ListBullet"/>
        <w:spacing w:after="80" w:line="280" w:lineRule="auto"/>
        <w:ind w:left="720" w:hanging="360"/>
      </w:pPr>
      <w:r>
        <w:t>标准路线风险：PCIe、CXL、UALink、NVLink Fusion 和 Ethernet 的采用节奏可能变化。</w:t>
      </w:r>
    </w:p>
    <w:p>
      <w:pPr>
        <w:pStyle w:val="ListBullet"/>
        <w:spacing w:after="80" w:line="280" w:lineRule="auto"/>
        <w:ind w:left="720" w:hanging="360"/>
      </w:pPr>
      <w:r>
        <w:t>大厂竞争风险：Broadcom、Marvell、NVIDIA、Rambus、Credo 等均可能在不同环节形成压力。</w:t>
      </w:r>
    </w:p>
    <w:p>
      <w:pPr>
        <w:pStyle w:val="ListBullet"/>
        <w:spacing w:after="80" w:line="280" w:lineRule="auto"/>
        <w:ind w:left="720" w:hanging="360"/>
      </w:pPr>
      <w:r>
        <w:t>产品爬坡风险：Scorpio X/P 系列仍需验证大规模客户出货、生产良率和软件稳定性。</w:t>
      </w:r>
    </w:p>
    <w:p>
      <w:pPr>
        <w:pStyle w:val="ListBullet"/>
        <w:spacing w:after="80" w:line="280" w:lineRule="auto"/>
        <w:ind w:left="720" w:hanging="360"/>
      </w:pPr>
      <w:r>
        <w:t>毛利率风险：Q2 指引毛利率较 Q1 下行，新产品 mix 和价格竞争可能压低长期毛利。</w:t>
      </w:r>
    </w:p>
    <w:p>
      <w:pPr>
        <w:pStyle w:val="ListBullet"/>
        <w:spacing w:after="80" w:line="280" w:lineRule="auto"/>
        <w:ind w:left="720" w:hanging="360"/>
      </w:pPr>
      <w:r>
        <w:t>供应链风险：fabless 模式依赖代工、封测、基板、模块和线缆供应。</w:t>
      </w:r>
    </w:p>
    <w:p>
      <w:pPr>
        <w:pStyle w:val="ListBullet"/>
        <w:spacing w:after="80" w:line="280" w:lineRule="auto"/>
        <w:ind w:left="720" w:hanging="360"/>
      </w:pPr>
      <w:r>
        <w:t>估值风险：高增长和高毛利已被市场充分关注，任何增速放缓都可能引发估值压缩。</w:t>
      </w:r>
    </w:p>
    <w:p>
      <w:pPr>
        <w:pStyle w:val="ListBullet"/>
        <w:spacing w:after="80" w:line="280" w:lineRule="auto"/>
        <w:ind w:left="720" w:hanging="360"/>
      </w:pPr>
      <w:r>
        <w:t>股权激励与摊薄风险：高成长公司常用股权激励，需跟踪 GAAP 与 Non-GAAP 差异和股份稀释。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sz w:val="22"/>
        </w:rPr>
        <w:t>本报告采用的最新季度财务数据来自 Astera Labs 2026 Q1 业绩公告；FY2025 全年数据来自 2025 Q4 与全年业绩公告及 2025 Form 10-K。需要注意，Q2 2026 为管理层指引，不能等同已实现业绩；客户集中度数据来自 2025 Form 10-K，应在后续 10-Q/10-K 中持续更新。</w:t>
      </w:r>
    </w:p>
    <w:p>
      <w:pPr>
        <w:pStyle w:val="Heading2"/>
      </w:pPr>
      <w:r>
        <w:t>11.2 建议跟踪指标</w:t>
      </w:r>
    </w:p>
    <w:p>
      <w:pPr>
        <w:pStyle w:val="ListBullet"/>
        <w:spacing w:after="80" w:line="280" w:lineRule="auto"/>
        <w:ind w:left="720" w:hanging="360"/>
      </w:pPr>
      <w:r>
        <w:t>2026 Q2 收入是否达到 3.55-3.65 亿美元指引，Non-GAAP 毛利率是否维持约 73%。</w:t>
      </w:r>
    </w:p>
    <w:p>
      <w:pPr>
        <w:pStyle w:val="ListBullet"/>
        <w:spacing w:after="80" w:line="280" w:lineRule="auto"/>
        <w:ind w:left="720" w:hanging="360"/>
      </w:pPr>
      <w:r>
        <w:t>Scorpio X-Series 320-lane AI Fabric Switch 的生产爬坡和客户数量。</w:t>
      </w:r>
    </w:p>
    <w:p>
      <w:pPr>
        <w:pStyle w:val="ListBullet"/>
        <w:spacing w:after="80" w:line="280" w:lineRule="auto"/>
        <w:ind w:left="720" w:hanging="360"/>
      </w:pPr>
      <w:r>
        <w:t>Scorpio P-Series 多客户出货是否在 2026 下半年兑现，并在 2027 年进入更大规模。</w:t>
      </w:r>
    </w:p>
    <w:p>
      <w:pPr>
        <w:pStyle w:val="ListBullet"/>
        <w:spacing w:after="80" w:line="280" w:lineRule="auto"/>
        <w:ind w:left="720" w:hanging="360"/>
      </w:pPr>
      <w:r>
        <w:t>Aries、Taurus、Leo 在 hyperscaler AI 平台中的设计赢单和收入贡献。</w:t>
      </w:r>
    </w:p>
    <w:p>
      <w:pPr>
        <w:pStyle w:val="ListBullet"/>
        <w:spacing w:after="80" w:line="280" w:lineRule="auto"/>
        <w:ind w:left="720" w:hanging="360"/>
      </w:pPr>
      <w:r>
        <w:t>COSMOS 软件是否提高客户黏性，并带来更强系统级议价能力。</w:t>
      </w:r>
    </w:p>
    <w:p>
      <w:pPr>
        <w:pStyle w:val="ListBullet"/>
        <w:spacing w:after="80" w:line="280" w:lineRule="auto"/>
        <w:ind w:left="720" w:hanging="360"/>
      </w:pPr>
      <w:r>
        <w:t>UALink 2.0、NVLink Fusion、CXL memory pooling 和 PCIe 6/7 的标准采用节奏。</w:t>
      </w:r>
    </w:p>
    <w:p>
      <w:pPr>
        <w:pStyle w:val="ListBullet"/>
        <w:spacing w:after="80" w:line="280" w:lineRule="auto"/>
        <w:ind w:left="720" w:hanging="360"/>
      </w:pPr>
      <w:r>
        <w:t>客户集中度、应收账款、库存、经营现金流和股权激励摊薄。</w:t>
      </w:r>
    </w:p>
    <w:p>
      <w:pPr>
        <w:pStyle w:val="ListBullet"/>
        <w:spacing w:after="80" w:line="280" w:lineRule="auto"/>
        <w:ind w:left="720" w:hanging="360"/>
      </w:pPr>
      <w:r>
        <w:t>Broadcom、Marvell、Credo、Rambus、NVIDIA 相关竞品的价格和客户导入情况。</w:t>
      </w:r>
    </w:p>
    <w:p>
      <w:pPr>
        <w:pStyle w:val="Heading1"/>
      </w:pPr>
      <w:r>
        <w:t>十二、研究结论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ALAB 是 AI Agent 生态链里机架级高速连接和 AI fabric 的代表性非龙头高弹性标的。</w:t>
      </w:r>
    </w:p>
    <w:p>
      <w:pPr>
        <w:pStyle w:val="ListBullet"/>
        <w:spacing w:after="80" w:line="280" w:lineRule="auto"/>
        <w:ind w:left="720" w:hanging="360"/>
      </w:pPr>
      <w:r>
        <w:t>2026 Q1 收入 3.08361 亿美元、同比增长 93%，Non-GAAP 毛利率 76.4%，显示强产品稀缺性。</w:t>
      </w:r>
    </w:p>
    <w:p>
      <w:pPr>
        <w:pStyle w:val="ListBullet"/>
        <w:spacing w:after="80" w:line="280" w:lineRule="auto"/>
        <w:ind w:left="720" w:hanging="360"/>
      </w:pPr>
      <w:r>
        <w:t>Scorpio X/P 系列使公司从 retimer/模块供应商向 AI fabric switch 平台升级。</w:t>
      </w:r>
    </w:p>
    <w:p>
      <w:pPr>
        <w:pStyle w:val="ListBullet"/>
        <w:spacing w:after="80" w:line="280" w:lineRule="auto"/>
        <w:ind w:left="720" w:hanging="360"/>
      </w:pPr>
      <w:r>
        <w:t>公司同时覆盖 PCIe、CXL、Ethernet、UALink、NVLink Fusion 和 COSMOS 软件，协议组合广。</w:t>
      </w:r>
    </w:p>
    <w:p>
      <w:pPr>
        <w:pStyle w:val="ListBullet"/>
        <w:spacing w:after="80" w:line="280" w:lineRule="auto"/>
        <w:ind w:left="720" w:hanging="360"/>
      </w:pPr>
      <w:r>
        <w:t>轻资产、净现金和高毛利模型，使其具备较强再投资和产品扩张能力。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ALAB 体量小、客户集中度高，季度波动和估值波动都会大于成熟龙头。</w:t>
      </w:r>
    </w:p>
    <w:p>
      <w:pPr>
        <w:pStyle w:val="ListBullet"/>
        <w:spacing w:after="80" w:line="280" w:lineRule="auto"/>
        <w:ind w:left="720" w:hanging="360"/>
      </w:pPr>
      <w:r>
        <w:t>其反超潜力依赖 AI 机架标准演进和 Scorpio 等新产品爬坡，不是已完全兑现的事实。</w:t>
      </w:r>
    </w:p>
    <w:p>
      <w:pPr>
        <w:pStyle w:val="ListBullet"/>
        <w:spacing w:after="80" w:line="280" w:lineRule="auto"/>
        <w:ind w:left="720" w:hanging="360"/>
      </w:pPr>
      <w:r>
        <w:t>大厂可能通过平台绑定、价格竞争或自研方案压缩 ALAB 的可获得市场。</w:t>
      </w:r>
    </w:p>
    <w:p>
      <w:pPr>
        <w:pStyle w:val="ListBullet"/>
        <w:spacing w:after="80" w:line="280" w:lineRule="auto"/>
        <w:ind w:left="720" w:hanging="360"/>
      </w:pPr>
      <w:r>
        <w:t>高毛利和高增速一旦放缓，市场可能迅速重新定价。</w:t>
      </w:r>
    </w:p>
    <w:p>
      <w:pPr>
        <w:pStyle w:val="Heading2"/>
      </w:pPr>
      <w:r>
        <w:t>资料来源</w:t>
      </w:r>
    </w:p>
    <w:p>
      <w:pPr>
        <w:spacing w:after="80"/>
      </w:pPr>
      <w:r>
        <w:rPr>
          <w:color w:val="585858"/>
          <w:sz w:val="18"/>
        </w:rPr>
        <w:t>Astera Labs Reports First Quarter 2026 Financial Results, May 5, 2026. https://ir.asteralabs.com/news-releases/news-release-details/astera-labs-reports-first-quarter-2026-financial-results</w:t>
      </w:r>
    </w:p>
    <w:p>
      <w:pPr>
        <w:spacing w:after="80"/>
      </w:pPr>
      <w:r>
        <w:rPr>
          <w:color w:val="585858"/>
          <w:sz w:val="18"/>
        </w:rPr>
        <w:t>Astera Labs Reports Fourth Quarter and Full Year 2025 Financial Results, Feb. 10, 2026. https://asteralabs.gcs-web.com/news-releases/news-release-details/astera-labs-reports-fourth-quarter-and-full-year-2025-financial</w:t>
      </w:r>
    </w:p>
    <w:p>
      <w:pPr>
        <w:spacing w:after="80"/>
      </w:pPr>
      <w:r>
        <w:rPr>
          <w:color w:val="585858"/>
          <w:sz w:val="18"/>
        </w:rPr>
        <w:t>Astera Labs 2025 Form 10-K, filed Feb. 20, 2026. https://ir.asteralabs.com/static-files/b90a6b29-9d69-43a6-9f57-790ff76eb34c</w:t>
      </w:r>
    </w:p>
    <w:p>
      <w:pPr>
        <w:spacing w:after="80"/>
      </w:pPr>
      <w:r>
        <w:rPr>
          <w:color w:val="585858"/>
          <w:sz w:val="18"/>
        </w:rPr>
        <w:t>Astera Labs Investor Relations SEC filings. https://ir.asteralabs.com/financials/sec-filings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