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AMD公司深度研究报告</w:t>
      </w:r>
    </w:p>
    <w:p>
      <w:pPr>
        <w:jc w:val="center"/>
      </w:pPr>
      <w:r>
        <w:rPr>
          <w:color w:val="585858"/>
          <w:sz w:val="24"/>
        </w:rPr>
        <w:t>Advanced Micro Devices, Inc.（NASDAQ: AMD）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2026年6月4日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Advanced Micro Devices, Inc.（AMD，NASDAQ: AMD）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Agent 算力、EPYC 服务器 CPU、Instinct GPU、ROCm 开放生态、与 Intel/NVIDIA 深度对比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参照英伟达/高通/台积电深度研报结构，强化业务、技术路线、财务数据、竞争格局和风险分析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2026年6月4日可获取公开资料；AMD/Intel 最新季度口径为 2026 Q1，NVIDIA 最新口径为 FY2027 Q1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免责声明：本报告仅用于研究和信息参考，不构成任何投资建议、买卖建议或收益承诺。AMD 估值和股价受 AI 资本开支、GPU 供给、软件生态、CPU 份额、台积电先进制程与封装、出口限制、竞争格局和市场流动性影响较大，实际投资决策需结合实时行情和个人风险承受能力。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Agent 生态链与商业模式</w:t>
      </w:r>
    </w:p>
    <w:p>
      <w:pPr>
        <w:pStyle w:val="ListBullet"/>
        <w:spacing w:after="80" w:line="280" w:lineRule="auto"/>
        <w:ind w:left="720" w:hanging="360"/>
      </w:pPr>
      <w:r>
        <w:t>五、AMD 与 Intel、英伟达深度对比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八、主营业务收入与分部分析</w:t>
      </w:r>
    </w:p>
    <w:p>
      <w:pPr>
        <w:pStyle w:val="ListBullet"/>
        <w:spacing w:after="80" w:line="280" w:lineRule="auto"/>
        <w:ind w:left="720" w:hanging="360"/>
      </w:pPr>
      <w:r>
        <w:t>九、估值框架与研究评级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Advanced Micro Devices, Inc.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AMD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美国加利福尼亚州圣克拉拉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高性能 CPU、GPU、AI 加速器、FPGA/自适应 SoC 与异构计算平台公司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主要分部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Center、Client and Gaming、Embedded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2026年一季度，季度截至 2026年3月28日，公告日 2026年5月5日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AMD 的核心价值是“开放 AI 算力平台的追赶者与替代者”。与英伟达相比，AMD 暂时不是 AI 训练和通用推理的绝对平台龙头，但它同时拥有 EPYC 服务器 CPU、Instinct GPU、Pensando DPU/网络、Xilinx FPGA/自适应 SoC、Ryzen AI PC 和 ROCm 软件生态，是少数能从 CPU 到 GPU 再到网络和边缘侧形成完整组合的半导体公司。</w:t>
      </w:r>
    </w:p>
    <w:p>
      <w:pPr>
        <w:spacing w:after="120" w:line="264" w:lineRule="auto"/>
      </w:pPr>
      <w:r>
        <w:rPr>
          <w:sz w:val="22"/>
        </w:rPr>
        <w:t>在 AI Agent 生态链中，AMD 的位置介于英伟达和 Intel 之间：向上追赶英伟达的 AI 加速器和机架级系统，向下持续夺取 Intel 在服务器 CPU 和 PC CPU 的份额，并通过开放标准和多供应商策略承接云厂商对第二供应商、成本优化和供应链弹性的需求。</w:t>
      </w:r>
    </w:p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1969年，公司成立，长期作为 x86 CPU 领域 Intel 的主要竞争者。</w:t>
      </w:r>
    </w:p>
    <w:p>
      <w:pPr>
        <w:pStyle w:val="ListBullet"/>
        <w:spacing w:after="80" w:line="280" w:lineRule="auto"/>
        <w:ind w:left="720" w:hanging="360"/>
      </w:pPr>
      <w:r>
        <w:t>2000年代，Opteron 和 x86-64 架构曾在服务器市场取得突破，但随后经历制程和产品周期落后。</w:t>
      </w:r>
    </w:p>
    <w:p>
      <w:pPr>
        <w:pStyle w:val="ListBullet"/>
        <w:spacing w:after="80" w:line="280" w:lineRule="auto"/>
        <w:ind w:left="720" w:hanging="360"/>
      </w:pPr>
      <w:r>
        <w:t>2017年后，Zen 架构和台积电先进制程合作推动 Ryzen/EPYC 重新崛起，服务器 CPU 份额持续提升。</w:t>
      </w:r>
    </w:p>
    <w:p>
      <w:pPr>
        <w:pStyle w:val="ListBullet"/>
        <w:spacing w:after="80" w:line="280" w:lineRule="auto"/>
        <w:ind w:left="720" w:hanging="360"/>
      </w:pPr>
      <w:r>
        <w:t>2022年，AMD 完成 Xilinx 收购，获得 FPGA、自适应 SoC、嵌入式和通信基础设施能力。</w:t>
      </w:r>
    </w:p>
    <w:p>
      <w:pPr>
        <w:pStyle w:val="ListBullet"/>
        <w:spacing w:after="80" w:line="280" w:lineRule="auto"/>
        <w:ind w:left="720" w:hanging="360"/>
      </w:pPr>
      <w:r>
        <w:t>2023-2026年，Instinct MI300/MI325/MI350/MI400 路线加速，AMD 从 CPU 复兴进入 AI 加速器与机架级系统竞争阶段。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CPU 追赶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Zen 架构、Chiplet、台积电先进制程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用架构和制造外包优势突破 Intel 制程滞后窗口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数据中心扩张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 服务器 CPU、云实例、企业服务器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高毛利数据中心成为收入和利润核心驱动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GPU 追赶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MI300/MI325/MI350/MI400、HBM、ROCm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承接第二供应商和开放生态需求，但仍面临 CUDA 护城河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机架级系统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Helios、MI450/MI455X、EPYC Venice、网络协同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从单卡卖方走向整机柜/系统级 AI 基础设施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异构边缘 AI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Xilinx FPGA、Ryzen AI、嵌入式 AI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覆盖 Agent 从云到端侧、工业和边缘场景的长尾需求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相关性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EPYC 服务器 CPU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Genoa、Bergamo、Turin、Venice 等路线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训练/推理集群需要高性能主机 CPU，传统企业 AI 也依赖 CPU 推理和数据处理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Instinct GPU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MI300X、MI325X、MI350/MI355X、MI400/MI450/MI455X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直接参与 AI 加速器市场，是对英伟达 GPU 的最核心替代路径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ROCm 软件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开放 GPU 编程栈、框架适配、推理和训练优化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决定 AMD 能否从硬件供应商升级为可规模部署的 AI 平台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Helios 机架级平台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GPU、CPU、网络和软件的 rack-scale AI 基础设施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应对 AI Agent 推理规模化后对系统级效率和集群互联的需求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Ryzen / Ryzen AI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 CPU、APU、本地 NPU 与 AI PC 平台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端侧 Agent、Copilot+ PC、本地推理和游戏/创作 AI 工作流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Xilinx / Embedded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FPGA、自适应 SoC、工业、通信、汽车和边缘 AI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承接工业 Agent、边缘推理、网络加速和定制化场景</w:t>
            </w:r>
          </w:p>
        </w:tc>
      </w:tr>
    </w:tbl>
    <w:p/>
    <w:p>
      <w:pPr>
        <w:pStyle w:val="Heading2"/>
      </w:pPr>
      <w:r>
        <w:t>3.2 AI 加速器路线</w:t>
      </w:r>
    </w:p>
    <w:p>
      <w:pPr>
        <w:spacing w:after="120" w:line="264" w:lineRule="auto"/>
      </w:pPr>
      <w:r>
        <w:rPr>
          <w:sz w:val="22"/>
        </w:rPr>
        <w:t>AMD 的 AI 加速器路线核心是“更快代际迭代 + 更开放软件生态 + 云厂商第二供应商”。MI300X 证明了 AMD 可进入大模型推理和部分训练场景；MI350 系列继续提升 AI 计算、HBM 和推理性能；MI400/MI450/MI455X 则把竞争推进到机架级平台和特定客户定制部署。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AMD 的机会不在于短期全面替代英伟达，而在于成为大型云厂商和 AI 公司最重要的第二供应商，并在推理、开放模型、成本敏感工作负载、私有云和主权 AI 中逐步放大份额。</w:t>
            </w:r>
          </w:p>
        </w:tc>
      </w:tr>
    </w:tbl>
    <w:p/>
    <w:p>
      <w:pPr>
        <w:pStyle w:val="Heading2"/>
      </w:pPr>
      <w:r>
        <w:t>3.3 技术护城河</w:t>
      </w:r>
    </w:p>
    <w:p>
      <w:pPr>
        <w:pStyle w:val="ListBullet"/>
        <w:spacing w:after="80" w:line="280" w:lineRule="auto"/>
        <w:ind w:left="720" w:hanging="360"/>
      </w:pPr>
      <w:r>
        <w:t>Chiplet 设计：AMD 通过 Chiplet 降低大芯片成本，提高良率，并强化 CPU/GPU/IO die 组合灵活性。</w:t>
      </w:r>
    </w:p>
    <w:p>
      <w:pPr>
        <w:pStyle w:val="ListBullet"/>
        <w:spacing w:after="80" w:line="280" w:lineRule="auto"/>
        <w:ind w:left="720" w:hanging="360"/>
      </w:pPr>
      <w:r>
        <w:t>台积电先进制程：无晶圆厂模式使 AMD 能利用台积电最先进逻辑工艺，但也依赖台积电 CoWoS/HBM 供应。</w:t>
      </w:r>
    </w:p>
    <w:p>
      <w:pPr>
        <w:pStyle w:val="ListBullet"/>
        <w:spacing w:after="80" w:line="280" w:lineRule="auto"/>
        <w:ind w:left="720" w:hanging="360"/>
      </w:pPr>
      <w:r>
        <w:t>EPYC CPU 份额：服务器 CPU 的性能、能效和核心数优势仍是 AMD 数据中心利润底座。</w:t>
      </w:r>
    </w:p>
    <w:p>
      <w:pPr>
        <w:pStyle w:val="ListBullet"/>
        <w:spacing w:after="80" w:line="280" w:lineRule="auto"/>
        <w:ind w:left="720" w:hanging="360"/>
      </w:pPr>
      <w:r>
        <w:t>开放生态：ROCm、UALink/开放以太网、Helios 等路线有助于降低客户对单一闭源平台的依赖。</w:t>
      </w:r>
    </w:p>
    <w:p>
      <w:pPr>
        <w:pStyle w:val="ListBullet"/>
        <w:spacing w:after="80" w:line="280" w:lineRule="auto"/>
        <w:ind w:left="720" w:hanging="360"/>
      </w:pPr>
      <w:r>
        <w:t>Xilinx 资产：FPGA、自适应 SoC 和嵌入式渠道拓展 AMD 在工业、通信、边缘 AI 的覆盖面。</w:t>
      </w:r>
    </w:p>
    <w:p>
      <w:pPr>
        <w:pStyle w:val="Heading1"/>
      </w:pPr>
      <w:r>
        <w:t>四、AI Agent 生态链与商业模式</w:t>
      </w:r>
    </w:p>
    <w:p>
      <w:pPr>
        <w:pStyle w:val="Heading2"/>
      </w:pPr>
      <w:r>
        <w:t>4.1 产业链映射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100"/>
        <w:gridCol w:w="2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生态层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A股/产业映射方向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云端训练/推理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Instinct GPU、EPYC CPU、Helios 机架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推理量爆发带来 GPU、CPU、HBM 和网络需求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服务器、先进封装、HBM、液冷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Agent 数据处理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 CPU、DPU、FPGA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 Agent 需要检索、数据库、向量计算和数据流水线，CPU 价值不消失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服务器 CPU、数据中心基础设施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互联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Pensando、NIC/DPU、开放以太网、Helios 网络协同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 GPU 集群效率取决于网络和内存带宽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交换机、光模块、AEC、高速连接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端侧 AI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Ryzen AI、Radeon、APU/NPU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PC 和本地 Agent 推动 PC 更新和本地推理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PC、消费电子、散热和存储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工业/边缘 Agent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Xilinx FPGA、自适应 SoC、Embedded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工业、通信、汽车和边缘场景需要低延迟、可定制推理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工业边缘 AI、通信设备、机器人</w:t>
            </w:r>
          </w:p>
        </w:tc>
      </w:tr>
    </w:tbl>
    <w:p/>
    <w:p>
      <w:pPr>
        <w:pStyle w:val="Heading2"/>
      </w:pPr>
      <w:r>
        <w:t>4.2 商业模式</w:t>
      </w:r>
    </w:p>
    <w:p>
      <w:pPr>
        <w:spacing w:after="120" w:line="264" w:lineRule="auto"/>
      </w:pPr>
      <w:r>
        <w:rPr>
          <w:sz w:val="22"/>
        </w:rPr>
        <w:t>AMD 是典型 fabless 模式，芯片设计、软件和平台生态是核心，制造主要依赖台积电等外部代工厂。收入来自数据中心 CPU/GPU、客户端 CPU/APU、游戏 GPU/半定制 SoC、嵌入式 FPGA/SoC 等。AI 时代，公司商业模式正在从卖 CPU/GPU 单品，向 CPU+GPU+网络+软件+机架级系统组合升级。</w:t>
      </w:r>
    </w:p>
    <w:p>
      <w:pPr>
        <w:spacing w:after="120" w:line="264" w:lineRule="auto"/>
      </w:pPr>
      <w:r>
        <w:rPr>
          <w:sz w:val="22"/>
        </w:rPr>
        <w:t>与英伟达相比，AMD 的平台闭环较弱但开放性更强；与 Intel 相比，AMD 的制造负担更轻、产品节奏更敏捷，但缺少自有先进制造和封装主导权。</w:t>
      </w:r>
    </w:p>
    <w:p>
      <w:pPr>
        <w:pStyle w:val="Heading1"/>
      </w:pPr>
      <w:r>
        <w:t>五、AMD 与 Intel、英伟达深度对比</w:t>
      </w:r>
    </w:p>
    <w:p>
      <w:pPr>
        <w:pStyle w:val="Heading2"/>
      </w:pPr>
      <w:r>
        <w:t>5.1 最新季度财务对比</w:t>
      </w:r>
    </w:p>
    <w:p>
      <w:pPr>
        <w:spacing w:after="80"/>
      </w:pPr>
      <w:r>
        <w:rPr>
          <w:color w:val="585858"/>
          <w:sz w:val="18"/>
        </w:rPr>
        <w:t>AMD 与 Intel 为 2026 Q1；NVIDIA 为 FY2027 Q1，季度截至 2026年4月26日。金额单位：亿美元。</w:t>
      </w:r>
    </w:p>
    <w:tbl>
      <w:tblPr>
        <w:tblStyle w:val="TableGrid"/>
        <w:tblW w:type="dxa" w:w="11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1100"/>
        <w:gridCol w:w="2100"/>
        <w:gridCol w:w="1500"/>
        <w:gridCol w:w="3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最新季度收入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毛利率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Non-GAAP EPS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核心增长引擎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AMD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102.53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+38%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GAAP 53% / Non-GAAP 55%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$1.37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Center：EPYC CPU + Instinct GPU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Intel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135.77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+7%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GAAP 39.4% / Non-GAAP 41.0%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$0.29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DCAI 与 Client 修复，Foundry 仍处重投入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NVIDIA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816.15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+85%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GAAP 74.9% / Non-GAAP 75.0%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$1.87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Center：Blackwell、网络和 AI 工厂</w:t>
            </w:r>
          </w:p>
        </w:tc>
      </w:tr>
    </w:tbl>
    <w:p/>
    <w:p>
      <w:pPr>
        <w:pStyle w:val="Heading2"/>
      </w:pPr>
      <w:r>
        <w:t>5.2 产品与生态对比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2100"/>
        <w:gridCol w:w="2300"/>
        <w:gridCol w:w="11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Intel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NVIDIA</w:t>
            </w:r>
          </w:p>
        </w:tc>
        <w:tc>
          <w:tcPr>
            <w:tcW w:type="dxa" w:w="1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判断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GPU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Instinct MI350/MI400 追赶，性价比和开放生态突出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独立 AI GPU 竞争力弱，更多依赖 CPU/Foundry/封装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Blackwell/Rubin 绝对领先，供给、生态和客户验证最强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是最现实的第二供应商，Intel 不是当前 GPU 主线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服务器 CPU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 性能/能效强，云厂商份额继续提升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Xeon 仍有庞大存量和企业生态，正在修复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Vera/Grace 主要服务自有平台，不是通用 CPU 主线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对 Intel 的 CPU 份额进攻仍是确定性主线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软件生态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ROCm 进步快但迁移成本仍高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oneAPI 影响力有限，CPU 软件生态强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CUDA、TensorRT、NVIDIA AI Enterprise 护城河最深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最大短板仍是软件和开发者心智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系统方案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Helios 机架级平台开始补课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CPU+Foundry+先进封装，系统叙事仍分散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GPU+CPU+DPU+NVLink+网络+整机柜完整闭环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英伟达平台化最强，AMD 正从芯片走向系统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制造模式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Fabless，依赖台积电先进制程/CoWoS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IDM+Foundry，制造投入重但战略自主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Fabless，依赖台积电但议价和优先级强</w:t>
            </w:r>
          </w:p>
        </w:tc>
        <w:tc>
          <w:tcPr>
            <w:tcW w:type="dxa" w:w="1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资本轻，但先进封装供给受制于外部</w:t>
            </w:r>
          </w:p>
        </w:tc>
      </w:tr>
    </w:tbl>
    <w:p/>
    <w:p>
      <w:pPr>
        <w:pStyle w:val="Heading2"/>
      </w:pPr>
      <w:r>
        <w:t>5.3 AMD 相对 Intel 的优势与劣势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50"/>
        <w:gridCol w:w="371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3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 优势</w:t>
            </w:r>
          </w:p>
        </w:tc>
        <w:tc>
          <w:tcPr>
            <w:tcW w:type="dxa" w:w="37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 劣势/Intel 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服务器 CPU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 依托 Zen 架构、Chiplet 和台积电制程，在核心数、能效和云实例扩张上持续占优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Xeon 存量生态巨大，企业客户惯性强，并在部分工作负载、平台验证和供应关系上有优势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时代定位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有 Instinct GPU，可承接云厂商 AI 加速器第二供应商需求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的 CPU 在 Agent 推理数据处理和主机 CPU 中仍有价值，且 Xeon 被选为 NVIDIA DGX Rubin NVL8 主机 CPU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资本结构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fabless 模式资本开支轻，Q1 自由现金流 25.66 亿美元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自有制造和封装若成功，可获得战略稀缺性；但短期拖累利润和现金流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产品执行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过去多年产品路线清晰、执行强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若 18A/14A 和 Foundry 外部客户兑现，可能重塑长期竞争格局</w:t>
            </w:r>
          </w:p>
        </w:tc>
      </w:tr>
    </w:tbl>
    <w:p/>
    <w:p>
      <w:pPr>
        <w:pStyle w:val="Heading2"/>
      </w:pPr>
      <w:r>
        <w:t>5.4 AMD 相对英伟达的优势与劣势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50"/>
        <w:gridCol w:w="371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3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 优势</w:t>
            </w:r>
          </w:p>
        </w:tc>
        <w:tc>
          <w:tcPr>
            <w:tcW w:type="dxa" w:w="37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AMD 劣势/英伟达优势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加速器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MI350/MI400 年度迭代快，HBM 大容量和性价比适合推理与开放模型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 Blackwell/Rubin、NVLink、网络和整机柜生态领先一个完整平台周期以上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软件生态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ROCm 开放，云厂商和部分大客户可定制优化，避免单一供应商锁定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 开发者、库、框架和企业软件生态仍是最深护城河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客户策略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 可作为第二供应商获得战略订单，Meta/OpenAI 等 GW 级协议增强可见度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英伟达仍是第一供应商和性能标杆，客户验证、交付和支持体系更成熟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估值弹性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基数远低于英伟达，若 AI GPU 放量，收入弹性更高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毛利率、净利率和平台溢价明显低于英伟达，估值上限受软件生态制约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业务组合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CPU、GPU、FPGA、AI PC 和嵌入式覆盖更均衡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英伟达数据中心平台收入规模和利润池远超 AMD，网络 attach rate 强</w:t>
            </w:r>
          </w:p>
        </w:tc>
      </w:tr>
    </w:tbl>
    <w:p/>
    <w:p>
      <w:pPr>
        <w:pStyle w:val="Heading2"/>
      </w:pPr>
      <w:r>
        <w:t>5.5 竞争格局结论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三方判断：</w:t>
            </w:r>
            <w:r>
              <w:t xml:space="preserve"> AMD 对 Intel 是份额进攻者，对英伟达是生态追赶者。最现实路径不是“同时打败 Intel 和英伟达”，而是在 CPU 上继续侵蚀 Intel，在 GPU 上成为英伟达之外最重要的规模化替代，在开放 AI 基础设施中争取云厂商第二供应商预算。</w:t>
            </w:r>
          </w:p>
        </w:tc>
      </w:tr>
    </w:tbl>
    <w:p/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Lisa Su（苏姿丰）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Chair and 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产品路线、AI GPU 战略、客户合作和长期资本配置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Jean Hu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EVP, Chief Financial Officer and Treasurer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毛利率、费用纪律、现金流和 AI 扩产投入节奏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Victor Peng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President, AMD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Xilinx 资产整合、嵌入式与自适应计算生态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Forrest Norrod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EVP and GM, Data Center Solutions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EPYC、Instinct、数据中心客户和机架级系统执行</w:t>
            </w:r>
          </w:p>
        </w:tc>
      </w:tr>
    </w:tbl>
    <w:p/>
    <w:p>
      <w:pPr>
        <w:pStyle w:val="Heading2"/>
      </w:pPr>
      <w:r>
        <w:t>6.2 股东回报与资本配置</w:t>
      </w:r>
    </w:p>
    <w:p>
      <w:pPr>
        <w:spacing w:after="120" w:line="264" w:lineRule="auto"/>
      </w:pPr>
      <w:r>
        <w:rPr>
          <w:sz w:val="22"/>
        </w:rPr>
        <w:t>AMD 当前更像高增长再投资公司，而非高股息公司。2026 Q1 公司现金、现金等价物和短期投资为 123.47 亿美元，总债务 32.24 亿美元，自由现金流 25.66 亿美元。相比 Intel，AMD 资产负债表更轻；相比英伟达，AMD 股东回报规模较小，但 AI GPU 追赶需要继续加大研发、软件和客户支持投入。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最新季度财务</w:t>
      </w:r>
    </w:p>
    <w:p>
      <w:pPr>
        <w:spacing w:after="80"/>
      </w:pPr>
      <w:r>
        <w:rPr>
          <w:color w:val="585858"/>
          <w:sz w:val="18"/>
        </w:rPr>
        <w:t>数据来源：AMD 2026 Q1 业绩公告，季度截至 2026年3月28日。金额单位：亿美元，EPS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4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102.53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+38%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数据中心成为收入和利润主驱动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+3pct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产品组合改善，但仍显著低于英伟达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营业利润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14.76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+83%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经营杠杆明显改善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13.83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+95%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利润增长高于收入增长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0.84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+91%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每股收益恢复到高增长区间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毛利率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+1pct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 Q2 指引进一步提升至约 56%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1.37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+43%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更能反映经营趋势</w:t>
            </w:r>
          </w:p>
        </w:tc>
      </w:tr>
    </w:tbl>
    <w:p/>
    <w:p>
      <w:pPr>
        <w:pStyle w:val="Heading2"/>
      </w:pPr>
      <w:r>
        <w:t>7.2 资产负债与现金流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5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现金及短期投资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123.47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为 AI GPU 扩产、软件投入和并购整合提供弹性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32.24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债务负担较轻，明显不同于 Intel 的重资产压力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25.66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现金创造能力明显改善，是 AI 投入的安全垫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3.89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Fabless 模式资本开支轻，主要瓶颈在外部封装和 HBM 供应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Adjusted EBITDA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27.46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利润质量改善，但与英伟达差距仍大</w:t>
            </w:r>
          </w:p>
        </w:tc>
      </w:tr>
    </w:tbl>
    <w:p/>
    <w:p>
      <w:pPr>
        <w:pStyle w:val="Heading2"/>
      </w:pPr>
      <w:r>
        <w:t>7.3 Q2 指引</w:t>
      </w:r>
    </w:p>
    <w:p>
      <w:pPr>
        <w:spacing w:after="120" w:line="264" w:lineRule="auto"/>
      </w:pPr>
      <w:r>
        <w:rPr>
          <w:sz w:val="22"/>
        </w:rPr>
        <w:t>AMD 指引 2026 Q2 收入约 112 亿美元，上下浮动 3 亿美元；中点对应同比增长约 46%、环比增长约 9%；Non-GAAP 毛利率预计约 56%。这意味着公司预计数据中心业务继续扩张，并开始体现 Instinct GPU 和 EPYC 服务器需求的持续拉动。</w:t>
      </w:r>
    </w:p>
    <w:p>
      <w:pPr>
        <w:pStyle w:val="Heading1"/>
      </w:pPr>
      <w:r>
        <w:t>八、主营业务收入与分部分析</w:t>
      </w:r>
    </w:p>
    <w:p>
      <w:pPr>
        <w:pStyle w:val="Heading2"/>
      </w:pPr>
      <w:r>
        <w:t>8.1 分部收入结构</w:t>
      </w:r>
    </w:p>
    <w:tbl>
      <w:tblPr>
        <w:tblStyle w:val="TableGrid"/>
        <w:tblW w:type="dxa" w:w="10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300"/>
        <w:gridCol w:w="1500"/>
        <w:gridCol w:w="4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分部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 收入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营业利润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经营判断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57.75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+57%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15.99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EPYC CPU 强劲、Instinct GPU 继续爬坡，是核心主线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28.85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+26%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未单列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Ryzen 份额提升，AI PC 是新增叙事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Gaming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7.20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+11%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未单列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Radeon 需求改善，但半定制业务拖累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 and Gaming 合计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36.05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+23%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5.75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 复苏和份额提升支撑增长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Embedded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8.73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+6%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3.38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Xilinx 资产提供边缘 AI 和工业长期选项</w:t>
            </w:r>
          </w:p>
        </w:tc>
      </w:tr>
    </w:tbl>
    <w:p/>
    <w:p>
      <w:pPr>
        <w:pStyle w:val="Heading2"/>
      </w:pPr>
      <w:r>
        <w:t>8.2 Data Center：AMD 的主战场</w:t>
      </w:r>
    </w:p>
    <w:p>
      <w:pPr>
        <w:spacing w:after="120" w:line="264" w:lineRule="auto"/>
      </w:pPr>
      <w:r>
        <w:rPr>
          <w:sz w:val="22"/>
        </w:rPr>
        <w:t>Data Center 已成为 AMD 收入和利润最重要来源。EPYC CPU 是确定性较高的利润底座，Instinct GPU 是估值弹性的关键变量。AMD 与 Meta、OpenAI 等客户的 GW 级部署协议，显示大型客户正在主动引入英伟达之外的第二供应商。</w:t>
      </w:r>
    </w:p>
    <w:p>
      <w:pPr>
        <w:pStyle w:val="Heading2"/>
      </w:pPr>
      <w:r>
        <w:t>8.3 Client and Gaming：AI PC 与消费周期</w:t>
      </w:r>
    </w:p>
    <w:p>
      <w:pPr>
        <w:spacing w:after="120" w:line="264" w:lineRule="auto"/>
      </w:pPr>
      <w:r>
        <w:rPr>
          <w:sz w:val="22"/>
        </w:rPr>
        <w:t>Client 业务受 PC 周期、Ryzen 份额和 AI PC 渗透率驱动。Ryzen AI 和本地 NPU 能力使 AMD 参与端侧 Agent 机会，但 PC AI 应用的付费价值仍需验证。Gaming 业务受 Radeon GPU、游戏主机半定制 SoC 和显存成本影响，短期不应作为主要估值锚。</w:t>
      </w:r>
    </w:p>
    <w:p>
      <w:pPr>
        <w:pStyle w:val="Heading2"/>
      </w:pPr>
      <w:r>
        <w:t>8.4 Embedded：Xilinx 带来的长期卡位</w:t>
      </w:r>
    </w:p>
    <w:p>
      <w:pPr>
        <w:spacing w:after="120" w:line="264" w:lineRule="auto"/>
      </w:pPr>
      <w:r>
        <w:rPr>
          <w:sz w:val="22"/>
        </w:rPr>
        <w:t>Embedded 覆盖 FPGA、自适应 SoC、工业、通信、汽车和边缘计算。它不是短期 AI GPU 主线，但在工业 Agent、边缘推理、网络加速、机器人和通信基础设施中具备长期战略价值。</w:t>
      </w:r>
    </w:p>
    <w:p>
      <w:pPr>
        <w:pStyle w:val="Heading1"/>
      </w:pPr>
      <w:r>
        <w:t>九、估值框架与研究评级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AMD 不宜只按传统 CPU 周期股估值，也不宜直接按英伟达 AI 平台龙头估值。更合适的框架是“EPYC 服务器 CPU 份额提升 + Instinct GPU 第二供应商期权 + ROCm/Helios 平台化折现 + Client/Embedded 稳定现金流”。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EPYC CPU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持续抢占 Intel 服务器份额，利润质量高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若产品和制造修复，份额扩张速度可能放缓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Instinct GPU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MI350/MI400 和 GW 级客户协议提供高弹性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 生态、供给和客户验证仍落后英伟达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ROCm/Helios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开放生态符合云厂商去单一供应商诉求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软件迁移成本高，系统级方案仍需大规模验证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Client/AI PC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Ryzen 份额提升，本地 Agent 带来换机叙事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PC 应用价值不清晰，PC 周期波动较大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Embedded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工业和边缘 AI 长期卡位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恢复较慢，短期体量较小</w:t>
            </w:r>
          </w:p>
        </w:tc>
      </w:tr>
    </w:tbl>
    <w:p/>
    <w:p>
      <w:pPr>
        <w:pStyle w:val="Heading2"/>
      </w:pPr>
      <w:r>
        <w:t>9.2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中长期积极关注，短期取决于 AI GPU 放量和 ROCm 生态兑现。AMD 是英伟达之外最重要的 AI 加速器替代标的，同时仍在 CPU 领域压制 Intel；但其估值上限取决于能否从硬件追赶升级为平台生态。</w:t>
            </w:r>
          </w:p>
        </w:tc>
      </w:tr>
    </w:tbl>
    <w:p/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软件生态风险：ROCm 与 CUDA 的生态差距仍是 AMD 最大约束。</w:t>
      </w:r>
    </w:p>
    <w:p>
      <w:pPr>
        <w:pStyle w:val="ListBullet"/>
        <w:spacing w:after="80" w:line="280" w:lineRule="auto"/>
        <w:ind w:left="720" w:hanging="360"/>
      </w:pPr>
      <w:r>
        <w:t>英伟达竞争风险：Blackwell/Rubin 若供给充足且价格更积极，AMD GPU 份额提升可能低于预期。</w:t>
      </w:r>
    </w:p>
    <w:p>
      <w:pPr>
        <w:pStyle w:val="ListBullet"/>
        <w:spacing w:after="80" w:line="280" w:lineRule="auto"/>
        <w:ind w:left="720" w:hanging="360"/>
      </w:pPr>
      <w:r>
        <w:t>Intel 修复风险：Intel 若在 Xeon、18A、Foundry 和先进封装上恢复执行力，AMD CPU 份额扩张可能放缓。</w:t>
      </w:r>
    </w:p>
    <w:p>
      <w:pPr>
        <w:pStyle w:val="ListBullet"/>
        <w:spacing w:after="80" w:line="280" w:lineRule="auto"/>
        <w:ind w:left="720" w:hanging="360"/>
      </w:pPr>
      <w:r>
        <w:t>供应链风险：AMD 依赖台积电先进制程、CoWoS/先进封装、HBM 和基板供应。</w:t>
      </w:r>
    </w:p>
    <w:p>
      <w:pPr>
        <w:pStyle w:val="ListBullet"/>
        <w:spacing w:after="80" w:line="280" w:lineRule="auto"/>
        <w:ind w:left="720" w:hanging="360"/>
      </w:pPr>
      <w:r>
        <w:t>客户集中风险：GW 级 GPU 协议提升可见度，也会放大单一客户部署节奏影响。</w:t>
      </w:r>
    </w:p>
    <w:p>
      <w:pPr>
        <w:pStyle w:val="ListBullet"/>
        <w:spacing w:after="80" w:line="280" w:lineRule="auto"/>
        <w:ind w:left="720" w:hanging="360"/>
      </w:pPr>
      <w:r>
        <w:t>毛利率风险：AI GPU 放量初期可能受定价、HBM 成本、平台支持和客户定制影响。</w:t>
      </w:r>
    </w:p>
    <w:p>
      <w:pPr>
        <w:pStyle w:val="ListBullet"/>
        <w:spacing w:after="80" w:line="280" w:lineRule="auto"/>
        <w:ind w:left="720" w:hanging="360"/>
      </w:pPr>
      <w:r>
        <w:t>出口限制风险：美国对 AI 芯片出口限制可能影响中国和部分海外需求。</w:t>
      </w:r>
    </w:p>
    <w:p>
      <w:pPr>
        <w:pStyle w:val="ListBullet"/>
        <w:spacing w:after="80" w:line="280" w:lineRule="auto"/>
        <w:ind w:left="720" w:hanging="360"/>
      </w:pPr>
      <w:r>
        <w:t>PC 和游戏周期风险：Client/Gaming 仍受消费电子周期、显存成本和主机周期影响。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sz w:val="22"/>
        </w:rPr>
        <w:t>本报告采用的 AMD 最新季度财务数据来自 AMD 2026 Q1 业绩公告；Intel 对比数据来自 Intel 2026 Q1 业绩公告；NVIDIA 对比数据来自 NVIDIA FY2027 Q1 业绩公告。需要注意，NVIDIA 财年与自然年公司口径不同，本报告只用于最新季度横向经营状态对比，不作严格同会计周期合并。</w:t>
      </w:r>
    </w:p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AMD 2026 Q2 收入是否达到 112 亿美元左右，Non-GAAP 毛利率是否达到约 56%。</w:t>
      </w:r>
    </w:p>
    <w:p>
      <w:pPr>
        <w:pStyle w:val="ListBullet"/>
        <w:spacing w:after="80" w:line="280" w:lineRule="auto"/>
        <w:ind w:left="720" w:hanging="360"/>
      </w:pPr>
      <w:r>
        <w:t>Data Center 收入中 EPYC CPU 与 Instinct GPU 的增长质量和毛利率变化。</w:t>
      </w:r>
    </w:p>
    <w:p>
      <w:pPr>
        <w:pStyle w:val="ListBullet"/>
        <w:spacing w:after="80" w:line="280" w:lineRule="auto"/>
        <w:ind w:left="720" w:hanging="360"/>
      </w:pPr>
      <w:r>
        <w:t>MI350/MI400/MI450/MI455X 客户部署、出货节奏和 HBM/CoWoS 供应。</w:t>
      </w:r>
    </w:p>
    <w:p>
      <w:pPr>
        <w:pStyle w:val="ListBullet"/>
        <w:spacing w:after="80" w:line="280" w:lineRule="auto"/>
        <w:ind w:left="720" w:hanging="360"/>
      </w:pPr>
      <w:r>
        <w:t>ROCm 在主流模型、推理框架和云平台中的兼容性与性能优化进展。</w:t>
      </w:r>
    </w:p>
    <w:p>
      <w:pPr>
        <w:pStyle w:val="ListBullet"/>
        <w:spacing w:after="80" w:line="280" w:lineRule="auto"/>
        <w:ind w:left="720" w:hanging="360"/>
      </w:pPr>
      <w:r>
        <w:t>Meta/OpenAI 等 GW 级协议是否按 2026 下半年计划启动首批部署。</w:t>
      </w:r>
    </w:p>
    <w:p>
      <w:pPr>
        <w:pStyle w:val="ListBullet"/>
        <w:spacing w:after="80" w:line="280" w:lineRule="auto"/>
        <w:ind w:left="720" w:hanging="360"/>
      </w:pPr>
      <w:r>
        <w:t>Intel Xeon 和 NVIDIA Blackwell/Rubin 的产品节奏、价格和供给变化。</w:t>
      </w:r>
    </w:p>
    <w:p>
      <w:pPr>
        <w:pStyle w:val="ListBullet"/>
        <w:spacing w:after="80" w:line="280" w:lineRule="auto"/>
        <w:ind w:left="720" w:hanging="360"/>
      </w:pPr>
      <w:r>
        <w:t>Client 业务份额、AI PC 真实需求和 Gaming 半定制周期。</w:t>
      </w:r>
    </w:p>
    <w:p>
      <w:pPr>
        <w:pStyle w:val="ListBullet"/>
        <w:spacing w:after="80" w:line="280" w:lineRule="auto"/>
        <w:ind w:left="720" w:hanging="360"/>
      </w:pPr>
      <w:r>
        <w:t>自由现金流、库存、资本开支、股权激励摊薄和并购整合费用。</w:t>
      </w:r>
    </w:p>
    <w:p>
      <w:pPr>
        <w:pStyle w:val="Heading1"/>
      </w:pPr>
      <w:r>
        <w:t>十二、研究结论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AMD 是英伟达之外最具规模化替代潜力的 AI 加速器公司，MI350/MI400/Helios 是核心观察线。</w:t>
      </w:r>
    </w:p>
    <w:p>
      <w:pPr>
        <w:pStyle w:val="ListBullet"/>
        <w:spacing w:after="80" w:line="280" w:lineRule="auto"/>
        <w:ind w:left="720" w:hanging="360"/>
      </w:pPr>
      <w:r>
        <w:t>2026 Q1 Data Center 收入 57.75 亿美元、同比增长 57%，已成为收入和利润主驱动。</w:t>
      </w:r>
    </w:p>
    <w:p>
      <w:pPr>
        <w:pStyle w:val="ListBullet"/>
        <w:spacing w:after="80" w:line="280" w:lineRule="auto"/>
        <w:ind w:left="720" w:hanging="360"/>
      </w:pPr>
      <w:r>
        <w:t>EPYC CPU 对 Intel 的份额进攻仍具确定性，是 AMD AI GPU 放量前的利润底座。</w:t>
      </w:r>
    </w:p>
    <w:p>
      <w:pPr>
        <w:pStyle w:val="ListBullet"/>
        <w:spacing w:after="80" w:line="280" w:lineRule="auto"/>
        <w:ind w:left="720" w:hanging="360"/>
      </w:pPr>
      <w:r>
        <w:t>ROCm 和开放机架生态虽不如 CUDA 成熟，但符合云厂商多供应商和开放标准诉求。</w:t>
      </w:r>
    </w:p>
    <w:p>
      <w:pPr>
        <w:pStyle w:val="ListBullet"/>
        <w:spacing w:after="80" w:line="280" w:lineRule="auto"/>
        <w:ind w:left="720" w:hanging="360"/>
      </w:pPr>
      <w:r>
        <w:t>现金及短期投资 123.47 亿美元、自由现金流 25.66 亿美元，资产负债表支持继续投入 AI 生态。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AMD 不是英伟达式全栈平台龙头，软件生态和系统级交付仍需验证。</w:t>
      </w:r>
    </w:p>
    <w:p>
      <w:pPr>
        <w:pStyle w:val="ListBullet"/>
        <w:spacing w:after="80" w:line="280" w:lineRule="auto"/>
        <w:ind w:left="720" w:hanging="360"/>
      </w:pPr>
      <w:r>
        <w:t>AI GPU 放量会提高收入弹性，但也会放大 HBM、CoWoS、客户集中和毛利率波动。</w:t>
      </w:r>
    </w:p>
    <w:p>
      <w:pPr>
        <w:pStyle w:val="ListBullet"/>
        <w:spacing w:after="80" w:line="280" w:lineRule="auto"/>
        <w:ind w:left="720" w:hanging="360"/>
      </w:pPr>
      <w:r>
        <w:t>Intel 仍有庞大 CPU 存量、企业生态和制造战略资产，不宜低估其修复后的竞争压力。</w:t>
      </w:r>
    </w:p>
    <w:p>
      <w:pPr>
        <w:pStyle w:val="ListBullet"/>
        <w:spacing w:after="80" w:line="280" w:lineRule="auto"/>
        <w:ind w:left="720" w:hanging="360"/>
      </w:pPr>
      <w:r>
        <w:t>如果 AI 推理成本快速下降或云厂商资本开支放缓，AMD 的高弹性估值也可能快速收缩。</w:t>
      </w:r>
    </w:p>
    <w:p>
      <w:pPr>
        <w:pStyle w:val="Heading2"/>
      </w:pPr>
      <w:r>
        <w:t>资料来源</w:t>
      </w:r>
    </w:p>
    <w:p>
      <w:pPr>
        <w:spacing w:after="80"/>
      </w:pPr>
      <w:r>
        <w:rPr>
          <w:color w:val="585858"/>
          <w:sz w:val="18"/>
        </w:rPr>
        <w:t>AMD Investor Relations, AMD Reports First Quarter 2026 Financial Results, May 5, 2026. https://ir.amd.com/news-events/press-releases/detail/1284/amd-reports-first-quarter-2026-financial-results</w:t>
      </w:r>
    </w:p>
    <w:p>
      <w:pPr>
        <w:spacing w:after="80"/>
      </w:pPr>
      <w:r>
        <w:rPr>
          <w:color w:val="585858"/>
          <w:sz w:val="18"/>
        </w:rPr>
        <w:t>AMD Newsroom, AMD Unveils Vision for an Open AI Ecosystem, Detailing New Silicon, Software and Systems at Advancing AI 2025, Jun. 12, 2025. https://www.amd.com/en/newsroom/press-releases/2025-6-12-amd-unveils-vision-for-an-open-ai-ecosystem-detai.html</w:t>
      </w:r>
    </w:p>
    <w:p>
      <w:pPr>
        <w:spacing w:after="80"/>
      </w:pPr>
      <w:r>
        <w:rPr>
          <w:color w:val="585858"/>
          <w:sz w:val="18"/>
        </w:rPr>
        <w:t>AMD Newsroom, AMD and Meta Announce Expanded Strategic Partnership to Deploy 6 Gigawatts of AMD GPUs, Feb. 24, 2026. https://www.amd.com/en/newsroom/press-releases/2026-2-24-amd-and-meta-announce-expanded-strategic-partnersh.html</w:t>
      </w:r>
    </w:p>
    <w:p>
      <w:pPr>
        <w:spacing w:after="80"/>
      </w:pPr>
      <w:r>
        <w:rPr>
          <w:color w:val="585858"/>
          <w:sz w:val="18"/>
        </w:rPr>
        <w:t>Intel Investor Relations, Intel Reports First-Quarter 2026 Financial Results, Apr. 23, 2026. https://www.intc.com/news-events/press-releases/detail/1767/intel-reports-first-quarter-2026-financial-results</w:t>
      </w:r>
    </w:p>
    <w:p>
      <w:pPr>
        <w:spacing w:after="80"/>
      </w:pPr>
      <w:r>
        <w:rPr>
          <w:color w:val="585858"/>
          <w:sz w:val="18"/>
        </w:rPr>
        <w:t>NVIDIA Investor Relations, NVIDIA Announces Financial Results for First Quarter Fiscal 2027, May 20, 2026. https://investor.nvidia.com/news/press-release-details/2026/NVIDIA-Announces-Financial-Results-for-First-Quarter-Fiscal-2027/default.aspx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