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台积电公司深度研究报告</w:t>
      </w:r>
    </w:p>
    <w:p>
      <w:pPr>
        <w:jc w:val="center"/>
      </w:pPr>
      <w:r>
        <w:rPr>
          <w:color w:val="585858"/>
          <w:sz w:val="24"/>
        </w:rPr>
        <w:t>Taiwan Semiconductor Manufacturing Company Limited（NYSE: TSM / TWSE: 2330）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2026年6月4日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Taiwan Semiconductor Manufacturing Company Limited（台积电，NYSE: TSM / TWSE: 2330）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研究主题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Agent 基础设施、先进制程、CoWoS/SoIC、HPC/AI 客户需求、全球产能与地缘风险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报告形式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参照英伟达/高通深度研报结构，强化业务、技术路线、财务数据、竞争格局和风险分析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截至 2026年6月4日可获取公开资料；最新季度口径为 2026年一季度，最新月营收为 2026年4月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免责声明：本报告仅用于研究和信息参考，不构成任何投资建议、买卖建议或收益承诺。台积电估值和股价受 AI 资本开支、先进制程良率、客户集中度、资本开支、汇率、地缘政治、能源/水资源和市场流动性影响较大，实际投资决策需结合实时行情和个人风险承受能力。</w:t>
      </w:r>
    </w:p>
    <w:p>
      <w:pPr>
        <w:pStyle w:val="Heading1"/>
      </w:pPr>
      <w:r>
        <w:t>目录</w:t>
      </w:r>
    </w:p>
    <w:p>
      <w:pPr>
        <w:pStyle w:val="ListBullet"/>
        <w:spacing w:after="80" w:line="280" w:lineRule="auto"/>
        <w:ind w:left="720" w:hanging="360"/>
      </w:pPr>
      <w:r>
        <w:t>一、公司基本情况</w:t>
      </w:r>
    </w:p>
    <w:p>
      <w:pPr>
        <w:pStyle w:val="ListBullet"/>
        <w:spacing w:after="80" w:line="280" w:lineRule="auto"/>
        <w:ind w:left="720" w:hanging="360"/>
      </w:pPr>
      <w:r>
        <w:t>二、发展沿革与战略演进</w:t>
      </w:r>
    </w:p>
    <w:p>
      <w:pPr>
        <w:pStyle w:val="ListBullet"/>
        <w:spacing w:after="80" w:line="280" w:lineRule="auto"/>
        <w:ind w:left="720" w:hanging="360"/>
      </w:pPr>
      <w:r>
        <w:t>三、业务和技术体系</w:t>
      </w:r>
    </w:p>
    <w:p>
      <w:pPr>
        <w:pStyle w:val="ListBullet"/>
        <w:spacing w:after="80" w:line="280" w:lineRule="auto"/>
        <w:ind w:left="720" w:hanging="360"/>
      </w:pPr>
      <w:r>
        <w:t>四、AI Agent 生态链与商业模式</w:t>
      </w:r>
    </w:p>
    <w:p>
      <w:pPr>
        <w:pStyle w:val="ListBullet"/>
        <w:spacing w:after="80" w:line="280" w:lineRule="auto"/>
        <w:ind w:left="720" w:hanging="360"/>
      </w:pPr>
      <w:r>
        <w:t>五、行业竞争格局</w:t>
      </w:r>
    </w:p>
    <w:p>
      <w:pPr>
        <w:pStyle w:val="ListBullet"/>
        <w:spacing w:after="80" w:line="280" w:lineRule="auto"/>
        <w:ind w:left="720" w:hanging="360"/>
      </w:pPr>
      <w:r>
        <w:t>六、管理层与治理结构</w:t>
      </w:r>
    </w:p>
    <w:p>
      <w:pPr>
        <w:pStyle w:val="ListBullet"/>
        <w:spacing w:after="80" w:line="280" w:lineRule="auto"/>
        <w:ind w:left="720" w:hanging="360"/>
      </w:pPr>
      <w:r>
        <w:t>七、财务会计信息</w:t>
      </w:r>
    </w:p>
    <w:p>
      <w:pPr>
        <w:pStyle w:val="ListBullet"/>
        <w:spacing w:after="80" w:line="280" w:lineRule="auto"/>
        <w:ind w:left="720" w:hanging="360"/>
      </w:pPr>
      <w:r>
        <w:t>八、主营业务收入与分部分析</w:t>
      </w:r>
    </w:p>
    <w:p>
      <w:pPr>
        <w:pStyle w:val="ListBullet"/>
        <w:spacing w:after="80" w:line="280" w:lineRule="auto"/>
        <w:ind w:left="720" w:hanging="360"/>
      </w:pPr>
      <w:r>
        <w:t>九、估值框架与研究评级</w:t>
      </w:r>
    </w:p>
    <w:p>
      <w:pPr>
        <w:pStyle w:val="ListBullet"/>
        <w:spacing w:after="80" w:line="280" w:lineRule="auto"/>
        <w:ind w:left="720" w:hanging="360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十一、财务数据核查及跟踪指标</w:t>
      </w:r>
    </w:p>
    <w:p>
      <w:pPr>
        <w:pStyle w:val="ListBullet"/>
        <w:spacing w:after="80" w:line="280" w:lineRule="auto"/>
        <w:ind w:left="720" w:hanging="360"/>
      </w:pPr>
      <w:r>
        <w:t>十二、研究结论</w:t>
      </w:r>
    </w:p>
    <w:p>
      <w:pPr>
        <w:pStyle w:val="Heading1"/>
      </w:pPr>
      <w:r>
        <w:t>一、公司基本情况</w:t>
      </w:r>
    </w:p>
    <w:p>
      <w:pPr>
        <w:pStyle w:val="Heading2"/>
      </w:pPr>
      <w:r>
        <w:t>1.1 基本信息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6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内容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公司名称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Taiwan Semiconductor Manufacturing Company Limited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交易代码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NYSE: TSM；TWSE: 2330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总部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中国台湾新竹科学园区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核心定位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全球领先的纯晶圆代工厂，先进制程、先进封装和全球逻辑 IC 产能平台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主要应用平台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HPC、Smartphone、IoT、Automotive、Digital Consumer Electronics</w:t>
            </w:r>
          </w:p>
        </w:tc>
      </w:tr>
      <w:tr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最新季度</w:t>
            </w:r>
          </w:p>
        </w:tc>
        <w:tc>
          <w:tcPr>
            <w:tcW w:type="dxa" w:w="6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2026年一季度，季度截至 2026年3月31日，公告日 2026年4月16日</w:t>
            </w:r>
          </w:p>
        </w:tc>
      </w:tr>
    </w:tbl>
    <w:p/>
    <w:p>
      <w:pPr>
        <w:pStyle w:val="Heading2"/>
      </w:pPr>
      <w:r>
        <w:t>1.2 公司定位</w:t>
      </w:r>
    </w:p>
    <w:p>
      <w:pPr>
        <w:spacing w:after="120" w:line="264" w:lineRule="auto"/>
      </w:pPr>
      <w:r>
        <w:rPr>
          <w:sz w:val="22"/>
        </w:rPr>
        <w:t>台积电的核心价值不是某一款 AI 芯片，而是几乎所有先进 AI 芯片共同依赖的制造底座。英伟达、AMD、Broadcom、Marvell、Apple、Qualcomm、MediaTek 等客户的先进逻辑芯片，最终都要落到制程、良率、产能、先进封装和供应链交付能力上。</w:t>
      </w:r>
    </w:p>
    <w:p>
      <w:pPr>
        <w:spacing w:after="120" w:line="264" w:lineRule="auto"/>
      </w:pPr>
      <w:r>
        <w:rPr>
          <w:sz w:val="22"/>
        </w:rPr>
        <w:t>在 AI Agent 生态链中，台积电处于最底层、但最关键的“物理基础设施”位置：AI Agent 增长带来模型推理、训练、终端 AI、智能汽车和边缘设备的芯片需求，反过来推动 3nm/2nm、CoWoS、SoIC、硅光/光电共封装和全球先进产能扩张。</w:t>
      </w:r>
    </w:p>
    <w:p>
      <w:pPr>
        <w:pStyle w:val="Heading1"/>
      </w:pPr>
      <w:r>
        <w:t>二、发展沿革与战略演进</w:t>
      </w:r>
    </w:p>
    <w:p>
      <w:pPr>
        <w:pStyle w:val="Heading2"/>
      </w:pPr>
      <w:r>
        <w:t>2.1 简要历史沿革</w:t>
      </w:r>
    </w:p>
    <w:p>
      <w:pPr>
        <w:pStyle w:val="ListBullet"/>
        <w:spacing w:after="80" w:line="280" w:lineRule="auto"/>
        <w:ind w:left="720" w:hanging="360"/>
      </w:pPr>
      <w:r>
        <w:t>1987年，公司成立并开创纯晶圆代工模式，不设计自有芯片，专注服务全球 IC 设计客户。</w:t>
      </w:r>
    </w:p>
    <w:p>
      <w:pPr>
        <w:pStyle w:val="ListBullet"/>
        <w:spacing w:after="80" w:line="280" w:lineRule="auto"/>
        <w:ind w:left="720" w:hanging="360"/>
      </w:pPr>
      <w:r>
        <w:t>2000年代，公司在 90nm、65nm、40nm 等节点扩大规模，成为全球无晶圆厂产业链的核心基础设施。</w:t>
      </w:r>
    </w:p>
    <w:p>
      <w:pPr>
        <w:pStyle w:val="ListBullet"/>
        <w:spacing w:after="80" w:line="280" w:lineRule="auto"/>
        <w:ind w:left="720" w:hanging="360"/>
      </w:pPr>
      <w:r>
        <w:t>2010年代，台积电在 16nm、7nm、5nm 先进制程上持续领先，深度绑定智能手机、高性能计算和 GPU 客户。</w:t>
      </w:r>
    </w:p>
    <w:p>
      <w:pPr>
        <w:pStyle w:val="ListBullet"/>
        <w:spacing w:after="80" w:line="280" w:lineRule="auto"/>
        <w:ind w:left="720" w:hanging="360"/>
      </w:pPr>
      <w:r>
        <w:t>2020年代，AI 加速器、HPC、Chiplet 和 HBM 相关先进封装需求爆发，CoWoS 成为 AI 供应链的关键瓶颈之一。</w:t>
      </w:r>
    </w:p>
    <w:p>
      <w:pPr>
        <w:pStyle w:val="ListBullet"/>
        <w:spacing w:after="80" w:line="280" w:lineRule="auto"/>
        <w:ind w:left="720" w:hanging="360"/>
      </w:pPr>
      <w:r>
        <w:t>2025-2026年，2nm 进入高量产并快速爬坡，N2P/A16 计划在 2026年下半年量产，A14 计划 2028 年量产，全球产能扩张进入美国、日本、欧洲多地并行阶段。</w:t>
      </w:r>
    </w:p>
    <w:p>
      <w:pPr>
        <w:pStyle w:val="Heading2"/>
      </w:pPr>
      <w:r>
        <w:t>2.2 战略演进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200"/>
        <w:gridCol w:w="42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阶段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核心战略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纯代工模式确立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不与客户竞争，专注制造和工艺平台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客户信任是长期护城河，推动全球 fabless 生态形成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先进制程领先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7nm、5nm、3nm、2nm 持续迭代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和手机旗舰客户愿意锁定产能，带来价格和利润率优势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先进封装扩张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CoWoS、InFO、SoIC、3DFabric、COUPE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芯片性能瓶颈从晶体管转向系统级互联和封装，台积电价值量上移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全球产能布局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台湾为核心，美国、日本、德国扩张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满足客户地缘弹性需求，但成本、补贴和执行风险提高</w:t>
            </w:r>
          </w:p>
        </w:tc>
      </w:tr>
    </w:tbl>
    <w:p/>
    <w:p>
      <w:pPr>
        <w:pStyle w:val="Heading1"/>
      </w:pPr>
      <w:r>
        <w:t>三、业务和技术体系</w:t>
      </w:r>
    </w:p>
    <w:p>
      <w:pPr>
        <w:pStyle w:val="Heading2"/>
      </w:pPr>
      <w:r>
        <w:t>3.1 产品和技术体系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技术/平台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主要内容</w:t>
            </w:r>
          </w:p>
        </w:tc>
        <w:tc>
          <w:tcPr>
            <w:tcW w:type="dxa" w:w="40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相关性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先进逻辑制程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N3、N2、N2P、A16、A14 等节点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加速器、CPU、GPU、手机 SoC 和 ASIC 的能效基础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成熟/特色制程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28/22nm、16/12nm、车规、传感器、电源和射频相关技术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汽车、IoT、工业边缘和终端设备仍大量依赖成熟节点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CoWoS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 AI/HPC 的 2.5D 先进封装，连接逻辑芯片与 HBM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英伟达、AMD、Broadcom 等 AI 芯片扩产的关键供给瓶颈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SoIC / 3DFabric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3D 堆叠、Chiplet 集成与系统级封装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提高带宽、降低功耗，支撑下一代 AI 加速器和定制 ASIC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COUPE / 硅光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面向低功耗高带宽互联的光电共封装探索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集群规模扩大后，光互联和功耗问题会进一步推高其战略价值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Open Innovation Platform</w:t>
            </w:r>
          </w:p>
        </w:tc>
        <w:tc>
          <w:tcPr>
            <w:tcW w:type="dxa" w:w="3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EDA、IP、设计服务和生态合作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降低客户在先进节点设计难度，提高客户黏性和导入速度</w:t>
            </w:r>
          </w:p>
        </w:tc>
      </w:tr>
    </w:tbl>
    <w:p/>
    <w:p>
      <w:pPr>
        <w:pStyle w:val="Heading2"/>
      </w:pPr>
      <w:r>
        <w:t>3.2 先进制程路线</w:t>
      </w:r>
    </w:p>
    <w:p>
      <w:pPr>
        <w:spacing w:after="120" w:line="264" w:lineRule="auto"/>
      </w:pPr>
      <w:r>
        <w:rPr>
          <w:sz w:val="22"/>
        </w:rPr>
        <w:t>台积电 2025 年报披露，2nm 技术已在 2025 年四季度进入高量产并具备良好良率，预计 2026 年快速爬坡；N2P 和 A16 计划于 2026 年下半年量产，A14 计划于 2028 年量产。A16 的 Super Power Rail 更适合复杂信号布线和高密度供电需求的部分 HPC 产品。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核心判断：</w:t>
            </w:r>
            <w:r>
              <w:t xml:space="preserve"> AI Agent 的应用层爆发最终会转化为芯片能效需求。台积电的先进制程价值不只在晶体管密度，而在于把更高算力、更低功耗、更高良率和可量产交付统一到客户产品路线图中。</w:t>
            </w:r>
          </w:p>
        </w:tc>
      </w:tr>
    </w:tbl>
    <w:p/>
    <w:p>
      <w:pPr>
        <w:pStyle w:val="Heading2"/>
      </w:pPr>
      <w:r>
        <w:t>3.3 先进封装路线</w:t>
      </w:r>
    </w:p>
    <w:p>
      <w:pPr>
        <w:spacing w:after="120" w:line="264" w:lineRule="auto"/>
      </w:pPr>
      <w:r>
        <w:rPr>
          <w:sz w:val="22"/>
        </w:rPr>
        <w:t>AI 芯片的性能瓶颈已经从单颗芯片的制程推进，扩展到逻辑芯片、HBM、Interposer、基板、散热和网络互联的系统级组合。CoWoS 是当前 AI 加速器最核心的先进封装路线之一；SoIC 和 3DFabric 则为未来 Chiplet 和 3D 堆叠提供更高带宽和更低功耗的可能。</w:t>
      </w:r>
    </w:p>
    <w:p>
      <w:pPr>
        <w:spacing w:after="120" w:line="264" w:lineRule="auto"/>
      </w:pPr>
      <w:r>
        <w:rPr>
          <w:sz w:val="22"/>
        </w:rPr>
        <w:t>在 AI Agent 生态链中，先进封装是连接 AI 训练、推理和端侧模型压缩的中枢环节。训练端要求更大算力和 HBM 带宽；推理端要求更高能效和更低成本；端侧 AI 则要求先进制程与封装共同优化能耗。</w:t>
      </w:r>
    </w:p>
    <w:p>
      <w:pPr>
        <w:pStyle w:val="Heading2"/>
      </w:pPr>
      <w:r>
        <w:t>3.4 技术护城河</w:t>
      </w:r>
    </w:p>
    <w:p>
      <w:pPr>
        <w:pStyle w:val="ListBullet"/>
        <w:spacing w:after="80" w:line="280" w:lineRule="auto"/>
        <w:ind w:left="720" w:hanging="360"/>
      </w:pPr>
      <w:r>
        <w:t>客户信任：纯代工模式避免与客户竞争，是 Apple、NVIDIA、AMD、Qualcomm、Broadcom 等客户长期合作基础。</w:t>
      </w:r>
    </w:p>
    <w:p>
      <w:pPr>
        <w:pStyle w:val="ListBullet"/>
        <w:spacing w:after="80" w:line="280" w:lineRule="auto"/>
        <w:ind w:left="720" w:hanging="360"/>
      </w:pPr>
      <w:r>
        <w:t>良率和量产：先进制程不仅要研发成功，更要在百万片级别实现稳定良率和交付。</w:t>
      </w:r>
    </w:p>
    <w:p>
      <w:pPr>
        <w:pStyle w:val="ListBullet"/>
        <w:spacing w:after="80" w:line="280" w:lineRule="auto"/>
        <w:ind w:left="720" w:hanging="360"/>
      </w:pPr>
      <w:r>
        <w:t>产能规划：AI 需求具有强周期和强集中度，台积电能通过客户预付款、长期协议和产能纪律降低扩产风险。</w:t>
      </w:r>
    </w:p>
    <w:p>
      <w:pPr>
        <w:pStyle w:val="ListBullet"/>
        <w:spacing w:after="80" w:line="280" w:lineRule="auto"/>
        <w:ind w:left="720" w:hanging="360"/>
      </w:pPr>
      <w:r>
        <w:t>生态协同：EDA、IP、封装、材料、设备和设计服务共同构成进入壁垒。</w:t>
      </w:r>
    </w:p>
    <w:p>
      <w:pPr>
        <w:pStyle w:val="ListBullet"/>
        <w:spacing w:after="80" w:line="280" w:lineRule="auto"/>
        <w:ind w:left="720" w:hanging="360"/>
      </w:pPr>
      <w:r>
        <w:t>资本密度：先进晶圆厂和先进封装产能资本开支极高，后来者追赶成本和时间窗口都很大。</w:t>
      </w:r>
    </w:p>
    <w:p>
      <w:pPr>
        <w:pStyle w:val="Heading1"/>
      </w:pPr>
      <w:r>
        <w:t>四、AI Agent 生态链与商业模式</w:t>
      </w:r>
    </w:p>
    <w:p>
      <w:pPr>
        <w:pStyle w:val="Heading2"/>
      </w:pPr>
      <w:r>
        <w:t>4.1 产业链映射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100"/>
        <w:gridCol w:w="206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AI Agent 生态层</w:t>
            </w:r>
          </w:p>
        </w:tc>
        <w:tc>
          <w:tcPr>
            <w:tcW w:type="dxa" w:w="2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台积电卡位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受益逻辑</w:t>
            </w:r>
          </w:p>
        </w:tc>
        <w:tc>
          <w:tcPr>
            <w:tcW w:type="dxa" w:w="20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A股/产业映射方向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云端训练/推理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N3/N5/N2、CoWoS、SoIC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大模型和推理集群扩张拉动 GPU、ASIC、HBM 封装和先进制程需求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先进封装、光模块、AI 服务器、HBM 链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端侧 AI Agent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手机 SoC、AI PC 芯片、车载芯片先进制程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Agent 常驻终端推动 NPU、CPU、GPU 和低功耗工艺升级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消费电子、AI PC、智能座舱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 互联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硅光/COUPE、先进封装互联、客户网络 ASIC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集群瓶颈从芯片转向带宽和功耗，互联价值量上升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硅光/CPO、光模块、高速连接器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先进封装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CoWoS、InFO、SoIC、3DFabric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Chiplet 和 HBM 绑定提高单芯片系统价值，产能成为 AI 供应链核心约束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长电科技、通富微电、华天科技、载板/基板</w:t>
            </w:r>
          </w:p>
        </w:tc>
      </w:tr>
      <w:tr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玻璃基板/下一代材料</w:t>
            </w:r>
          </w:p>
        </w:tc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先进封装材料路线的潜在长期参与者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更高布线密度、热稳定和大尺寸封装要求可能推动新材料变革</w:t>
            </w:r>
          </w:p>
        </w:tc>
        <w:tc>
          <w:tcPr>
            <w:tcW w:type="dxa" w:w="2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玻璃基板、ABF 载板、陶瓷/特种材料</w:t>
            </w:r>
          </w:p>
        </w:tc>
      </w:tr>
    </w:tbl>
    <w:p/>
    <w:p>
      <w:pPr>
        <w:pStyle w:val="Heading2"/>
      </w:pPr>
      <w:r>
        <w:t>4.2 商业模式</w:t>
      </w:r>
    </w:p>
    <w:p>
      <w:pPr>
        <w:spacing w:after="120" w:line="264" w:lineRule="auto"/>
      </w:pPr>
      <w:r>
        <w:rPr>
          <w:sz w:val="22"/>
        </w:rPr>
        <w:t>台积电商业模式是纯晶圆代工：客户负责芯片设计和终端销售，台积电负责工艺开发、晶圆制造、部分先进封装和设计生态支持。公司不与客户竞争，因此能够同时服务手机、AI GPU、定制 ASIC、CPU、射频、汽车和工业芯片客户。</w:t>
      </w:r>
    </w:p>
    <w:p>
      <w:pPr>
        <w:spacing w:after="120" w:line="264" w:lineRule="auto"/>
      </w:pPr>
      <w:r>
        <w:rPr>
          <w:sz w:val="22"/>
        </w:rPr>
        <w:t>AI Agent 时代的商业模式变化在于：客户采购的不再只是某个节点的晶圆，而是“先进制程 + 先进封装 + 产能保障 + 全球供应弹性”的组合。随着 AI 芯片价值量上升，台积电的议价能力、客户预付款和资本开支可见度同步增强。</w:t>
      </w:r>
    </w:p>
    <w:p>
      <w:pPr>
        <w:pStyle w:val="Heading2"/>
      </w:pPr>
      <w:r>
        <w:t>4.3 客户结构</w:t>
      </w:r>
    </w:p>
    <w:p>
      <w:pPr>
        <w:spacing w:after="120" w:line="264" w:lineRule="auto"/>
      </w:pPr>
      <w:r>
        <w:rPr>
          <w:sz w:val="22"/>
        </w:rPr>
        <w:t>台积电客户覆盖全球主要无晶圆厂、IDM 和系统公司。2025 年公司制造 12,682 个产品，使用 305 种制程技术，服务 534 个客户。客户基础广泛降低了单一终端波动，但先进制程和 HPC 需求集中在少数大型客户，也带来客户集中度和资本开支节奏风险。</w:t>
      </w:r>
    </w:p>
    <w:p>
      <w:pPr>
        <w:pStyle w:val="Heading1"/>
      </w:pPr>
      <w:r>
        <w:t>五、行业竞争格局</w:t>
      </w:r>
    </w:p>
    <w:p>
      <w:pPr>
        <w:pStyle w:val="Heading2"/>
      </w:pPr>
      <w:r>
        <w:t>5.1 竞争者矩阵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2300"/>
        <w:gridCol w:w="2900"/>
        <w:gridCol w:w="2560"/>
      </w:tblGrid>
      <w:tr>
        <w:trPr>
          <w:tblHeader w:val="true"/>
        </w:trPr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领域</w:t>
            </w:r>
          </w:p>
        </w:tc>
        <w:tc>
          <w:tcPr>
            <w:tcW w:type="dxa" w:w="2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主要竞争者</w:t>
            </w:r>
          </w:p>
        </w:tc>
        <w:tc>
          <w:tcPr>
            <w:tcW w:type="dxa" w:w="2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台积电优势</w:t>
            </w:r>
          </w:p>
        </w:tc>
        <w:tc>
          <w:tcPr>
            <w:tcW w:type="dxa" w:w="2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主要压力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先进逻辑代工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Samsung Foundry、Intel Foundry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良率、客户信任、生态完整、量产经验领先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客户希望双供应商，地缘政治推动替代产能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成熟/特色制程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UMC、GlobalFoundries、SMIC、Tower 等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规模、工艺组合和客户覆盖广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成熟节点价格竞争，周期性更强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先进封装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Samsung、Intel、ASE/Amkor 等 OSAT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CoWoS 与先进制程绑定，客户路线图深度协同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产能瓶颈和成本压力，OSAT 分流部分封装需求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Chiplet/3D 集成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Intel Foveros、Samsung I-Cube/X-Cube、OSAT 方案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SoIC/3DFabric 与先进制程一体化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客户可能推动开放标准降低单一供应链依赖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全球产能安全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美国、日本、欧洲本土补贴产能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在多地布局同时保持台湾核心效率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海外成本较高、人才和执行复杂度提升</w:t>
            </w:r>
          </w:p>
        </w:tc>
      </w:tr>
    </w:tbl>
    <w:p/>
    <w:p>
      <w:pPr>
        <w:pStyle w:val="Heading2"/>
      </w:pPr>
      <w:r>
        <w:t>5.2 竞争格局判断</w:t>
      </w:r>
    </w:p>
    <w:p>
      <w:pPr>
        <w:spacing w:after="120" w:line="264" w:lineRule="auto"/>
      </w:pPr>
      <w:r>
        <w:rPr>
          <w:sz w:val="22"/>
        </w:rPr>
        <w:t>台积电在先进逻辑代工领域仍处绝对领先位置。竞争对手可以在特定客户、特定节点或政策驱动项目中获得份额，但要同时追赶工艺、良率、产能、封装、生态和客户信任，需要很长周期。</w:t>
      </w:r>
    </w:p>
    <w:p>
      <w:pPr>
        <w:spacing w:after="120" w:line="264" w:lineRule="auto"/>
      </w:pPr>
      <w:r>
        <w:rPr>
          <w:sz w:val="22"/>
        </w:rPr>
        <w:t>真正需要关注的不是短期“谁替代台积电”，而是三类变量：第一，AI 客户是否持续扩大资本开支；第二，CoWoS/SoIC 等先进封装产能能否跟上需求；第三，地缘政治是否改变客户对产能分布和成本结构的容忍度。</w:t>
      </w:r>
    </w:p>
    <w:p>
      <w:pPr>
        <w:pStyle w:val="Heading1"/>
      </w:pPr>
      <w:r>
        <w:t>六、管理层与治理结构</w:t>
      </w:r>
    </w:p>
    <w:p>
      <w:pPr>
        <w:pStyle w:val="Heading2"/>
      </w:pPr>
      <w:r>
        <w:t>6.1 核心管理层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300"/>
        <w:gridCol w:w="2700"/>
        <w:gridCol w:w="4360"/>
      </w:tblGrid>
      <w:tr>
        <w:trPr>
          <w:tblHeader w:val="true"/>
        </w:trPr>
        <w:tc>
          <w:tcPr>
            <w:tcW w:type="dxa" w:w="2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人员</w:t>
            </w:r>
          </w:p>
        </w:tc>
        <w:tc>
          <w:tcPr>
            <w:tcW w:type="dxa" w:w="2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职务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研究关注点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C.C. Wei（魏哲家）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Chairman and Chief Executive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统筹先进制程、全球产能、客户关系和 AI 资本开支周期判断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Wendell Huang（黄仁昭）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Senior Vice President and Chief Financial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资本开支、毛利率、汇率、现金流和股东回报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Y.J. Mii（米玉杰）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Executive Vice President and Co-Chief Operating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研发、先进制程、N2/A16/A14 路线和制造执行</w:t>
            </w:r>
          </w:p>
        </w:tc>
      </w:tr>
      <w:tr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K.C. Yee（余振华）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Executive Vice President and Co-Chief Operating Officer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全球运营、产能爬坡、先进封装和客户交付</w:t>
            </w:r>
          </w:p>
        </w:tc>
      </w:tr>
    </w:tbl>
    <w:p/>
    <w:p>
      <w:pPr>
        <w:pStyle w:val="Heading2"/>
      </w:pPr>
      <w:r>
        <w:t>6.2 股东回报与资本配置</w:t>
      </w:r>
    </w:p>
    <w:p>
      <w:pPr>
        <w:spacing w:after="120" w:line="264" w:lineRule="auto"/>
      </w:pPr>
      <w:r>
        <w:rPr>
          <w:sz w:val="22"/>
        </w:rPr>
        <w:t>台积电资本开支强度显著高于传统 fabless 公司。2026年一季度资本开支为 111.0 亿美元，经营现金流为 NT$6,989.7 亿，自由现金流为 NT$3,482.1 亿。公司需要在先进制程、先进封装、全球产能、安全库存和股东回报之间保持平衡。</w:t>
      </w:r>
    </w:p>
    <w:p>
      <w:pPr>
        <w:spacing w:after="120" w:line="264" w:lineRule="auto"/>
      </w:pPr>
      <w:r>
        <w:rPr>
          <w:sz w:val="22"/>
        </w:rPr>
        <w:t>2025 年公司每股现金股利提高至 NT$18.0，高于前一年的 NT$14.0。对投资者而言，台积电的股东回报更多来自长期盈利增长和资本效率，而不是高股息属性。</w:t>
      </w:r>
    </w:p>
    <w:p>
      <w:pPr>
        <w:pStyle w:val="Heading1"/>
      </w:pPr>
      <w:r>
        <w:t>七、财务会计信息</w:t>
      </w:r>
    </w:p>
    <w:p>
      <w:pPr>
        <w:pStyle w:val="Heading2"/>
      </w:pPr>
      <w:r>
        <w:t>7.1 最新季度财务</w:t>
      </w:r>
    </w:p>
    <w:p>
      <w:pPr>
        <w:spacing w:after="80"/>
      </w:pPr>
      <w:r>
        <w:rPr>
          <w:color w:val="585858"/>
          <w:sz w:val="18"/>
        </w:rPr>
        <w:t>数据来源：TSMC 2026年一季度业绩公告与 Management Report。金额单位：NT$ 十亿，除特别注明外。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1400"/>
        <w:gridCol w:w="38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总收入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1,134.10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+35.1%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AI/HPC 和先进制程需求强劲，美元口径收入为 359.0 亿美元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751.30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+52.3%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产能利用率、成本改善和汇率共同推高毛利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66.2%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+7.4pct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显著高于传统代工周期水平，反映先进节点和供需紧张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658.97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+61.9%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经营杠杆强，费用率保持较低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营业利润率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58.1%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+9.6pct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先进制程与 HPC mix 支撑高盈利质量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归母净利润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572.48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+58.3%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净利率达到 50.5%，盈利能力极强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EPS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NT$22.08 / US$3.49 per ADR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+58.3%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每股收益快速增长，但需关注估值是否已反映 AI 周期</w:t>
            </w:r>
          </w:p>
        </w:tc>
      </w:tr>
    </w:tbl>
    <w:p/>
    <w:p>
      <w:pPr>
        <w:pStyle w:val="Heading2"/>
      </w:pPr>
      <w:r>
        <w:t>7.2 资产负债与现金流</w:t>
      </w:r>
    </w:p>
    <w:p>
      <w:pPr>
        <w:spacing w:after="80"/>
      </w:pPr>
      <w:r>
        <w:rPr>
          <w:color w:val="585858"/>
          <w:sz w:val="18"/>
        </w:rPr>
        <w:t>数据来源：TSMC 2026年一季度 Management Report。金额单位：NT$ 十亿，资本开支除外。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</w:t>
            </w:r>
          </w:p>
        </w:tc>
        <w:tc>
          <w:tcPr>
            <w:tcW w:type="dxa" w:w="4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现金及有价证券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3,383.60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为全球扩产、先进封装和股东回报提供充足流动性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有息债务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1,057.26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债务规模相对现金储备可控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净现金储备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2,326.34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资产负债表强，有助于跨周期投资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经营现金流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698.97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现金创造能力与盈利同步强劲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自由现金流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348.21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高资本开支下仍保持正自由现金流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资本开支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US$11.10bn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与先进制程扩产强度高，需关注回报率和海外成本</w:t>
            </w:r>
          </w:p>
        </w:tc>
      </w:tr>
    </w:tbl>
    <w:p/>
    <w:p>
      <w:pPr>
        <w:pStyle w:val="Heading2"/>
      </w:pPr>
      <w:r>
        <w:t>7.3 2025 全年表现</w:t>
      </w:r>
    </w:p>
    <w:p>
      <w:pPr>
        <w:spacing w:after="80"/>
      </w:pPr>
      <w:r>
        <w:rPr>
          <w:color w:val="585858"/>
          <w:sz w:val="18"/>
        </w:rPr>
        <w:t>数据来源：TSMC 2025 Annual Report。金额单位：NT$ 十亿，除特别注明外。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1700"/>
        <w:gridCol w:w="1400"/>
        <w:gridCol w:w="42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指标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2025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同比变化</w:t>
            </w:r>
          </w:p>
        </w:tc>
        <w:tc>
          <w:tcPr>
            <w:tcW w:type="dxa" w:w="42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研究解读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总收入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3,809.05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+31.6%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AI/HPC 和先进制程需求推动高增长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美元口径收入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US$122.42bn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+35.9%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全球半导体制造平台地位进一步强化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归母净利润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1,717.88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+46.4%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利润增速高于收入，体现规模和 mix 效应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EPS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NT$66.26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+46.4%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每股盈利进入新台阶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毛利率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59.9%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+3.8pct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先进节点和高利用率改善盈利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营业利润率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50.8%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+5.1pct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代工行业中极高的经营质量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先进制程占比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+5pct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7nm 及以下成为收入主导</w:t>
            </w:r>
          </w:p>
        </w:tc>
      </w:tr>
    </w:tbl>
    <w:p/>
    <w:p>
      <w:pPr>
        <w:pStyle w:val="Heading1"/>
      </w:pPr>
      <w:r>
        <w:t>八、主营业务收入与分部分析</w:t>
      </w:r>
    </w:p>
    <w:p>
      <w:pPr>
        <w:pStyle w:val="Heading2"/>
      </w:pPr>
      <w:r>
        <w:t>8.1 技术节点结构</w:t>
      </w:r>
    </w:p>
    <w:p>
      <w:pPr>
        <w:spacing w:after="80"/>
      </w:pPr>
      <w:r>
        <w:rPr>
          <w:color w:val="585858"/>
          <w:sz w:val="18"/>
        </w:rPr>
        <w:t>数据来源：TSMC 2026年一季度 Management Report。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1600"/>
        <w:gridCol w:w="55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技术节点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收入占比</w:t>
            </w:r>
          </w:p>
        </w:tc>
        <w:tc>
          <w:tcPr>
            <w:tcW w:type="dxa" w:w="55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研究判断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3nm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25%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进入第三个完整量产年度，是手机旗舰和部分 HPC 客户的重要节点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5nm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36%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加速器和高端 HPC 仍大量使用，是当前收入最大节点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7nm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13%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成熟先进节点，仍支撑大量网络、CPU、GPU 和消费芯片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7nm 及以下合计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74%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先进制程收入占比极高，决定公司盈利质量和资本开支方向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16/20nm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车载、工业和部分中高端芯片仍有稳定需求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28nm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7%</w:t>
            </w:r>
          </w:p>
        </w:tc>
        <w:tc>
          <w:tcPr>
            <w:tcW w:type="dxa" w:w="5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成熟节点中具备较强生命周期，服务车用、IoT 和消费电子</w:t>
            </w:r>
          </w:p>
        </w:tc>
      </w:tr>
    </w:tbl>
    <w:p/>
    <w:p>
      <w:pPr>
        <w:pStyle w:val="Heading2"/>
      </w:pPr>
      <w:r>
        <w:t>8.2 应用平台结构</w:t>
      </w:r>
    </w:p>
    <w:p>
      <w:pPr>
        <w:spacing w:after="80"/>
      </w:pPr>
      <w:r>
        <w:rPr>
          <w:color w:val="585858"/>
          <w:sz w:val="18"/>
        </w:rPr>
        <w:t>数据来源：TSMC 2026年一季度 Management Report。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700"/>
        <w:gridCol w:w="1400"/>
        <w:gridCol w:w="4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平台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2026 Q1 收入占比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环比变化</w:t>
            </w:r>
          </w:p>
        </w:tc>
        <w:tc>
          <w:tcPr>
            <w:tcW w:type="dxa" w:w="4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经营判断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HPC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+20%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 GPU、定制 ASIC、CPU 和网络芯片共同推动，是台积电当前核心增长引擎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Smartphone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-11%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仍是第二大平台，受季节性和旗舰周期影响较大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IoT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6%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+12%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边缘 AI 和工业应用逐步恢复，但体量仍小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Automotive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4%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-7%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长期趋势积极，短期受车用库存和车型周期影响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DCE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1%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+28%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占比较低，对整体影响有限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Others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+17%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长尾客户和其他应用补充收入韧性</w:t>
            </w:r>
          </w:p>
        </w:tc>
      </w:tr>
    </w:tbl>
    <w:p/>
    <w:p>
      <w:pPr>
        <w:pStyle w:val="Heading2"/>
      </w:pPr>
      <w:r>
        <w:t>8.3 地区结构和月营收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项目</w:t>
            </w:r>
          </w:p>
        </w:tc>
        <w:tc>
          <w:tcPr>
            <w:tcW w:type="dxa" w:w="2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数据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研究意义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北美客户收入占比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76%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AI/HPC 大客户集中在北美，带来高增长也带来客户集中风险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中国客户收入占比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7%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受出口管制和客户结构影响，需要持续跟踪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2026年4月营收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NT$410.726bn，YoY +17.5%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月度收入仍处高位，显示 Q2 开局强劲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2026年1-4月累计营收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NT$1,544.829bn，YoY +29.9%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接近公司全年高增长指引方向，但需看下半年手机和 AI 订单节奏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2026 Q2 指引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US$39.0-40.2bn；GM 65.5%-67.5%；OM 56.5%-58.5%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公司对 Q2 需求和利润率保持强信心</w:t>
            </w:r>
          </w:p>
        </w:tc>
      </w:tr>
    </w:tbl>
    <w:p/>
    <w:p>
      <w:pPr>
        <w:pStyle w:val="Heading1"/>
      </w:pPr>
      <w:r>
        <w:t>九、估值框架与研究评级</w:t>
      </w:r>
    </w:p>
    <w:p>
      <w:pPr>
        <w:pStyle w:val="Heading2"/>
      </w:pPr>
      <w:r>
        <w:t>9.1 估值方法</w:t>
      </w:r>
    </w:p>
    <w:p>
      <w:pPr>
        <w:spacing w:after="120" w:line="264" w:lineRule="auto"/>
      </w:pPr>
      <w:r>
        <w:rPr>
          <w:sz w:val="22"/>
        </w:rPr>
        <w:t>台积电不宜用传统周期性代工厂估值框架简单衡量，也不应完全按 AI 应用股估值。更合适的框架是“先进制程平台资产 + 先进封装瓶颈资产 + 全球产能安全资产”。PE、EV/EBITDA、自由现金流收益率、资本开支回报、先进节点收入占比和 AI/HPC 占比均应纳入分析。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估值驱动</w:t>
            </w:r>
          </w:p>
        </w:tc>
        <w:tc>
          <w:tcPr>
            <w:tcW w:type="dxa" w:w="3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正向因素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9"/>
              </w:rPr>
              <w:t>负向因素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AI/HPC 需求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HPC 占比 61%，AI 客户需求仍强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云厂商资本开支若降温，订单节奏会放缓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先进制程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N2/N2P/A16/A14 路线清晰，良率和生态领先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研发和设备成本高，客户转节点节奏影响回报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先进封装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CoWoS/SoIC 与 AI 芯片深度绑定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产能瓶颈、基板/HBM/设备约束和扩产成本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全球产能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美国、日本、德国扩张提高客户信任和地缘弹性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海外成本、补贴兑现、人才和执行风险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资本回报</w:t>
            </w:r>
          </w:p>
        </w:tc>
        <w:tc>
          <w:tcPr>
            <w:tcW w:type="dxa" w:w="3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高毛利率、高现金流、净现金储备强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高资本开支可能压低自由现金流弹性</w:t>
            </w:r>
          </w:p>
        </w:tc>
      </w:tr>
    </w:tbl>
    <w:p/>
    <w:p>
      <w:pPr>
        <w:pStyle w:val="Heading2"/>
      </w:pPr>
      <w:r>
        <w:t>9.2 研究评级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研究观点：</w:t>
            </w:r>
            <w:r>
              <w:t xml:space="preserve"> 中长期积极关注，短期估值需结合 AI 资本开支节奏审慎评估。台积电是 AI Agent 生态链中确定性最高的基础设施资产之一，但其弹性来自供给瓶颈和长期制程领先，而非短期主题炒作。</w:t>
            </w:r>
          </w:p>
        </w:tc>
      </w:tr>
    </w:tbl>
    <w:p/>
    <w:p>
      <w:pPr>
        <w:spacing w:after="120" w:line="264" w:lineRule="auto"/>
      </w:pPr>
      <w:r>
        <w:rPr>
          <w:sz w:val="22"/>
        </w:rPr>
        <w:t>若未来 4-6 个季度出现以下信号，研究评级可上调：HPC 占比继续提升且毛利率维持高位；CoWoS/SoIC 产能扩张顺利；N2/N2P/A16 客户导入超预期；月营收持续高于季节性；海外产能成本被价格和补贴充分覆盖。</w:t>
      </w:r>
    </w:p>
    <w:p>
      <w:pPr>
        <w:pStyle w:val="Heading1"/>
      </w:pPr>
      <w:r>
        <w:t>十、主要风险因素</w:t>
      </w:r>
    </w:p>
    <w:p>
      <w:pPr>
        <w:pStyle w:val="ListBullet"/>
        <w:spacing w:after="80" w:line="280" w:lineRule="auto"/>
        <w:ind w:left="720" w:hanging="360"/>
      </w:pPr>
      <w:r>
        <w:t>AI 资本开支周期风险：若云厂商或大模型公司削减 GPU/ASIC 采购，HPC 需求可能放缓。</w:t>
      </w:r>
    </w:p>
    <w:p>
      <w:pPr>
        <w:pStyle w:val="ListBullet"/>
        <w:spacing w:after="80" w:line="280" w:lineRule="auto"/>
        <w:ind w:left="720" w:hanging="360"/>
      </w:pPr>
      <w:r>
        <w:t>客户集中风险：先进制程和 CoWoS 需求高度集中于少数大型北美客户，订单波动会放大业绩波动。</w:t>
      </w:r>
    </w:p>
    <w:p>
      <w:pPr>
        <w:pStyle w:val="ListBullet"/>
        <w:spacing w:after="80" w:line="280" w:lineRule="auto"/>
        <w:ind w:left="720" w:hanging="360"/>
      </w:pPr>
      <w:r>
        <w:t>先进制程良率风险：N2、N2P、A16、A14 节点若良率或客户导入不及预期，会影响收入和毛利率。</w:t>
      </w:r>
    </w:p>
    <w:p>
      <w:pPr>
        <w:pStyle w:val="ListBullet"/>
        <w:spacing w:after="80" w:line="280" w:lineRule="auto"/>
        <w:ind w:left="720" w:hanging="360"/>
      </w:pPr>
      <w:r>
        <w:t>先进封装瓶颈风险：CoWoS/SoIC 扩产受设备、基板、HBM、厂房和人才制约。</w:t>
      </w:r>
    </w:p>
    <w:p>
      <w:pPr>
        <w:pStyle w:val="ListBullet"/>
        <w:spacing w:after="80" w:line="280" w:lineRule="auto"/>
        <w:ind w:left="720" w:hanging="360"/>
      </w:pPr>
      <w:r>
        <w:t>地缘政治风险：台海局势、出口管制、美国/日本/欧洲补贴政策和供应链限制均可能影响估值中枢。</w:t>
      </w:r>
    </w:p>
    <w:p>
      <w:pPr>
        <w:pStyle w:val="ListBullet"/>
        <w:spacing w:after="80" w:line="280" w:lineRule="auto"/>
        <w:ind w:left="720" w:hanging="360"/>
      </w:pPr>
      <w:r>
        <w:t>海外扩产成本风险：美国、日本、德国产能有助于客户地缘弹性，但成本结构和管理复杂度高于台湾本土。</w:t>
      </w:r>
    </w:p>
    <w:p>
      <w:pPr>
        <w:pStyle w:val="ListBullet"/>
        <w:spacing w:after="80" w:line="280" w:lineRule="auto"/>
        <w:ind w:left="720" w:hanging="360"/>
      </w:pPr>
      <w:r>
        <w:t>汇率与能源风险：NTD/USD 汇率、电力、水资源和绿色能源成本都会影响利润率。</w:t>
      </w:r>
    </w:p>
    <w:p>
      <w:pPr>
        <w:pStyle w:val="ListBullet"/>
        <w:spacing w:after="80" w:line="280" w:lineRule="auto"/>
        <w:ind w:left="720" w:hanging="360"/>
      </w:pPr>
      <w:r>
        <w:t>周期性风险：半导体库存周期、手机季节性和成熟节点价格竞争仍会影响短期业绩。</w:t>
      </w:r>
    </w:p>
    <w:p>
      <w:pPr>
        <w:pStyle w:val="Heading1"/>
      </w:pPr>
      <w:r>
        <w:t>十一、财务数据核查及跟踪指标</w:t>
      </w:r>
    </w:p>
    <w:p>
      <w:pPr>
        <w:pStyle w:val="Heading2"/>
      </w:pPr>
      <w:r>
        <w:t>11.1 核查结论</w:t>
      </w:r>
    </w:p>
    <w:p>
      <w:pPr>
        <w:spacing w:after="120" w:line="264" w:lineRule="auto"/>
      </w:pPr>
      <w:r>
        <w:rPr>
          <w:sz w:val="22"/>
        </w:rPr>
        <w:t>本报告采用的最新季度财务数据来自 TSMC 2026年一季度业绩公告、Management Report 和 2026年一季度 Quarterly Results 页面；2025 全年数据来自 TSMC 2025 Annual Report；月度收入采用 TSMC 2026 Monthly Revenue 页面。需要特别注意，台积电以 TIFRS 编制财报，并同时披露新台币和美元口径，跨公司比较时应统一汇率和 ADS 换算口径。</w:t>
      </w:r>
    </w:p>
    <w:p>
      <w:pPr>
        <w:pStyle w:val="Heading2"/>
      </w:pPr>
      <w:r>
        <w:t>11.2 建议跟踪指标</w:t>
      </w:r>
    </w:p>
    <w:p>
      <w:pPr>
        <w:pStyle w:val="ListBullet"/>
        <w:spacing w:after="80" w:line="280" w:lineRule="auto"/>
        <w:ind w:left="720" w:hanging="360"/>
      </w:pPr>
      <w:r>
        <w:t>2026 Q2 实际收入是否落在 US$39.0-40.2bn 指引区间，以及毛利率是否维持 65.5%-67.5%。</w:t>
      </w:r>
    </w:p>
    <w:p>
      <w:pPr>
        <w:pStyle w:val="ListBullet"/>
        <w:spacing w:after="80" w:line="280" w:lineRule="auto"/>
        <w:ind w:left="720" w:hanging="360"/>
      </w:pPr>
      <w:r>
        <w:t>HPC 平台收入占比和环比增速，判断 AI 需求是否持续高于手机周期波动。</w:t>
      </w:r>
    </w:p>
    <w:p>
      <w:pPr>
        <w:pStyle w:val="ListBullet"/>
        <w:spacing w:after="80" w:line="280" w:lineRule="auto"/>
        <w:ind w:left="720" w:hanging="360"/>
      </w:pPr>
      <w:r>
        <w:t>3nm、5nm、7nm 及 N2 相关收入占比，判断先进节点迁移节奏。</w:t>
      </w:r>
    </w:p>
    <w:p>
      <w:pPr>
        <w:pStyle w:val="ListBullet"/>
        <w:spacing w:after="80" w:line="280" w:lineRule="auto"/>
        <w:ind w:left="720" w:hanging="360"/>
      </w:pPr>
      <w:r>
        <w:t>CoWoS/SoIC 产能扩张、交期、客户预付款和 HBM/基板配套情况。</w:t>
      </w:r>
    </w:p>
    <w:p>
      <w:pPr>
        <w:pStyle w:val="ListBullet"/>
        <w:spacing w:after="80" w:line="280" w:lineRule="auto"/>
        <w:ind w:left="720" w:hanging="360"/>
      </w:pPr>
      <w:r>
        <w:t>月度营收是否持续高于季节性，尤其是下半年手机旗舰与 AI 芯片拉货节奏。</w:t>
      </w:r>
    </w:p>
    <w:p>
      <w:pPr>
        <w:pStyle w:val="ListBullet"/>
        <w:spacing w:after="80" w:line="280" w:lineRule="auto"/>
        <w:ind w:left="720" w:hanging="360"/>
      </w:pPr>
      <w:r>
        <w:t>资本开支强度、自由现金流、净现金储备和海外扩产成本。</w:t>
      </w:r>
    </w:p>
    <w:p>
      <w:pPr>
        <w:pStyle w:val="ListBullet"/>
        <w:spacing w:after="80" w:line="280" w:lineRule="auto"/>
        <w:ind w:left="720" w:hanging="360"/>
      </w:pPr>
      <w:r>
        <w:t>北美客户收入占比、客户集中度和地缘政治相关披露。</w:t>
      </w:r>
    </w:p>
    <w:p>
      <w:pPr>
        <w:pStyle w:val="ListBullet"/>
        <w:spacing w:after="80" w:line="280" w:lineRule="auto"/>
        <w:ind w:left="720" w:hanging="360"/>
      </w:pPr>
      <w:r>
        <w:t>N2P、A16 和 A14 量产时间表、良率和首批客户导入情况。</w:t>
      </w:r>
    </w:p>
    <w:p>
      <w:pPr>
        <w:pStyle w:val="Heading1"/>
      </w:pPr>
      <w:r>
        <w:t>十二、研究结论</w:t>
      </w:r>
    </w:p>
    <w:p>
      <w:pPr>
        <w:pStyle w:val="Heading2"/>
      </w:pPr>
      <w:r>
        <w:t>12.1 投资亮点</w:t>
      </w:r>
    </w:p>
    <w:p>
      <w:pPr>
        <w:pStyle w:val="ListBullet"/>
        <w:spacing w:after="80" w:line="280" w:lineRule="auto"/>
        <w:ind w:left="720" w:hanging="360"/>
      </w:pPr>
      <w:r>
        <w:t>台积电是 AI Agent 生态链最底层、最关键的制造平台，受益于训练、推理、端侧 AI 和智能汽车多重需求。</w:t>
      </w:r>
    </w:p>
    <w:p>
      <w:pPr>
        <w:pStyle w:val="ListBullet"/>
        <w:spacing w:after="80" w:line="280" w:lineRule="auto"/>
        <w:ind w:left="720" w:hanging="360"/>
      </w:pPr>
      <w:r>
        <w:t>2026 Q1 收入 NT$1,134.10bn、同比增长 35.1%，HPC 占比达到 61%，AI/HPC 已成为核心增长引擎。</w:t>
      </w:r>
    </w:p>
    <w:p>
      <w:pPr>
        <w:pStyle w:val="ListBullet"/>
        <w:spacing w:after="80" w:line="280" w:lineRule="auto"/>
        <w:ind w:left="720" w:hanging="360"/>
      </w:pPr>
      <w:r>
        <w:t>7nm 及以下先进制程占 74%，3nm、5nm 和 7nm 共同构成当前盈利质量的基础。</w:t>
      </w:r>
    </w:p>
    <w:p>
      <w:pPr>
        <w:pStyle w:val="ListBullet"/>
        <w:spacing w:after="80" w:line="280" w:lineRule="auto"/>
        <w:ind w:left="720" w:hanging="360"/>
      </w:pPr>
      <w:r>
        <w:t>CoWoS、SoIC 和 3DFabric 让公司从晶圆制造延伸到系统级封装，绑定 AI 芯片价值量扩张。</w:t>
      </w:r>
    </w:p>
    <w:p>
      <w:pPr>
        <w:pStyle w:val="ListBullet"/>
        <w:spacing w:after="80" w:line="280" w:lineRule="auto"/>
        <w:ind w:left="720" w:hanging="360"/>
      </w:pPr>
      <w:r>
        <w:t>净现金储备 NT$2,326.34bn，经营现金流强，为全球扩产和跨周期投资提供支撑。</w:t>
      </w:r>
    </w:p>
    <w:p>
      <w:pPr>
        <w:pStyle w:val="Heading2"/>
      </w:pPr>
      <w:r>
        <w:t>12.2 审慎事项</w:t>
      </w:r>
    </w:p>
    <w:p>
      <w:pPr>
        <w:pStyle w:val="ListBullet"/>
        <w:spacing w:after="80" w:line="280" w:lineRule="auto"/>
        <w:ind w:left="720" w:hanging="360"/>
      </w:pPr>
      <w:r>
        <w:t>台积电确定性强，但估值通常已部分反映 AI 制造龙头地位，短期回撤风险不可忽视。</w:t>
      </w:r>
    </w:p>
    <w:p>
      <w:pPr>
        <w:pStyle w:val="ListBullet"/>
        <w:spacing w:after="80" w:line="280" w:lineRule="auto"/>
        <w:ind w:left="720" w:hanging="360"/>
      </w:pPr>
      <w:r>
        <w:t>AI 需求若从极度紧缺转向正常化，先进制程和 CoWoS 供需溢价可能收敛。</w:t>
      </w:r>
    </w:p>
    <w:p>
      <w:pPr>
        <w:pStyle w:val="ListBullet"/>
        <w:spacing w:after="80" w:line="280" w:lineRule="auto"/>
        <w:ind w:left="720" w:hanging="360"/>
      </w:pPr>
      <w:r>
        <w:t>地缘政治是台积电估值框架中无法完全量化的核心变量。</w:t>
      </w:r>
    </w:p>
    <w:p>
      <w:pPr>
        <w:pStyle w:val="ListBullet"/>
        <w:spacing w:after="80" w:line="280" w:lineRule="auto"/>
        <w:ind w:left="720" w:hanging="360"/>
      </w:pPr>
      <w:r>
        <w:t>海外扩产提高客户信任，但也可能压低长期毛利率，需要观察补贴、定价和执行效率。</w:t>
      </w:r>
    </w:p>
    <w:p>
      <w:pPr>
        <w:pStyle w:val="Heading2"/>
      </w:pPr>
      <w:r>
        <w:t>资料来源</w:t>
      </w:r>
    </w:p>
    <w:p>
      <w:pPr>
        <w:spacing w:after="80"/>
      </w:pPr>
      <w:r>
        <w:rPr>
          <w:color w:val="585858"/>
          <w:sz w:val="18"/>
        </w:rPr>
        <w:t>TSMC Investor Relations, TSMC Reports First Quarter EPS of NT$22.08, Apr. 16, 2026. https://investor.tsmc.com/english/encrypt/files/encrypt_file/qr/phase4_reports/2026-04/bd8eb0403902fdea59a2f5e390e48d010b50edc9/1Q26%20EarningsRelease_WoG.pdf</w:t>
      </w:r>
    </w:p>
    <w:p>
      <w:pPr>
        <w:spacing w:after="80"/>
      </w:pPr>
      <w:r>
        <w:rPr>
          <w:color w:val="585858"/>
          <w:sz w:val="18"/>
        </w:rPr>
        <w:t>TSMC Investor Relations, 1Q26 Management Report, Apr. 16, 2026. https://investor.tsmc.com/english/encrypt/files/encrypt_file/qr/phase4_reports/2026-04/9f060092ba29ff3630cfdaefd67774026195e135/1Q26ManagementReport.pdf</w:t>
      </w:r>
    </w:p>
    <w:p>
      <w:pPr>
        <w:spacing w:after="80"/>
      </w:pPr>
      <w:r>
        <w:rPr>
          <w:color w:val="585858"/>
          <w:sz w:val="18"/>
        </w:rPr>
        <w:t>TSMC Investor Relations, 2026 Q1 Quarterly Results and Guidance. https://investor.tsmc.com/english/quarterly-results/2026/q1</w:t>
      </w:r>
    </w:p>
    <w:p>
      <w:pPr>
        <w:spacing w:after="80"/>
      </w:pPr>
      <w:r>
        <w:rPr>
          <w:color w:val="585858"/>
          <w:sz w:val="18"/>
        </w:rPr>
        <w:t>TSMC Investor Relations, 2026 Monthly Revenue. https://investor.tsmc.com/english/monthly-revenue/2026</w:t>
      </w:r>
    </w:p>
    <w:p>
      <w:pPr>
        <w:spacing w:after="80"/>
      </w:pPr>
      <w:r>
        <w:rPr>
          <w:color w:val="585858"/>
          <w:sz w:val="18"/>
        </w:rPr>
        <w:t>TSMC 2025 Annual Report Website. https://investor.tsmc.com/static/annualReports/2025/english/index.html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5858"/>
        <w:sz w:val="18"/>
      </w:rPr>
      <w:t>仅供研究参考，不构成投资建议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