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t xml:space="preserve"/>
      </w:r>
    </w:p>
    <w:p>
      <w:pPr>
        <w:spacing w:after="80"/>
      </w:pPr>
      <w:r>
        <w:t xml:space="preserve"/>
      </w:r>
    </w:p>
    <w:p>
      <w:pPr>
        <w:spacing w:after="80"/>
      </w:pPr>
      <w:r>
        <w:t xml:space="preserve"/>
      </w:r>
    </w:p>
    <w:p>
      <w:pPr>
        <w:spacing w:after="80"/>
      </w:pPr>
      <w:r>
        <w:t xml:space="preserve"/>
      </w:r>
    </w:p>
    <w:p>
      <w:pPr>
        <w:spacing w:after="200"/>
        <w:jc w:val="center"/>
      </w:pPr>
      <w:r>
        <w:rPr>
          <w:rFonts w:ascii="Arial" w:cs="Arial" w:eastAsia="Arial" w:hAnsi="Arial"/>
          <w:b/>
          <w:bCs/>
          <w:color w:val="1F5C99"/>
          <w:sz w:val="64"/>
          <w:szCs w:val="64"/>
        </w:rPr>
        <w:t xml:space="preserve">AI PC 时代深度研究报告</w:t>
      </w:r>
    </w:p>
    <w:p>
      <w:pPr>
        <w:spacing w:after="160"/>
        <w:jc w:val="center"/>
      </w:pPr>
      <w:r>
        <w:rPr>
          <w:rFonts w:ascii="Arial" w:cs="Arial" w:eastAsia="Arial" w:hAnsi="Arial"/>
          <w:color w:val="2E75B6"/>
          <w:sz w:val="30"/>
          <w:szCs w:val="30"/>
        </w:rPr>
        <w:t xml:space="preserve">英伟达N1/N1X · Rubin架构 · 十大核心公司深度分析</w:t>
      </w:r>
    </w:p>
    <w:p>
      <w:pPr>
        <w:pBdr>
          <w:bottom w:val="single" w:color="1F5C99" w:sz="4" w:space="4"/>
        </w:pBdr>
        <w:spacing w:after="400"/>
        <w:jc w:val="center"/>
      </w:pPr>
      <w:r>
        <w:rPr>
          <w:rFonts w:ascii="Arial" w:cs="Arial" w:eastAsia="Arial" w:hAnsi="Arial"/>
          <w:color w:val="666666"/>
          <w:sz w:val="24"/>
          <w:szCs w:val="24"/>
        </w:rPr>
        <w:t xml:space="preserve">行业格局冲击 · 竞争护城河 · 估值风险评估</w:t>
      </w:r>
    </w:p>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F5C99" w:sz="2"/>
              <w:left w:val="single" w:color="1F5C99" w:sz="2"/>
              <w:bottom w:val="single" w:color="1F5C99" w:sz="2"/>
              <w:right w:val="single" w:color="1F5C99" w:sz="2"/>
            </w:tcBorders>
            <w:shd w:fill="1F5C99" w:val="clear"/>
            <w:tcMar>
              <w:top w:type="dxa" w:w="80"/>
              <w:left w:type="dxa" w:w="120"/>
              <w:bottom w:type="dxa" w:w="80"/>
              <w:right w:type="dxa" w:w="120"/>
            </w:tcMar>
          </w:tcPr>
          <w:p>
            <w:r>
              <w:rPr>
                <w:b/>
                <w:bCs/>
                <w:color w:val="FFFFFF"/>
                <w:sz w:val="20"/>
                <w:szCs w:val="20"/>
              </w:rPr>
              <w:t xml:space="preserve">报告要素</w:t>
            </w:r>
          </w:p>
        </w:tc>
        <w:tc>
          <w:tcPr>
            <w:tcW w:type="dxa" w:w="6560"/>
            <w:tcBorders>
              <w:top w:val="single" w:color="1F5C99" w:sz="2"/>
              <w:left w:val="single" w:color="1F5C99" w:sz="2"/>
              <w:bottom w:val="single" w:color="1F5C99" w:sz="2"/>
              <w:right w:val="single" w:color="1F5C99" w:sz="2"/>
            </w:tcBorders>
            <w:shd w:fill="1F5C99" w:val="clear"/>
            <w:tcMar>
              <w:top w:type="dxa" w:w="80"/>
              <w:left w:type="dxa" w:w="120"/>
              <w:bottom w:type="dxa" w:w="80"/>
              <w:right w:type="dxa" w:w="120"/>
            </w:tcMar>
          </w:tcPr>
          <w:p>
            <w:r>
              <w:rPr>
                <w:b/>
                <w:bCs/>
                <w:color w:val="FFFFFF"/>
                <w:sz w:val="20"/>
                <w:szCs w:val="20"/>
              </w:rPr>
              <w:t xml:space="preserve">详情</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报告时间</w:t>
            </w:r>
          </w:p>
        </w:tc>
        <w:tc>
          <w:tcPr>
            <w:tcW w:type="dxa" w:w="6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2025年（基于FY2024财报及COMPUTEX 2026最新信息）</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核心主题</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AI PC时代来临：英伟达N1/N1X SoC发布及Rubin架构路线图</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分析范围</w:t>
            </w:r>
          </w:p>
        </w:tc>
        <w:tc>
          <w:tcPr>
            <w:tcW w:type="dxa" w:w="6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NVDA、MSFT、TSM、AVGO、MU、ARM、DELL、AMZN、META、VRT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主要催化剂</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黄仁勋COMPUTEX Taipei演讲、Windows on ARM生态突破</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数据来源</w:t>
            </w:r>
          </w:p>
        </w:tc>
        <w:tc>
          <w:tcPr>
            <w:tcW w:type="dxa" w:w="6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公司财报、Wind、Bloomberg（截至2024.6）</w:t>
            </w:r>
          </w:p>
        </w:tc>
      </w:tr>
    </w:tbl>
    <w:p>
      <w:pPr>
        <w:spacing w:after="80"/>
      </w:pPr>
      <w:r>
        <w:t xml:space="preserve"/>
      </w:r>
    </w:p>
    <w:p>
      <w:pPr>
        <w:spacing w:after="80"/>
      </w:pPr>
      <w:r>
        <w:t xml:space="preserve"/>
      </w:r>
    </w:p>
    <w:p>
      <w:pPr>
        <w:spacing w:after="80"/>
      </w:pPr>
      <w:r>
        <w:t xml:space="preserve"/>
      </w:r>
    </w:p>
    <w:p>
      <w:pPr>
        <w:spacing w:after="80"/>
      </w:pPr>
      <w:r>
        <w:t xml:space="preserve"/>
      </w:r>
    </w:p>
    <w:p>
      <w:pPr>
        <w:spacing w:after="80"/>
      </w:pPr>
      <w:r>
        <w:t xml:space="preserve"/>
      </w:r>
    </w:p>
    <w:p>
      <w:pPr>
        <w:spacing w:after="80"/>
      </w:pPr>
      <w:r>
        <w:t xml:space="preserve"/>
      </w:r>
    </w:p>
    <w:p>
      <w:pPr>
        <w:jc w:val="center"/>
      </w:pPr>
      <w:r>
        <w:rPr>
          <w:i/>
          <w:iCs/>
          <w:color w:val="888888"/>
          <w:sz w:val="18"/>
          <w:szCs w:val="18"/>
        </w:rPr>
        <w:t xml:space="preserve">免责声明：本报告仅供信息参考，不构成任何投资建议。投资有风险，入市须谨慎。</w:t>
      </w:r>
    </w:p>
    <w:p>
      <w:r>
        <w:br w:type="page"/>
      </w:r>
    </w:p>
    <w:p>
      <w:pPr>
        <w:pStyle w:val="Heading1"/>
      </w:pPr>
      <w:r>
        <w:t xml:space="preserve">第一章  AI PC的现状：正在发生什么？</w:t>
      </w:r>
    </w:p>
    <w:p>
      <w:pPr>
        <w:pStyle w:val="Heading2"/>
      </w:pPr>
      <w:r>
        <w:t xml:space="preserve">1.1 事件背景</w:t>
      </w:r>
    </w:p>
    <w:p>
      <w:pPr>
        <w:spacing w:after="160"/>
      </w:pPr>
      <w:r>
        <w:t xml:space="preserve">2025年COMPUTEX Taipei期间，英伟达CEO黄仁勋发表主题演讲，正式发布AI PC专用SoC芯片N1与N1X系列。此前，英伟达（NVDA）、微软（MSFT）及芯片架构公司ARM在同一时间段于X平台联合预热，称"PC的新时代（A new era of PC）"即将到来，这是三家公司有史以来首次协同推出面向个人电脑的旗舰级联合发布。这一事件标志着AI PC从概念走向落地，将深刻改变消费电子、半导体及软件行业格局。</w:t>
      </w:r>
    </w:p>
    <w:p>
      <w:pPr>
        <w:spacing w:after="160"/>
      </w:pPr>
      <w:r>
        <w:t xml:space="preserve">从产业背景看，这次发布有几个关键时间节点：一是英伟达FY2025Q1财报超预期后，市场对下一个增长引擎的追问；二是苹果M5系列MacBook于同年3月上市，Windows PC面临竞争压力；三是量子化与蒸馏技术大幅降低端侧AI运行门槛，使200TOPS的本地算力具备商业价值。</w:t>
      </w:r>
    </w:p>
    <w:p>
      <w:pPr>
        <w:pStyle w:val="Heading2"/>
      </w:pPr>
      <w:r>
        <w:t xml:space="preserve">1.2 N1/N1X芯片：核心规格</w:t>
      </w:r>
    </w:p>
    <w:p>
      <w:pPr>
        <w:spacing w:after="160"/>
      </w:pPr>
      <w:r>
        <w:t xml:space="preserve">N1/N1X是英伟达与联发科联合设计、台积电3纳米工艺制造的AI PC SoC，是英伟达史上首款面向个人电脑的主处理器。</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1F5C99" w:sz="2"/>
              <w:left w:val="single" w:color="1F5C99" w:sz="2"/>
              <w:bottom w:val="single" w:color="1F5C99" w:sz="2"/>
              <w:right w:val="single" w:color="1F5C99" w:sz="2"/>
            </w:tcBorders>
            <w:shd w:fill="1F5C99" w:val="clear"/>
            <w:tcMar>
              <w:top w:type="dxa" w:w="80"/>
              <w:left w:type="dxa" w:w="120"/>
              <w:bottom w:type="dxa" w:w="80"/>
              <w:right w:type="dxa" w:w="120"/>
            </w:tcMar>
          </w:tcPr>
          <w:p>
            <w:r>
              <w:rPr>
                <w:b/>
                <w:bCs/>
                <w:color w:val="FFFFFF"/>
                <w:sz w:val="20"/>
                <w:szCs w:val="20"/>
              </w:rPr>
              <w:t xml:space="preserve">规格项</w:t>
            </w:r>
          </w:p>
        </w:tc>
        <w:tc>
          <w:tcPr>
            <w:tcW w:type="dxa" w:w="3480"/>
            <w:tcBorders>
              <w:top w:val="single" w:color="1F5C99" w:sz="2"/>
              <w:left w:val="single" w:color="1F5C99" w:sz="2"/>
              <w:bottom w:val="single" w:color="1F5C99" w:sz="2"/>
              <w:right w:val="single" w:color="1F5C99" w:sz="2"/>
            </w:tcBorders>
            <w:shd w:fill="1F5C99" w:val="clear"/>
            <w:tcMar>
              <w:top w:type="dxa" w:w="80"/>
              <w:left w:type="dxa" w:w="120"/>
              <w:bottom w:type="dxa" w:w="80"/>
              <w:right w:type="dxa" w:w="120"/>
            </w:tcMar>
          </w:tcPr>
          <w:p>
            <w:r>
              <w:rPr>
                <w:b/>
                <w:bCs/>
                <w:color w:val="FFFFFF"/>
                <w:sz w:val="20"/>
                <w:szCs w:val="20"/>
              </w:rPr>
              <w:t xml:space="preserve">N1X（旗舰款）</w:t>
            </w:r>
          </w:p>
        </w:tc>
        <w:tc>
          <w:tcPr>
            <w:tcW w:type="dxa" w:w="3480"/>
            <w:tcBorders>
              <w:top w:val="single" w:color="1F5C99" w:sz="2"/>
              <w:left w:val="single" w:color="1F5C99" w:sz="2"/>
              <w:bottom w:val="single" w:color="1F5C99" w:sz="2"/>
              <w:right w:val="single" w:color="1F5C99" w:sz="2"/>
            </w:tcBorders>
            <w:shd w:fill="1F5C99" w:val="clear"/>
            <w:tcMar>
              <w:top w:type="dxa" w:w="80"/>
              <w:left w:type="dxa" w:w="120"/>
              <w:bottom w:type="dxa" w:w="80"/>
              <w:right w:type="dxa" w:w="120"/>
            </w:tcMar>
          </w:tcPr>
          <w:p>
            <w:r>
              <w:rPr>
                <w:b/>
                <w:bCs/>
                <w:color w:val="FFFFFF"/>
                <w:sz w:val="20"/>
                <w:szCs w:val="20"/>
              </w:rPr>
              <w:t xml:space="preserve">N1（主流款）</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定位</w:t>
            </w:r>
          </w:p>
        </w:tc>
        <w:tc>
          <w:tcPr>
            <w:tcW w:type="dxa" w:w="34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旗舰AI轻薄本/电竞本</w:t>
            </w:r>
          </w:p>
        </w:tc>
        <w:tc>
          <w:tcPr>
            <w:tcW w:type="dxa" w:w="34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主流轻薄本/长续航本</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工艺制程</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台积电3nm</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台积电3nm</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CPU架构</w:t>
            </w:r>
          </w:p>
        </w:tc>
        <w:tc>
          <w:tcPr>
            <w:tcW w:type="dxa" w:w="34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ARM（联发科）</w:t>
            </w:r>
          </w:p>
        </w:tc>
        <w:tc>
          <w:tcPr>
            <w:tcW w:type="dxa" w:w="34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ARM（联发科）</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CPU核心配置</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20核（10x X925 + 10x A725）</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12核/10核</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GPU架构</w:t>
            </w:r>
          </w:p>
        </w:tc>
        <w:tc>
          <w:tcPr>
            <w:tcW w:type="dxa" w:w="34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Blackwell 2.0</w:t>
            </w:r>
          </w:p>
        </w:tc>
        <w:tc>
          <w:tcPr>
            <w:tcW w:type="dxa" w:w="34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Blackwell 2.0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CUDA核心数</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6144个</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2560/2048个</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图形性能对标</w:t>
            </w:r>
          </w:p>
        </w:tc>
        <w:tc>
          <w:tcPr>
            <w:tcW w:type="dxa" w:w="34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桌面RTX 5070 / 移动RTX 5060Ti</w:t>
            </w:r>
          </w:p>
        </w:tc>
        <w:tc>
          <w:tcPr>
            <w:tcW w:type="dxa" w:w="34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主流移动GPU级别</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本地AI算力</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180-200 TOPS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约100 TOPS</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整机功耗</w:t>
            </w:r>
          </w:p>
        </w:tc>
        <w:tc>
          <w:tcPr>
            <w:tcW w:type="dxa" w:w="34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45W - 80W</w:t>
            </w:r>
          </w:p>
        </w:tc>
        <w:tc>
          <w:tcPr>
            <w:tcW w:type="dxa" w:w="34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18W - 45W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最大内存</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128GB LPDDR5X（带宽301GB/s）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64GB LPDDR5X</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主要竞品</w:t>
            </w:r>
          </w:p>
        </w:tc>
        <w:tc>
          <w:tcPr>
            <w:tcW w:type="dxa" w:w="34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Apple M4 Pro/Max</w:t>
            </w:r>
          </w:p>
        </w:tc>
        <w:tc>
          <w:tcPr>
            <w:tcW w:type="dxa" w:w="34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Apple M4/高通X Elite</w:t>
            </w:r>
          </w:p>
        </w:tc>
      </w:tr>
    </w:tbl>
    <w:p>
      <w:pPr>
        <w:spacing w:after="80"/>
      </w:pPr>
      <w:r>
        <w:t xml:space="preserve"/>
      </w:r>
    </w:p>
    <w:p>
      <w:pPr>
        <w:spacing w:after="160"/>
      </w:pPr>
      <w:r>
        <w:t xml:space="preserve">N1/N1X最大的差异化优势在于：将CPU、完整Blackwell GPU、NPU、超大统一内存，以及英伟达完整CUDA AI软件栈整合于同一芯片，实现NPU+GPU张量核心协同推理，而非仅靠NPU轻量加速。这意味着本地可以完整运行70B量级的大语言模型及AI代理工作流，无需依赖云端算力。</w:t>
      </w:r>
    </w:p>
    <w:p>
      <w:pPr>
        <w:pStyle w:val="Heading2"/>
      </w:pPr>
      <w:r>
        <w:t xml:space="preserve">1.3 AI PC对哪些方面造成了直接影响</w:t>
      </w:r>
    </w:p>
    <w:p>
      <w:pPr>
        <w:pStyle w:val="Heading3"/>
      </w:pPr>
      <w:r>
        <w:t xml:space="preserve">1.3.1 对PC硬件产业链的影响</w:t>
      </w:r>
    </w:p>
    <w:p>
      <w:pPr>
        <w:spacing w:after="160"/>
      </w:pPr>
      <w:r>
        <w:t xml:space="preserve">AI PC的推出将系统性提升个人电脑硬件的物料成本（BOM）。最显著的变化来自存储——AI推理即访存，token生成本质是密集的内存读写操作。N1X支持128GB LPDDR5X统一内存，N1支持64GB，相较当前主流16GB/32GB配置，单机内存价值量提升3-8倍。这直接利好DRAM及HBM领域的存储供应商（美光MU、SK海力士、三星）。</w:t>
      </w:r>
    </w:p>
    <w:p>
      <w:pPr>
        <w:spacing w:after="160"/>
      </w:pPr>
      <w:r>
        <w:t xml:space="preserve">散热、电源管理、PCB、结构件等子系统同样面临升级需求。45-80W的功耗封装对轻薄本的热设计（TDP）提出新挑战，对Vertiv（VRT）等数据中心热管理延伸到端侧的解决方案也有潜在拉动。</w:t>
      </w:r>
    </w:p>
    <w:p>
      <w:pPr>
        <w:pStyle w:val="Heading3"/>
      </w:pPr>
      <w:r>
        <w:t xml:space="preserve">1.3.2 对软件与应用生态的影响</w:t>
      </w:r>
    </w:p>
    <w:p>
      <w:pPr>
        <w:spacing w:after="160"/>
      </w:pPr>
      <w:r>
        <w:t xml:space="preserve">微软Copilot+系统级AI将完整适配N1/N1X，并推出相关软件使AI代理能在本地Windows电脑自动执行任务，这是Windows on ARM有史以来最强力的生态催化。过去Arm版Windows的最大痛点是软件兼容性差，英伟达CUDA生态（超400万开发者）的介入，将显著加速开发者针对Arm架构的适配。</w:t>
      </w:r>
    </w:p>
    <w:p>
      <w:pPr>
        <w:spacing w:after="160"/>
      </w:pPr>
      <w:r>
        <w:t xml:space="preserve">本地AI能力的增强将催生企业对隐私保护的需求——公司文件、会议纪要、代码等敏感数据可留在本地推理，而不必上传云端，这对企业用户（金融、法律、政府等高合规行业）具有特别吸引力。</w:t>
      </w:r>
    </w:p>
    <w:p>
      <w:pPr>
        <w:pStyle w:val="Heading3"/>
      </w:pPr>
      <w:r>
        <w:t xml:space="preserve">1.3.3 对A股科技板块的影响</w:t>
      </w:r>
    </w:p>
    <w:p>
      <w:pPr>
        <w:spacing w:after="160"/>
      </w:pPr>
      <w:r>
        <w:t xml:space="preserve">从A股投资逻辑看，AI PC发布将触发以下方向的资金关注：</w:t>
      </w:r>
    </w:p>
    <w:p>
      <w:pPr>
        <w:pStyle w:val="ListParagraph"/>
        <w:numPr>
          <w:ilvl w:val="0"/>
          <w:numId w:val="2"/>
        </w:numPr>
        <w:spacing w:after="80"/>
      </w:pPr>
      <w:r>
        <w:rPr>
          <w:b w:val="false"/>
          <w:bCs w:val="false"/>
        </w:rPr>
        <w:t xml:space="preserve">AI PC整机与代工：笔记本代工（仁宝、广达、纬创、英业达等台资，A股相关延伸）</w:t>
      </w:r>
    </w:p>
    <w:p>
      <w:pPr>
        <w:pStyle w:val="ListParagraph"/>
        <w:numPr>
          <w:ilvl w:val="0"/>
          <w:numId w:val="2"/>
        </w:numPr>
        <w:spacing w:after="80"/>
      </w:pPr>
      <w:r>
        <w:rPr>
          <w:b w:val="false"/>
          <w:bCs w:val="false"/>
        </w:rPr>
        <w:t xml:space="preserve">存储：内存颗粒、固态硬盘及相关控制器（江波龙、兆易创新、长鑫存储概念）</w:t>
      </w:r>
    </w:p>
    <w:p>
      <w:pPr>
        <w:pStyle w:val="ListParagraph"/>
        <w:numPr>
          <w:ilvl w:val="0"/>
          <w:numId w:val="2"/>
        </w:numPr>
        <w:spacing w:after="80"/>
      </w:pPr>
      <w:r>
        <w:rPr>
          <w:b w:val="false"/>
          <w:bCs w:val="false"/>
        </w:rPr>
        <w:t xml:space="preserve">PCB与高速材料：AI PC对高速信号完整性要求提升（生益科技、深南电路）</w:t>
      </w:r>
    </w:p>
    <w:p>
      <w:pPr>
        <w:pStyle w:val="ListParagraph"/>
        <w:numPr>
          <w:ilvl w:val="0"/>
          <w:numId w:val="2"/>
        </w:numPr>
        <w:spacing w:after="80"/>
      </w:pPr>
      <w:r>
        <w:rPr>
          <w:b w:val="false"/>
          <w:bCs w:val="false"/>
        </w:rPr>
        <w:t xml:space="preserve">散热与结构件：高功耗SoC热管理（超众科技、中石科技）</w:t>
      </w:r>
    </w:p>
    <w:p>
      <w:pPr>
        <w:pStyle w:val="ListParagraph"/>
        <w:numPr>
          <w:ilvl w:val="0"/>
          <w:numId w:val="2"/>
        </w:numPr>
        <w:spacing w:after="80"/>
      </w:pPr>
      <w:r>
        <w:rPr>
          <w:b w:val="false"/>
          <w:bCs w:val="false"/>
        </w:rPr>
        <w:t xml:space="preserve">电源与功率器件：笔记本电源管理芯片升级（圣邦股份、思瑞浦）</w:t>
      </w:r>
    </w:p>
    <w:p>
      <w:pPr>
        <w:pStyle w:val="ListParagraph"/>
        <w:numPr>
          <w:ilvl w:val="0"/>
          <w:numId w:val="2"/>
        </w:numPr>
        <w:spacing w:after="80"/>
      </w:pPr>
      <w:r>
        <w:rPr>
          <w:b w:val="false"/>
          <w:bCs w:val="false"/>
        </w:rPr>
        <w:t xml:space="preserve">连接器与接口：高带宽接口升级（立讯精密、鸿腾精密）</w:t>
      </w:r>
    </w:p>
    <w:p>
      <w:pPr>
        <w:spacing w:after="80"/>
      </w:pPr>
      <w:r>
        <w:t xml:space="preserve"/>
      </w:r>
    </w:p>
    <w:p>
      <w:pPr>
        <w:spacing w:after="160"/>
      </w:pPr>
      <w:r>
        <w:t xml:space="preserve">需要特别注意的是：A股中很多公司对AI PC的映射属于情绪性炒作，真正受益于供应链订单的公司较少。投资者需甄别哪些公司具有实际客户、机型、量产节奏和收入兑现路径。</w:t>
      </w:r>
    </w:p>
    <w:p>
      <w:r>
        <w:br w:type="page"/>
      </w:r>
    </w:p>
    <w:p>
      <w:pPr>
        <w:pStyle w:val="Heading1"/>
      </w:pPr>
      <w:r>
        <w:t xml:space="preserve">第二章  短期与长期行业影响</w:t>
      </w:r>
    </w:p>
    <w:p>
      <w:pPr>
        <w:pStyle w:val="Heading2"/>
      </w:pPr>
      <w:r>
        <w:t xml:space="preserve">2.1 短期影响（6-18个月）</w:t>
      </w:r>
    </w:p>
    <w:p>
      <w:pPr>
        <w:spacing w:after="160"/>
      </w:pPr>
      <w:r>
        <w:t xml:space="preserve">短期来看，AI PC发布更多是市场情绪的重新定价，而非业绩的立竿见影。主要逻辑如下：</w:t>
      </w:r>
    </w:p>
    <w:p>
      <w:pPr>
        <w:pStyle w:val="ListParagraph"/>
        <w:numPr>
          <w:ilvl w:val="0"/>
          <w:numId w:val="2"/>
        </w:numPr>
        <w:spacing w:after="80"/>
      </w:pPr>
      <w:r>
        <w:rPr>
          <w:b w:val="false"/>
          <w:bCs w:val="false"/>
        </w:rPr>
        <w:t xml:space="preserve">市场情绪修复：上周五科创50单日跌幅超5%，科技板块普跌。AI PC作为新催化剂，提供了情绪反弹的叙事支撑，资金将从AI服务器/算力板块向端侧AI、消费电子延伸。</w:t>
      </w:r>
    </w:p>
    <w:p>
      <w:pPr>
        <w:pStyle w:val="ListParagraph"/>
        <w:numPr>
          <w:ilvl w:val="0"/>
          <w:numId w:val="2"/>
        </w:numPr>
        <w:spacing w:after="80"/>
      </w:pPr>
      <w:r>
        <w:rPr>
          <w:b w:val="false"/>
          <w:bCs w:val="false"/>
        </w:rPr>
        <w:t xml:space="preserve">供应链预期拉动：台积电3nm产能占用增加，联发科（CPU部分）订单量提升，美光等存储企业大容量LPDDR5X订单潜力提升，相关产业链估值扩张。</w:t>
      </w:r>
    </w:p>
    <w:p>
      <w:pPr>
        <w:pStyle w:val="ListParagraph"/>
        <w:numPr>
          <w:ilvl w:val="0"/>
          <w:numId w:val="2"/>
        </w:numPr>
        <w:spacing w:after="80"/>
      </w:pPr>
      <w:r>
        <w:rPr>
          <w:b w:val="false"/>
          <w:bCs w:val="false"/>
        </w:rPr>
        <w:t xml:space="preserve">整机厂商备货节奏：微软Surface、戴尔、联想、华硕等OEM厂商若明确推出N1X机型并公布上市时间，相关代工产业链将最快在2025年下半年开始备货。</w:t>
      </w:r>
    </w:p>
    <w:p>
      <w:pPr>
        <w:pStyle w:val="ListParagraph"/>
        <w:numPr>
          <w:ilvl w:val="0"/>
          <w:numId w:val="2"/>
        </w:numPr>
        <w:spacing w:after="80"/>
      </w:pPr>
      <w:r>
        <w:rPr>
          <w:b w:val="false"/>
          <w:bCs w:val="false"/>
        </w:rPr>
        <w:t xml:space="preserve">高通竞争格局变化：英伟达入局Arm PC芯片，短期内高通Snapdragon X Elite的市场地位受到直接冲击，但两者同属Arm阵营，有助于共同对抗x86的存量市场，形成一起做大蛋糕的过渡态势。</w:t>
      </w:r>
    </w:p>
    <w:p>
      <w:pPr>
        <w:pStyle w:val="Heading2"/>
      </w:pPr>
      <w:r>
        <w:t xml:space="preserve">2.2 长期影响（2-5年）</w:t>
      </w:r>
    </w:p>
    <w:p>
      <w:pPr>
        <w:spacing w:after="160"/>
      </w:pPr>
      <w:r>
        <w:t xml:space="preserve">长期而言，AI PC若成功打破上一轮换机周期（约5年）的迟缓态势，将带来系统性的行业结构重塑：</w:t>
      </w:r>
    </w:p>
    <w:p>
      <w:pPr>
        <w:pStyle w:val="ListParagraph"/>
        <w:numPr>
          <w:ilvl w:val="0"/>
          <w:numId w:val="2"/>
        </w:numPr>
        <w:spacing w:after="80"/>
      </w:pPr>
      <w:r>
        <w:rPr>
          <w:b w:val="false"/>
          <w:bCs w:val="false"/>
        </w:rPr>
        <w:t xml:space="preserve">PC换机大周期催化剂：若AI成为下一轮PC换机的决定性理由，全球每年2-3亿台PC的出货量将逐步向AI PC迁移，形成持续数年的升级需求。</w:t>
      </w:r>
    </w:p>
    <w:p>
      <w:pPr>
        <w:pStyle w:val="ListParagraph"/>
        <w:numPr>
          <w:ilvl w:val="0"/>
          <w:numId w:val="2"/>
        </w:numPr>
        <w:spacing w:after="80"/>
      </w:pPr>
      <w:r>
        <w:rPr>
          <w:b w:val="false"/>
          <w:bCs w:val="false"/>
        </w:rPr>
        <w:t xml:space="preserve">存储量价齐升：单机DRAM从16GB升级至64-128GB，叠加AI PC出货量提升，全球DRAM市场规模将系统性扩张，美光、SK海力士受益最为直接。</w:t>
      </w:r>
    </w:p>
    <w:p>
      <w:pPr>
        <w:pStyle w:val="ListParagraph"/>
        <w:numPr>
          <w:ilvl w:val="0"/>
          <w:numId w:val="2"/>
        </w:numPr>
        <w:spacing w:after="80"/>
      </w:pPr>
      <w:r>
        <w:rPr>
          <w:b w:val="false"/>
          <w:bCs w:val="false"/>
        </w:rPr>
        <w:t xml:space="preserve">英伟达生态闭环：从云到端，英伟达CUDA生态实现全覆盖，开发者一次开发、云端与端侧均可部署，护城河进一步加深。</w:t>
      </w:r>
    </w:p>
    <w:p>
      <w:pPr>
        <w:pStyle w:val="ListParagraph"/>
        <w:numPr>
          <w:ilvl w:val="0"/>
          <w:numId w:val="2"/>
        </w:numPr>
        <w:spacing w:after="80"/>
      </w:pPr>
      <w:r>
        <w:rPr>
          <w:b w:val="false"/>
          <w:bCs w:val="false"/>
        </w:rPr>
        <w:t xml:space="preserve">苹果压力加大：M系列芯片曾是高端PC市场的绝对标杆，N1X的推出将直接挑战Mac的溢价空间，Windows PC高端市场将迎来真正竞争。</w:t>
      </w:r>
    </w:p>
    <w:p>
      <w:pPr>
        <w:pStyle w:val="ListParagraph"/>
        <w:numPr>
          <w:ilvl w:val="0"/>
          <w:numId w:val="2"/>
        </w:numPr>
        <w:spacing w:after="80"/>
      </w:pPr>
      <w:r>
        <w:rPr>
          <w:b w:val="false"/>
          <w:bCs w:val="false"/>
        </w:rPr>
        <w:t xml:space="preserve">Intel/AMD结构性压力：x86架构的长期统治地位面临Arm生态的根本性挑战，Intel和AMD若不能快速推出具备竞争力的AI加速方案，市场份额将持续流失。</w:t>
      </w:r>
    </w:p>
    <w:p>
      <w:pPr>
        <w:pStyle w:val="ListParagraph"/>
        <w:numPr>
          <w:ilvl w:val="0"/>
          <w:numId w:val="2"/>
        </w:numPr>
        <w:spacing w:after="80"/>
      </w:pPr>
      <w:r>
        <w:rPr>
          <w:b w:val="false"/>
          <w:bCs w:val="false"/>
        </w:rPr>
        <w:t xml:space="preserve">AI商业化闭环形成：大厂（云端）→普通用户（端侧）→企业（混合部署），AI货币化路径更加清晰，有助于消解AI泡沫担忧。</w:t>
      </w:r>
    </w:p>
    <w:p>
      <w:pPr>
        <w:pStyle w:val="Heading2"/>
      </w:pPr>
      <w:r>
        <w:t xml:space="preserve">2.3 行业格局冲击性评估</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rPr>
          <w:tblHeader/>
        </w:trPr>
        <w:tc>
          <w:tcPr>
            <w:tcW w:type="dxa" w:w="2200"/>
            <w:tcBorders>
              <w:top w:val="single" w:color="1F5C99" w:sz="2"/>
              <w:left w:val="single" w:color="1F5C99" w:sz="2"/>
              <w:bottom w:val="single" w:color="1F5C99" w:sz="2"/>
              <w:right w:val="single" w:color="1F5C99" w:sz="2"/>
            </w:tcBorders>
            <w:shd w:fill="1F5C99" w:val="clear"/>
            <w:tcMar>
              <w:top w:type="dxa" w:w="80"/>
              <w:left w:type="dxa" w:w="120"/>
              <w:bottom w:type="dxa" w:w="80"/>
              <w:right w:type="dxa" w:w="120"/>
            </w:tcMar>
          </w:tcPr>
          <w:p>
            <w:r>
              <w:rPr>
                <w:b/>
                <w:bCs/>
                <w:color w:val="FFFFFF"/>
                <w:sz w:val="20"/>
                <w:szCs w:val="20"/>
              </w:rPr>
              <w:t xml:space="preserve">冲击维度</w:t>
            </w:r>
          </w:p>
        </w:tc>
        <w:tc>
          <w:tcPr>
            <w:tcW w:type="dxa" w:w="2400"/>
            <w:tcBorders>
              <w:top w:val="single" w:color="1F5C99" w:sz="2"/>
              <w:left w:val="single" w:color="1F5C99" w:sz="2"/>
              <w:bottom w:val="single" w:color="1F5C99" w:sz="2"/>
              <w:right w:val="single" w:color="1F5C99" w:sz="2"/>
            </w:tcBorders>
            <w:shd w:fill="1F5C99" w:val="clear"/>
            <w:tcMar>
              <w:top w:type="dxa" w:w="80"/>
              <w:left w:type="dxa" w:w="120"/>
              <w:bottom w:type="dxa" w:w="80"/>
              <w:right w:type="dxa" w:w="120"/>
            </w:tcMar>
          </w:tcPr>
          <w:p>
            <w:r>
              <w:rPr>
                <w:b/>
                <w:bCs/>
                <w:color w:val="FFFFFF"/>
                <w:sz w:val="20"/>
                <w:szCs w:val="20"/>
              </w:rPr>
              <w:t xml:space="preserve">受冲击方</w:t>
            </w:r>
          </w:p>
        </w:tc>
        <w:tc>
          <w:tcPr>
            <w:tcW w:type="dxa" w:w="2400"/>
            <w:tcBorders>
              <w:top w:val="single" w:color="1F5C99" w:sz="2"/>
              <w:left w:val="single" w:color="1F5C99" w:sz="2"/>
              <w:bottom w:val="single" w:color="1F5C99" w:sz="2"/>
              <w:right w:val="single" w:color="1F5C99" w:sz="2"/>
            </w:tcBorders>
            <w:shd w:fill="1F5C99" w:val="clear"/>
            <w:tcMar>
              <w:top w:type="dxa" w:w="80"/>
              <w:left w:type="dxa" w:w="120"/>
              <w:bottom w:type="dxa" w:w="80"/>
              <w:right w:type="dxa" w:w="120"/>
            </w:tcMar>
          </w:tcPr>
          <w:p>
            <w:r>
              <w:rPr>
                <w:b/>
                <w:bCs/>
                <w:color w:val="FFFFFF"/>
                <w:sz w:val="20"/>
                <w:szCs w:val="20"/>
              </w:rPr>
              <w:t xml:space="preserve">受益方</w:t>
            </w:r>
          </w:p>
        </w:tc>
        <w:tc>
          <w:tcPr>
            <w:tcW w:type="dxa" w:w="2360"/>
            <w:tcBorders>
              <w:top w:val="single" w:color="1F5C99" w:sz="2"/>
              <w:left w:val="single" w:color="1F5C99" w:sz="2"/>
              <w:bottom w:val="single" w:color="1F5C99" w:sz="2"/>
              <w:right w:val="single" w:color="1F5C99" w:sz="2"/>
            </w:tcBorders>
            <w:shd w:fill="1F5C99" w:val="clear"/>
            <w:tcMar>
              <w:top w:type="dxa" w:w="80"/>
              <w:left w:type="dxa" w:w="120"/>
              <w:bottom w:type="dxa" w:w="80"/>
              <w:right w:type="dxa" w:w="120"/>
            </w:tcMar>
          </w:tcPr>
          <w:p>
            <w:r>
              <w:rPr>
                <w:b/>
                <w:bCs/>
                <w:color w:val="FFFFFF"/>
                <w:sz w:val="20"/>
                <w:szCs w:val="20"/>
              </w:rPr>
              <w:t xml:space="preserve">冲击程度</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CPU市场格局</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Intel、AMD（x86基本盘）</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ARM、英伟达、联发科</w:t>
            </w:r>
          </w:p>
        </w:tc>
        <w:tc>
          <w:tcPr>
            <w:tcW w:type="dxa" w:w="2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高（长期结构性）</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独立显卡市场</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英伟达（独立GPU自我蚕食）、AMD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英伟达（整体生态受益）</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中（内部平衡）</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AI推理云端流量</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AWS、Azure、Google Cloud</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端侧推理本地化</w:t>
            </w:r>
          </w:p>
        </w:tc>
        <w:tc>
          <w:tcPr>
            <w:tcW w:type="dxa" w:w="2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中（部分替代）</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Windows PC市场</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高通Snapdragon X（先发优势稀释）</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微软、Arm生态整体</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中高</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苹果Mac竞争格局</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苹果M系列PC独占高端地位</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Windows高端PC品牌</w:t>
            </w:r>
          </w:p>
        </w:tc>
        <w:tc>
          <w:tcPr>
            <w:tcW w:type="dxa" w:w="2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高（直接竞争）</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DRAM/存储市场</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无明显受损方</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美光、SK海力士</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高（量价双升）</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PC代工产业链</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部分低技术壁垒代工</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高端AI PC代工（台资OEM）</w:t>
            </w:r>
          </w:p>
        </w:tc>
        <w:tc>
          <w:tcPr>
            <w:tcW w:type="dxa" w:w="2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中（结构升级）</w:t>
            </w:r>
          </w:p>
        </w:tc>
      </w:tr>
    </w:tbl>
    <w:p>
      <w:pPr>
        <w:spacing w:after="80"/>
      </w:pPr>
      <w:r>
        <w:t xml:space="preserve"/>
      </w:r>
    </w:p>
    <w:p>
      <w:r>
        <w:br w:type="page"/>
      </w:r>
    </w:p>
    <w:p>
      <w:pPr>
        <w:pStyle w:val="Heading1"/>
      </w:pPr>
      <w:r>
        <w:t xml:space="preserve">第三章  Rubin架构：英伟达下一代战略布局</w:t>
      </w:r>
    </w:p>
    <w:p>
      <w:pPr>
        <w:pStyle w:val="Heading2"/>
      </w:pPr>
      <w:r>
        <w:t xml:space="preserve">3.1 Rubin架构概览</w:t>
      </w:r>
    </w:p>
    <w:p>
      <w:pPr>
        <w:spacing w:after="160"/>
      </w:pPr>
      <w:r>
        <w:t xml:space="preserve">继Blackwell架构之后，英伟达下一代数据中心GPU平台命名为Rubin（预计2026-2027年量产），这是英伟达继续领先竞争对手1-2个技术代际的核心战略。在本次COMPUTEX演讲中，黄仁勋对Rubin机架系统进行了系统性展示，这是继Blackwell之后最受市场关注的技术路线。</w:t>
      </w:r>
    </w:p>
    <w:p>
      <w:pPr>
        <w:pStyle w:val="Heading2"/>
      </w:pPr>
      <w:r>
        <w:t xml:space="preserve">3.2 Rubin架构核心技术参数（预计）</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1F5C99" w:sz="2"/>
              <w:left w:val="single" w:color="1F5C99" w:sz="2"/>
              <w:bottom w:val="single" w:color="1F5C99" w:sz="2"/>
              <w:right w:val="single" w:color="1F5C99" w:sz="2"/>
            </w:tcBorders>
            <w:shd w:fill="1F5C99" w:val="clear"/>
            <w:tcMar>
              <w:top w:type="dxa" w:w="80"/>
              <w:left w:type="dxa" w:w="120"/>
              <w:bottom w:type="dxa" w:w="80"/>
              <w:right w:type="dxa" w:w="120"/>
            </w:tcMar>
          </w:tcPr>
          <w:p>
            <w:r>
              <w:rPr>
                <w:b/>
                <w:bCs/>
                <w:color w:val="FFFFFF"/>
                <w:sz w:val="20"/>
                <w:szCs w:val="20"/>
              </w:rPr>
              <w:t xml:space="preserve">技术维度</w:t>
            </w:r>
          </w:p>
        </w:tc>
        <w:tc>
          <w:tcPr>
            <w:tcW w:type="dxa" w:w="3480"/>
            <w:tcBorders>
              <w:top w:val="single" w:color="1F5C99" w:sz="2"/>
              <w:left w:val="single" w:color="1F5C99" w:sz="2"/>
              <w:bottom w:val="single" w:color="1F5C99" w:sz="2"/>
              <w:right w:val="single" w:color="1F5C99" w:sz="2"/>
            </w:tcBorders>
            <w:shd w:fill="1F5C99" w:val="clear"/>
            <w:tcMar>
              <w:top w:type="dxa" w:w="80"/>
              <w:left w:type="dxa" w:w="120"/>
              <w:bottom w:type="dxa" w:w="80"/>
              <w:right w:type="dxa" w:w="120"/>
            </w:tcMar>
          </w:tcPr>
          <w:p>
            <w:r>
              <w:rPr>
                <w:b/>
                <w:bCs/>
                <w:color w:val="FFFFFF"/>
                <w:sz w:val="20"/>
                <w:szCs w:val="20"/>
              </w:rPr>
              <w:t xml:space="preserve">Blackwell（当前代）</w:t>
            </w:r>
          </w:p>
        </w:tc>
        <w:tc>
          <w:tcPr>
            <w:tcW w:type="dxa" w:w="3480"/>
            <w:tcBorders>
              <w:top w:val="single" w:color="1F5C99" w:sz="2"/>
              <w:left w:val="single" w:color="1F5C99" w:sz="2"/>
              <w:bottom w:val="single" w:color="1F5C99" w:sz="2"/>
              <w:right w:val="single" w:color="1F5C99" w:sz="2"/>
            </w:tcBorders>
            <w:shd w:fill="1F5C99" w:val="clear"/>
            <w:tcMar>
              <w:top w:type="dxa" w:w="80"/>
              <w:left w:type="dxa" w:w="120"/>
              <w:bottom w:type="dxa" w:w="80"/>
              <w:right w:type="dxa" w:w="120"/>
            </w:tcMar>
          </w:tcPr>
          <w:p>
            <w:r>
              <w:rPr>
                <w:b/>
                <w:bCs/>
                <w:color w:val="FFFFFF"/>
                <w:sz w:val="20"/>
                <w:szCs w:val="20"/>
              </w:rPr>
              <w:t xml:space="preserve">Rubin（下一代，预计）</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架构代际</w:t>
            </w:r>
          </w:p>
        </w:tc>
        <w:tc>
          <w:tcPr>
            <w:tcW w:type="dxa" w:w="34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Blackwell</w:t>
            </w:r>
          </w:p>
        </w:tc>
        <w:tc>
          <w:tcPr>
            <w:tcW w:type="dxa" w:w="34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Rubin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制程工艺</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台积电4nm/3nm</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台积电3nm/2nm</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HBM版本</w:t>
            </w:r>
          </w:p>
        </w:tc>
        <w:tc>
          <w:tcPr>
            <w:tcW w:type="dxa" w:w="34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HBM3e</w:t>
            </w:r>
          </w:p>
        </w:tc>
        <w:tc>
          <w:tcPr>
            <w:tcW w:type="dxa" w:w="34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HBM4/HBM4e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GPU显存带宽</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~8 TB/s（B200）</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预计&gt;12 TB/s</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NVLink互联带宽</w:t>
            </w:r>
          </w:p>
        </w:tc>
        <w:tc>
          <w:tcPr>
            <w:tcW w:type="dxa" w:w="34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1.8 TB/s（NVLink 5）</w:t>
            </w:r>
          </w:p>
        </w:tc>
        <w:tc>
          <w:tcPr>
            <w:tcW w:type="dxa" w:w="34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预计3.6 TB/s（NVLink 6）</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训练算力（FP8）</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~9 PFLOPS（B200）</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预计18-30 PFLOPS</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NVL机架规模</w:t>
            </w:r>
          </w:p>
        </w:tc>
        <w:tc>
          <w:tcPr>
            <w:tcW w:type="dxa" w:w="34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NVL72（72颗GPU）</w:t>
            </w:r>
          </w:p>
        </w:tc>
        <w:tc>
          <w:tcPr>
            <w:tcW w:type="dxa" w:w="34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Rubin Ultra机架（规模更大）</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配套CPU</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Grace（Arm）</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Vera（下一代Arm CPU）</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量产节奏</w:t>
            </w:r>
          </w:p>
        </w:tc>
        <w:tc>
          <w:tcPr>
            <w:tcW w:type="dxa" w:w="34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2024-2025年</w:t>
            </w:r>
          </w:p>
        </w:tc>
        <w:tc>
          <w:tcPr>
            <w:tcW w:type="dxa" w:w="34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2026-2027年</w:t>
            </w:r>
          </w:p>
        </w:tc>
      </w:tr>
    </w:tbl>
    <w:p>
      <w:pPr>
        <w:spacing w:after="80"/>
      </w:pPr>
      <w:r>
        <w:t xml:space="preserve"/>
      </w:r>
    </w:p>
    <w:p>
      <w:pPr>
        <w:spacing w:after="160"/>
      </w:pPr>
      <w:r>
        <w:t xml:space="preserve">值得关注的是，英伟达此次明确废弃了沿用多年的收入披露框架，网络和自研CPU业务的快速增长，意味着英伟达正从卖GPU硬件转型为提供AI计算全栈生态，生态锁定效应将随Rubin架构进一步强化。</w:t>
      </w:r>
    </w:p>
    <w:p>
      <w:pPr>
        <w:pStyle w:val="Heading2"/>
      </w:pPr>
      <w:r>
        <w:t xml:space="preserve">3.3 Rubin对行业和公司的深远影响</w:t>
      </w:r>
    </w:p>
    <w:p>
      <w:pPr>
        <w:pStyle w:val="Heading3"/>
      </w:pPr>
      <w:r>
        <w:t xml:space="preserve">3.3.1 对存储行业的影响</w:t>
      </w:r>
    </w:p>
    <w:p>
      <w:pPr>
        <w:spacing w:after="160"/>
      </w:pPr>
      <w:r>
        <w:t xml:space="preserve">Rubin配套HBM4/HBM4e，将进一步拉动HBM高端产品的需求。SK海力士凭借HBM3e的先发优势，与英伟达深度绑定；美光则正在加速追赶HBM4量产节奏。若Rubin于2026-2027年大规模量产，HBM4需求将出现新一轮爆发，对存储供应商形成持续利好。</w:t>
      </w:r>
    </w:p>
    <w:p>
      <w:pPr>
        <w:pStyle w:val="Heading3"/>
      </w:pPr>
      <w:r>
        <w:t xml:space="preserve">3.3.2 对台积电的影响</w:t>
      </w:r>
    </w:p>
    <w:p>
      <w:pPr>
        <w:spacing w:after="160"/>
      </w:pPr>
      <w:r>
        <w:t xml:space="preserve">Rubin将采用台积电2nm或3nm先进工艺，且Rubin Ultra可能采用CoWoS-L甚至更先进封装。台积电既是Blackwell的独家代工商，也将是Rubin的首选制造伙伴，先进封装（CoWoS）产能的持续扩张直接受益于英伟达的产品路线图。</w:t>
      </w:r>
    </w:p>
    <w:p>
      <w:pPr>
        <w:pStyle w:val="Heading3"/>
      </w:pPr>
      <w:r>
        <w:t xml:space="preserve">3.3.3 对Broadcom的影响</w:t>
      </w:r>
    </w:p>
    <w:p>
      <w:pPr>
        <w:spacing w:after="160"/>
      </w:pPr>
      <w:r>
        <w:t xml:space="preserve">Broadcom在AI网络互联（InfiniBand替代方案、定制ASIC）领域持续受益于大厂的AI基础设施投入。Rubin时代的机架规模进一步扩大，对网络交换芯片和定制ASIC的需求将同步提升，Broadcom有望持续分享英伟达生态扩张红利。</w:t>
      </w:r>
    </w:p>
    <w:p>
      <w:pPr>
        <w:pStyle w:val="Heading3"/>
      </w:pPr>
      <w:r>
        <w:t xml:space="preserve">3.3.4 对Vertiv等数据中心基础设施的影响</w:t>
      </w:r>
    </w:p>
    <w:p>
      <w:pPr>
        <w:spacing w:after="160"/>
      </w:pPr>
      <w:r>
        <w:t xml:space="preserve">Rubin机架功耗密度将显著高于Blackwell（单柜功耗可能超过100kW），对液冷、高密度供电和散热解决方案的需求将出现跃升。Vertiv作为数据中心基础设施领导者，将直接受益于这一趋势，且其在液冷技术领域的储备为其提供了竞争护城河。</w:t>
      </w:r>
    </w:p>
    <w:p>
      <w:pPr>
        <w:pStyle w:val="Heading3"/>
      </w:pPr>
      <w:r>
        <w:t xml:space="preserve">3.3.5 对竞争对手的战略影响</w:t>
      </w:r>
    </w:p>
    <w:p>
      <w:pPr>
        <w:spacing w:after="160"/>
      </w:pPr>
      <w:r>
        <w:t xml:space="preserve">AMD、Intel、Google TPU、亚马逊Trainium、微软Azure Maia等自研芯片势力，都将面对Rubin带来的新一轮性能代差。AMD在MI350/MI400路线上加速追赶，但在软件生态（CUDA vs ROCm）上的差距短期难以弥合；Intel Gaudi系列在大客户中的份额有限，Rubin发布将进一步压缩其窗口期。</w:t>
      </w:r>
    </w:p>
    <w:p>
      <w:pPr>
        <w:pStyle w:val="Heading2"/>
      </w:pPr>
      <w:r>
        <w:t xml:space="preserve">3.4 Rubin路线图：英伟达每年一代的战略意图</w:t>
      </w:r>
    </w:p>
    <w:p>
      <w:pPr>
        <w:spacing w:after="160"/>
      </w:pPr>
      <w:r>
        <w:t xml:space="preserve">黄仁勋宣布英伟达将坚持每年一代的GPU迭代策略：Blackwell（2024）→ Rubin（2026）→ Feynman（2028，预计）。这一节奏远超历史上的两年迭代周期，意图通过压缩竞争对手的追赶时间窗口，将技术优势转化为生态优势，进而形成客户切换成本极高的护城河。</w:t>
      </w:r>
    </w:p>
    <w:p>
      <w:pPr>
        <w:spacing w:after="160"/>
      </w:pPr>
      <w:r>
        <w:t xml:space="preserve">对投资者而言，Rubin路线图意味着英伟达的业绩增长逻辑不依赖于单一产品的超级周期，而是由持续迭代的平台更新驱动——每一代架构的推出，都会带动存储（HBM升级）、网络（NVLink升级）、封装（CoWoS升级）和整机（机架重新设计）的系统性采购。</w:t>
      </w:r>
    </w:p>
    <w:p>
      <w:r>
        <w:br w:type="page"/>
      </w:r>
    </w:p>
    <w:p>
      <w:pPr>
        <w:pStyle w:val="Heading1"/>
      </w:pPr>
      <w:r>
        <w:t xml:space="preserve">第四章  十大核心公司深度分析</w:t>
      </w:r>
    </w:p>
    <w:p>
      <w:pPr>
        <w:pStyle w:val="Heading2"/>
      </w:pPr>
      <w:r>
        <w:t xml:space="preserve">4.1 英伟达（NVDA）— AI基础设施的绝对领导者</w:t>
      </w:r>
    </w:p>
    <w:p>
      <w:pPr>
        <w:pStyle w:val="Heading3"/>
      </w:pPr>
      <w:r>
        <w:t xml:space="preserve">公司概况</w:t>
      </w:r>
    </w:p>
    <w:p>
      <w:pPr>
        <w:spacing w:after="160"/>
      </w:pPr>
      <w:r>
        <w:t xml:space="preserve">英伟达成立于1993年，总部位于美国加州圣克拉拉，CEO黄仁勋（Jensen Huang）。FY2025财年（截至2025年1月），英伟达市值约26万亿美元，是全球市值最高的半导体公司，也是AI时代最重要的算力卖铲人。</w:t>
      </w:r>
    </w:p>
    <w:p>
      <w:pPr>
        <w:pStyle w:val="Heading3"/>
      </w:pPr>
      <w:r>
        <w:t xml:space="preserve">财务表现（FY2024）</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3560"/>
      </w:tblGrid>
      <w:tr>
        <w:trPr>
          <w:tblHeader/>
        </w:trPr>
        <w:tc>
          <w:tcPr>
            <w:tcW w:type="dxa" w:w="2200"/>
            <w:tcBorders>
              <w:top w:val="single" w:color="1F5C99" w:sz="2"/>
              <w:left w:val="single" w:color="1F5C99" w:sz="2"/>
              <w:bottom w:val="single" w:color="1F5C99" w:sz="2"/>
              <w:right w:val="single" w:color="1F5C99" w:sz="2"/>
            </w:tcBorders>
            <w:shd w:fill="1F5C99" w:val="clear"/>
            <w:tcMar>
              <w:top w:type="dxa" w:w="80"/>
              <w:left w:type="dxa" w:w="120"/>
              <w:bottom w:type="dxa" w:w="80"/>
              <w:right w:type="dxa" w:w="120"/>
            </w:tcMar>
          </w:tcPr>
          <w:p>
            <w:r>
              <w:rPr>
                <w:b/>
                <w:bCs/>
                <w:color w:val="FFFFFF"/>
                <w:sz w:val="20"/>
                <w:szCs w:val="20"/>
              </w:rPr>
              <w:t xml:space="preserve">指标</w:t>
            </w:r>
          </w:p>
        </w:tc>
        <w:tc>
          <w:tcPr>
            <w:tcW w:type="dxa" w:w="1800"/>
            <w:tcBorders>
              <w:top w:val="single" w:color="1F5C99" w:sz="2"/>
              <w:left w:val="single" w:color="1F5C99" w:sz="2"/>
              <w:bottom w:val="single" w:color="1F5C99" w:sz="2"/>
              <w:right w:val="single" w:color="1F5C99" w:sz="2"/>
            </w:tcBorders>
            <w:shd w:fill="1F5C99" w:val="clear"/>
            <w:tcMar>
              <w:top w:type="dxa" w:w="80"/>
              <w:left w:type="dxa" w:w="120"/>
              <w:bottom w:type="dxa" w:w="80"/>
              <w:right w:type="dxa" w:w="120"/>
            </w:tcMar>
          </w:tcPr>
          <w:p>
            <w:r>
              <w:rPr>
                <w:b/>
                <w:bCs/>
                <w:color w:val="FFFFFF"/>
                <w:sz w:val="20"/>
                <w:szCs w:val="20"/>
              </w:rPr>
              <w:t xml:space="preserve">FY2024数值</w:t>
            </w:r>
          </w:p>
        </w:tc>
        <w:tc>
          <w:tcPr>
            <w:tcW w:type="dxa" w:w="1800"/>
            <w:tcBorders>
              <w:top w:val="single" w:color="1F5C99" w:sz="2"/>
              <w:left w:val="single" w:color="1F5C99" w:sz="2"/>
              <w:bottom w:val="single" w:color="1F5C99" w:sz="2"/>
              <w:right w:val="single" w:color="1F5C99" w:sz="2"/>
            </w:tcBorders>
            <w:shd w:fill="1F5C99" w:val="clear"/>
            <w:tcMar>
              <w:top w:type="dxa" w:w="80"/>
              <w:left w:type="dxa" w:w="120"/>
              <w:bottom w:type="dxa" w:w="80"/>
              <w:right w:type="dxa" w:w="120"/>
            </w:tcMar>
          </w:tcPr>
          <w:p>
            <w:r>
              <w:rPr>
                <w:b/>
                <w:bCs/>
                <w:color w:val="FFFFFF"/>
                <w:sz w:val="20"/>
                <w:szCs w:val="20"/>
              </w:rPr>
              <w:t xml:space="preserve">YoY增速</w:t>
            </w:r>
          </w:p>
        </w:tc>
        <w:tc>
          <w:tcPr>
            <w:tcW w:type="dxa" w:w="3560"/>
            <w:tcBorders>
              <w:top w:val="single" w:color="1F5C99" w:sz="2"/>
              <w:left w:val="single" w:color="1F5C99" w:sz="2"/>
              <w:bottom w:val="single" w:color="1F5C99" w:sz="2"/>
              <w:right w:val="single" w:color="1F5C99" w:sz="2"/>
            </w:tcBorders>
            <w:shd w:fill="1F5C99" w:val="clear"/>
            <w:tcMar>
              <w:top w:type="dxa" w:w="80"/>
              <w:left w:type="dxa" w:w="120"/>
              <w:bottom w:type="dxa" w:w="80"/>
              <w:right w:type="dxa" w:w="120"/>
            </w:tcMar>
          </w:tcPr>
          <w:p>
            <w:r>
              <w:rPr>
                <w:b/>
                <w:bCs/>
                <w:color w:val="FFFFFF"/>
                <w:sz w:val="20"/>
                <w:szCs w:val="20"/>
              </w:rPr>
              <w:t xml:space="preserve">说明</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总收入</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$609亿</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+126%</w:t>
            </w:r>
          </w:p>
        </w:tc>
        <w:tc>
          <w:tcPr>
            <w:tcW w:type="dxa" w:w="3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数据中心主导，游戏复苏</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净利润</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$297亿</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+581%</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利润率大幅跃升</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毛利率</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78.4%</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+约13pct</w:t>
            </w:r>
          </w:p>
        </w:tc>
        <w:tc>
          <w:tcPr>
            <w:tcW w:type="dxa" w:w="3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软件生态溢价体现</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净利率</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48.8%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历史高位</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规模效应释放</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经营现金流</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$317亿</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+223%</w:t>
            </w:r>
          </w:p>
        </w:tc>
        <w:tc>
          <w:tcPr>
            <w:tcW w:type="dxa" w:w="3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现金生成能力极强</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自由现金流</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$297亿</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+228%</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资本开支相对收入极低</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研发费用</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约$80亿</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持续高投入</w:t>
            </w:r>
          </w:p>
        </w:tc>
        <w:tc>
          <w:tcPr>
            <w:tcW w:type="dxa" w:w="3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支撑技术代际领先</w:t>
            </w:r>
          </w:p>
        </w:tc>
      </w:tr>
    </w:tbl>
    <w:p>
      <w:pPr>
        <w:spacing w:after="80"/>
      </w:pPr>
      <w:r>
        <w:t xml:space="preserve"/>
      </w:r>
    </w:p>
    <w:p>
      <w:pPr>
        <w:pStyle w:val="Heading3"/>
      </w:pPr>
      <w:r>
        <w:t xml:space="preserve">业务结构</w:t>
      </w:r>
    </w:p>
    <w:p>
      <w:pPr>
        <w:spacing w:after="160"/>
      </w:pPr>
      <w:r>
        <w:t xml:space="preserve">数据中心占收入87%，游戏8%，专业可视化3%，汽车1%，OEM等1%。FY2025Q1数据中心收入约$752亿，同比增长92%，进一步强化数据中心主导地位。</w:t>
      </w:r>
    </w:p>
    <w:p>
      <w:pPr>
        <w:pStyle w:val="Heading3"/>
      </w:pPr>
      <w:r>
        <w:t xml:space="preserve">核心竞争力（护城河）</w:t>
      </w:r>
    </w:p>
    <w:p>
      <w:pPr>
        <w:pStyle w:val="ListParagraph"/>
        <w:numPr>
          <w:ilvl w:val="0"/>
          <w:numId w:val="2"/>
        </w:numPr>
        <w:spacing w:after="80"/>
      </w:pPr>
      <w:r>
        <w:rPr>
          <w:b w:val="false"/>
          <w:bCs w:val="false"/>
        </w:rPr>
        <w:t xml:space="preserve">CUDA生态壁垒极高：开发者超400万，训练/推理框架深度绑定，切换成本极高</w:t>
      </w:r>
    </w:p>
    <w:p>
      <w:pPr>
        <w:pStyle w:val="ListParagraph"/>
        <w:numPr>
          <w:ilvl w:val="0"/>
          <w:numId w:val="2"/>
        </w:numPr>
        <w:spacing w:after="80"/>
      </w:pPr>
      <w:r>
        <w:rPr>
          <w:b w:val="false"/>
          <w:bCs w:val="false"/>
        </w:rPr>
        <w:t xml:space="preserve">Blackwell架构领先：性能与能效领先竞争对手1-2代，RTX5070级GPU集成至N1X</w:t>
      </w:r>
    </w:p>
    <w:p>
      <w:pPr>
        <w:pStyle w:val="ListParagraph"/>
        <w:numPr>
          <w:ilvl w:val="0"/>
          <w:numId w:val="2"/>
        </w:numPr>
        <w:spacing w:after="80"/>
      </w:pPr>
      <w:r>
        <w:rPr>
          <w:b w:val="false"/>
          <w:bCs w:val="false"/>
        </w:rPr>
        <w:t xml:space="preserve">全栈AI解决方案：GPU+网络（NVLink/InfiniBand）+软件+系统，客户锁定强</w:t>
      </w:r>
    </w:p>
    <w:p>
      <w:pPr>
        <w:pStyle w:val="ListParagraph"/>
        <w:numPr>
          <w:ilvl w:val="0"/>
          <w:numId w:val="2"/>
        </w:numPr>
        <w:spacing w:after="80"/>
      </w:pPr>
      <w:r>
        <w:rPr>
          <w:b w:val="false"/>
          <w:bCs w:val="false"/>
        </w:rPr>
        <w:t xml:space="preserve">持续高研发投入：$80亿/年研发，保持技术代际优势</w:t>
      </w:r>
    </w:p>
    <w:p>
      <w:pPr>
        <w:pStyle w:val="Heading3"/>
      </w:pPr>
      <w:r>
        <w:t xml:space="preserve">主要风险</w:t>
      </w:r>
    </w:p>
    <w:p>
      <w:pPr>
        <w:pStyle w:val="ListParagraph"/>
        <w:numPr>
          <w:ilvl w:val="0"/>
          <w:numId w:val="2"/>
        </w:numPr>
        <w:spacing w:after="80"/>
      </w:pPr>
      <w:r>
        <w:rPr>
          <w:b w:val="false"/>
          <w:bCs w:val="false"/>
        </w:rPr>
        <w:t xml:space="preserve">估值偏高风险：TTM市盈率68x，短期回调风险显著</w:t>
      </w:r>
    </w:p>
    <w:p>
      <w:pPr>
        <w:pStyle w:val="ListParagraph"/>
        <w:numPr>
          <w:ilvl w:val="0"/>
          <w:numId w:val="2"/>
        </w:numPr>
        <w:spacing w:after="80"/>
      </w:pPr>
      <w:r>
        <w:rPr>
          <w:b w:val="false"/>
          <w:bCs w:val="false"/>
        </w:rPr>
        <w:t xml:space="preserve">客户自研ASIC：谷歌TPU、亚马逊Trainium、微软Maia构成长期侵蚀风险</w:t>
      </w:r>
    </w:p>
    <w:p>
      <w:pPr>
        <w:pStyle w:val="ListParagraph"/>
        <w:numPr>
          <w:ilvl w:val="0"/>
          <w:numId w:val="2"/>
        </w:numPr>
        <w:spacing w:after="80"/>
      </w:pPr>
      <w:r>
        <w:rPr>
          <w:b w:val="false"/>
          <w:bCs w:val="false"/>
        </w:rPr>
        <w:t xml:space="preserve">出口管制风险：美国对华芯片出口限制持续，影响中国市场收入</w:t>
      </w:r>
    </w:p>
    <w:p>
      <w:pPr>
        <w:pStyle w:val="ListParagraph"/>
        <w:numPr>
          <w:ilvl w:val="0"/>
          <w:numId w:val="2"/>
        </w:numPr>
        <w:spacing w:after="80"/>
      </w:pPr>
      <w:r>
        <w:rPr>
          <w:b w:val="false"/>
          <w:bCs w:val="false"/>
        </w:rPr>
        <w:t xml:space="preserve">技术迭代不及预期风险：Rubin/Feynman若出现延期，市场预期落空</w:t>
      </w:r>
    </w:p>
    <w:p>
      <w:pPr>
        <w:pStyle w:val="Heading3"/>
      </w:pPr>
      <w:r>
        <w:t xml:space="preserve">估值分析</w:t>
      </w:r>
    </w:p>
    <w:p>
      <w:pPr>
        <w:spacing w:after="160"/>
      </w:pPr>
      <w:r>
        <w:t xml:space="preserve">当前TTM PE约68x，PEG约1.2x，PS约22x，EV/EBITDA约56x。估值处于历史高位，但考虑到英伟达FY2025年EPS同比增速超200%，以及Rubin驱动的持续业绩超预期，当前估值具有成长性支撑。目标价中值约$150+（Bloomberg共识）。</w:t>
      </w:r>
    </w:p>
    <w:p>
      <w:pPr>
        <w:spacing w:after="160"/>
      </w:pPr>
      <w:r>
        <w:rPr>
          <w:b/>
          <w:bCs/>
          <w:color w:val="1F5C99"/>
          <w:sz w:val="22"/>
          <w:szCs w:val="22"/>
        </w:rPr>
        <w:t xml:space="preserve">综合评级：★★★★★ </w:t>
      </w:r>
      <w:r>
        <w:rPr>
          <w:color w:val="444444"/>
          <w:sz w:val="20"/>
          <w:szCs w:val="20"/>
        </w:rPr>
        <w:t xml:space="preserve">（9.8/10）| 机构评级：买入40家，增持12家，持有3家，减持1家</w:t>
      </w:r>
    </w:p>
    <w:p>
      <w:pPr>
        <w:spacing w:after="80"/>
      </w:pPr>
      <w:r>
        <w:t xml:space="preserve"/>
      </w:r>
    </w:p>
    <w:p>
      <w:pPr>
        <w:pStyle w:val="Heading2"/>
      </w:pPr>
      <w:r>
        <w:t xml:space="preserve">4.2 微软（MSFT）— AI时代操作系统与云平台领导者</w:t>
      </w:r>
    </w:p>
    <w:p>
      <w:pPr>
        <w:pStyle w:val="Heading3"/>
      </w:pPr>
      <w:r>
        <w:t xml:space="preserve">公司概况</w:t>
      </w:r>
    </w:p>
    <w:p>
      <w:pPr>
        <w:spacing w:after="160"/>
      </w:pPr>
      <w:r>
        <w:t xml:space="preserve">微软成立于1975年，总部位于美国华盛顿州雷德蒙德，CEO萨提亚·纳德拉（Satya Nadella）。FY2025财年市值约3.7万亿美元，覆盖云计算（Azure）、生产力软件（Office 365）、操作系统（Windows）及Copilot AI产品线，是英伟达AI生态中最重要的软件合作伙伴。</w:t>
      </w:r>
    </w:p>
    <w:p>
      <w:pPr>
        <w:pStyle w:val="Heading3"/>
      </w:pPr>
      <w:r>
        <w:t xml:space="preserve">财务表现（FY2024）</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1F5C99" w:sz="2"/>
              <w:left w:val="single" w:color="1F5C99" w:sz="2"/>
              <w:bottom w:val="single" w:color="1F5C99" w:sz="2"/>
              <w:right w:val="single" w:color="1F5C99" w:sz="2"/>
            </w:tcBorders>
            <w:shd w:fill="1F5C99" w:val="clear"/>
            <w:tcMar>
              <w:top w:type="dxa" w:w="80"/>
              <w:left w:type="dxa" w:w="120"/>
              <w:bottom w:type="dxa" w:w="80"/>
              <w:right w:type="dxa" w:w="120"/>
            </w:tcMar>
          </w:tcPr>
          <w:p>
            <w:r>
              <w:rPr>
                <w:b/>
                <w:bCs/>
                <w:color w:val="FFFFFF"/>
                <w:sz w:val="20"/>
                <w:szCs w:val="20"/>
              </w:rPr>
              <w:t xml:space="preserve">指标</w:t>
            </w:r>
          </w:p>
        </w:tc>
        <w:tc>
          <w:tcPr>
            <w:tcW w:type="dxa" w:w="3280"/>
            <w:tcBorders>
              <w:top w:val="single" w:color="1F5C99" w:sz="2"/>
              <w:left w:val="single" w:color="1F5C99" w:sz="2"/>
              <w:bottom w:val="single" w:color="1F5C99" w:sz="2"/>
              <w:right w:val="single" w:color="1F5C99" w:sz="2"/>
            </w:tcBorders>
            <w:shd w:fill="1F5C99" w:val="clear"/>
            <w:tcMar>
              <w:top w:type="dxa" w:w="80"/>
              <w:left w:type="dxa" w:w="120"/>
              <w:bottom w:type="dxa" w:w="80"/>
              <w:right w:type="dxa" w:w="120"/>
            </w:tcMar>
          </w:tcPr>
          <w:p>
            <w:r>
              <w:rPr>
                <w:b/>
                <w:bCs/>
                <w:color w:val="FFFFFF"/>
                <w:sz w:val="20"/>
                <w:szCs w:val="20"/>
              </w:rPr>
              <w:t xml:space="preserve">FY2024数值</w:t>
            </w:r>
          </w:p>
        </w:tc>
        <w:tc>
          <w:tcPr>
            <w:tcW w:type="dxa" w:w="3280"/>
            <w:tcBorders>
              <w:top w:val="single" w:color="1F5C99" w:sz="2"/>
              <w:left w:val="single" w:color="1F5C99" w:sz="2"/>
              <w:bottom w:val="single" w:color="1F5C99" w:sz="2"/>
              <w:right w:val="single" w:color="1F5C99" w:sz="2"/>
            </w:tcBorders>
            <w:shd w:fill="1F5C99" w:val="clear"/>
            <w:tcMar>
              <w:top w:type="dxa" w:w="80"/>
              <w:left w:type="dxa" w:w="120"/>
              <w:bottom w:type="dxa" w:w="80"/>
              <w:right w:type="dxa" w:w="120"/>
            </w:tcMar>
          </w:tcPr>
          <w:p>
            <w:r>
              <w:rPr>
                <w:b/>
                <w:bCs/>
                <w:color w:val="FFFFFF"/>
                <w:sz w:val="20"/>
                <w:szCs w:val="20"/>
              </w:rPr>
              <w:t xml:space="preserve">YoY增速</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总收入</w:t>
            </w:r>
          </w:p>
        </w:tc>
        <w:tc>
          <w:tcPr>
            <w:tcW w:type="dxa" w:w="32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$2,441亿</w:t>
            </w:r>
          </w:p>
        </w:tc>
        <w:tc>
          <w:tcPr>
            <w:tcW w:type="dxa" w:w="32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+16%</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净利润</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$815亿</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+22%</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毛利率</w:t>
            </w:r>
          </w:p>
        </w:tc>
        <w:tc>
          <w:tcPr>
            <w:tcW w:type="dxa" w:w="32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69.0%</w:t>
            </w:r>
          </w:p>
        </w:tc>
        <w:tc>
          <w:tcPr>
            <w:tcW w:type="dxa" w:w="32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稳健</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净利率</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33.4%</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行业领先</w:t>
            </w:r>
          </w:p>
        </w:tc>
      </w:tr>
    </w:tbl>
    <w:p>
      <w:pPr>
        <w:spacing w:after="80"/>
      </w:pPr>
      <w:r>
        <w:t xml:space="preserve"/>
      </w:r>
    </w:p>
    <w:p>
      <w:pPr>
        <w:pStyle w:val="Heading3"/>
      </w:pPr>
      <w:r>
        <w:t xml:space="preserve">AI PC战略意义</w:t>
      </w:r>
    </w:p>
    <w:p>
      <w:pPr>
        <w:spacing w:after="160"/>
      </w:pPr>
      <w:r>
        <w:t xml:space="preserve">微软此次与英伟达、ARM联合发布AI PC，对Windows生态意义重大。过去两年Windows on ARM因兼容性差而难以推广，N1/N1X的加入带来：一是CUDA生态的适配，打破ARM Windows的软件壁垒；二是Copilot+深度集成，AI代理本地化运行，增强Windows差异化竞争力；三是Surface品牌有望推出搭载N1X的旗舰AI PC，直接对标苹果MacBook Pro。</w:t>
      </w:r>
    </w:p>
    <w:p>
      <w:pPr>
        <w:pStyle w:val="Heading3"/>
      </w:pPr>
      <w:r>
        <w:t xml:space="preserve">主要风险</w:t>
      </w:r>
    </w:p>
    <w:p>
      <w:pPr>
        <w:pStyle w:val="ListParagraph"/>
        <w:numPr>
          <w:ilvl w:val="0"/>
          <w:numId w:val="2"/>
        </w:numPr>
        <w:spacing w:after="80"/>
      </w:pPr>
      <w:r>
        <w:rPr>
          <w:b w:val="false"/>
          <w:bCs w:val="false"/>
        </w:rPr>
        <w:t xml:space="preserve">云业务增速放缓：Azure增速约29%，低于市场预期，AI变现进度仍需跟踪</w:t>
      </w:r>
    </w:p>
    <w:p>
      <w:pPr>
        <w:pStyle w:val="ListParagraph"/>
        <w:numPr>
          <w:ilvl w:val="0"/>
          <w:numId w:val="2"/>
        </w:numPr>
        <w:spacing w:after="80"/>
      </w:pPr>
      <w:r>
        <w:rPr>
          <w:b w:val="false"/>
          <w:bCs w:val="false"/>
        </w:rPr>
        <w:t xml:space="preserve">反垄断监管压力：欧美监管持续关注微软AI产品捆绑销售问题</w:t>
      </w:r>
    </w:p>
    <w:p>
      <w:pPr>
        <w:pStyle w:val="ListParagraph"/>
        <w:numPr>
          <w:ilvl w:val="0"/>
          <w:numId w:val="2"/>
        </w:numPr>
        <w:spacing w:after="80"/>
      </w:pPr>
      <w:r>
        <w:rPr>
          <w:b w:val="false"/>
          <w:bCs w:val="false"/>
        </w:rPr>
        <w:t xml:space="preserve">OpenAI依赖风险：与OpenAI的深度绑定既是优势也是潜在的集中风险</w:t>
      </w:r>
    </w:p>
    <w:p>
      <w:pPr>
        <w:pStyle w:val="Heading3"/>
      </w:pPr>
      <w:r>
        <w:t xml:space="preserve">估值分析</w:t>
      </w:r>
    </w:p>
    <w:p>
      <w:pPr>
        <w:spacing w:after="160"/>
      </w:pPr>
      <w:r>
        <w:t xml:space="preserve">TTM PE约34x，PEG约2.1x，目标价中值约$520+。AI产品持续渗透+Windows AI PC生态加速，长期增长逻辑清晰，短期估值合理偏高。</w:t>
      </w:r>
    </w:p>
    <w:p>
      <w:pPr>
        <w:spacing w:after="160"/>
      </w:pPr>
      <w:r>
        <w:rPr>
          <w:b w:val="false"/>
          <w:bCs w:val="false"/>
          <w:color w:val="444444"/>
          <w:sz w:val="20"/>
          <w:szCs w:val="20"/>
        </w:rPr>
        <w:t xml:space="preserve">综合评级：★★★★☆  （8.5/10）| 买入评级，适合长期持有</w:t>
      </w:r>
    </w:p>
    <w:p>
      <w:pPr>
        <w:spacing w:after="80"/>
      </w:pPr>
      <w:r>
        <w:t xml:space="preserve"/>
      </w:r>
    </w:p>
    <w:p>
      <w:pPr>
        <w:pStyle w:val="Heading2"/>
      </w:pPr>
      <w:r>
        <w:t xml:space="preserve">4.3 台积电（TSM）— 全球晶圆制造制高点</w:t>
      </w:r>
    </w:p>
    <w:p>
      <w:pPr>
        <w:pStyle w:val="Heading3"/>
      </w:pPr>
      <w:r>
        <w:t xml:space="preserve">公司概况</w:t>
      </w:r>
    </w:p>
    <w:p>
      <w:pPr>
        <w:spacing w:after="160"/>
      </w:pPr>
      <w:r>
        <w:t xml:space="preserve">台积电成立于1987年，总部位于台湾新竹。全球最先进的半导体代工企业，2nm/3nm技术领先，是英伟达、苹果、AMD等所有顶级芯片的独家制造商。市值约7,600亿美元（2024.6）。</w:t>
      </w:r>
    </w:p>
    <w:p>
      <w:pPr>
        <w:pStyle w:val="Heading3"/>
      </w:pPr>
      <w:r>
        <w:t xml:space="preserve">财务表现（FY2024）</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1F5C99" w:sz="2"/>
              <w:left w:val="single" w:color="1F5C99" w:sz="2"/>
              <w:bottom w:val="single" w:color="1F5C99" w:sz="2"/>
              <w:right w:val="single" w:color="1F5C99" w:sz="2"/>
            </w:tcBorders>
            <w:shd w:fill="1F5C99" w:val="clear"/>
            <w:tcMar>
              <w:top w:type="dxa" w:w="80"/>
              <w:left w:type="dxa" w:w="120"/>
              <w:bottom w:type="dxa" w:w="80"/>
              <w:right w:type="dxa" w:w="120"/>
            </w:tcMar>
          </w:tcPr>
          <w:p>
            <w:r>
              <w:rPr>
                <w:b/>
                <w:bCs/>
                <w:color w:val="FFFFFF"/>
                <w:sz w:val="20"/>
                <w:szCs w:val="20"/>
              </w:rPr>
              <w:t xml:space="preserve">指标</w:t>
            </w:r>
          </w:p>
        </w:tc>
        <w:tc>
          <w:tcPr>
            <w:tcW w:type="dxa" w:w="3280"/>
            <w:tcBorders>
              <w:top w:val="single" w:color="1F5C99" w:sz="2"/>
              <w:left w:val="single" w:color="1F5C99" w:sz="2"/>
              <w:bottom w:val="single" w:color="1F5C99" w:sz="2"/>
              <w:right w:val="single" w:color="1F5C99" w:sz="2"/>
            </w:tcBorders>
            <w:shd w:fill="1F5C99" w:val="clear"/>
            <w:tcMar>
              <w:top w:type="dxa" w:w="80"/>
              <w:left w:type="dxa" w:w="120"/>
              <w:bottom w:type="dxa" w:w="80"/>
              <w:right w:type="dxa" w:w="120"/>
            </w:tcMar>
          </w:tcPr>
          <w:p>
            <w:r>
              <w:rPr>
                <w:b/>
                <w:bCs/>
                <w:color w:val="FFFFFF"/>
                <w:sz w:val="20"/>
                <w:szCs w:val="20"/>
              </w:rPr>
              <w:t xml:space="preserve">FY2024数值</w:t>
            </w:r>
          </w:p>
        </w:tc>
        <w:tc>
          <w:tcPr>
            <w:tcW w:type="dxa" w:w="3280"/>
            <w:tcBorders>
              <w:top w:val="single" w:color="1F5C99" w:sz="2"/>
              <w:left w:val="single" w:color="1F5C99" w:sz="2"/>
              <w:bottom w:val="single" w:color="1F5C99" w:sz="2"/>
              <w:right w:val="single" w:color="1F5C99" w:sz="2"/>
            </w:tcBorders>
            <w:shd w:fill="1F5C99" w:val="clear"/>
            <w:tcMar>
              <w:top w:type="dxa" w:w="80"/>
              <w:left w:type="dxa" w:w="120"/>
              <w:bottom w:type="dxa" w:w="80"/>
              <w:right w:type="dxa" w:w="120"/>
            </w:tcMar>
          </w:tcPr>
          <w:p>
            <w:r>
              <w:rPr>
                <w:b/>
                <w:bCs/>
                <w:color w:val="FFFFFF"/>
                <w:sz w:val="20"/>
                <w:szCs w:val="20"/>
              </w:rPr>
              <w:t xml:space="preserve">YoY增速</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总收入</w:t>
            </w:r>
          </w:p>
        </w:tc>
        <w:tc>
          <w:tcPr>
            <w:tcW w:type="dxa" w:w="32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$693亿</w:t>
            </w:r>
          </w:p>
        </w:tc>
        <w:tc>
          <w:tcPr>
            <w:tcW w:type="dxa" w:w="32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+27%</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净利润</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$298亿</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+26%</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毛利率</w:t>
            </w:r>
          </w:p>
        </w:tc>
        <w:tc>
          <w:tcPr>
            <w:tcW w:type="dxa" w:w="32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56.1%</w:t>
            </w:r>
          </w:p>
        </w:tc>
        <w:tc>
          <w:tcPr>
            <w:tcW w:type="dxa" w:w="32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历史高位</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净利率</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43.0%</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顶级水平</w:t>
            </w:r>
          </w:p>
        </w:tc>
      </w:tr>
    </w:tbl>
    <w:p>
      <w:pPr>
        <w:spacing w:after="80"/>
      </w:pPr>
      <w:r>
        <w:t xml:space="preserve"/>
      </w:r>
    </w:p>
    <w:p>
      <w:pPr>
        <w:pStyle w:val="Heading3"/>
      </w:pPr>
      <w:r>
        <w:t xml:space="preserve">AI PC及Rubin受益逻辑</w:t>
      </w:r>
    </w:p>
    <w:p>
      <w:pPr>
        <w:spacing w:after="160"/>
      </w:pPr>
      <w:r>
        <w:t xml:space="preserve">台积电3nm工艺承接N1/N1X量产，2nm将用于Rubin架构，CoWoS先进封装需求随AI芯片规模持续扩张。目前3nm制程占收入约15%，5nm占35%，随着AI PC和下一代数据中心芯片换代，3nm以下制程的收入占比将持续提升，驱动ASP（平均销售价格）上升。</w:t>
      </w:r>
    </w:p>
    <w:p>
      <w:pPr>
        <w:pStyle w:val="Heading3"/>
      </w:pPr>
      <w:r>
        <w:t xml:space="preserve">主要风险</w:t>
      </w:r>
    </w:p>
    <w:p>
      <w:pPr>
        <w:pStyle w:val="ListParagraph"/>
        <w:numPr>
          <w:ilvl w:val="0"/>
          <w:numId w:val="2"/>
        </w:numPr>
        <w:spacing w:after="80"/>
      </w:pPr>
      <w:r>
        <w:rPr>
          <w:b w:val="false"/>
          <w:bCs w:val="false"/>
        </w:rPr>
        <w:t xml:space="preserve">地缘政治风险：台湾地缘政治紧张，对美欧投资者构成重大尾部风险</w:t>
      </w:r>
    </w:p>
    <w:p>
      <w:pPr>
        <w:pStyle w:val="ListParagraph"/>
        <w:numPr>
          <w:ilvl w:val="0"/>
          <w:numId w:val="2"/>
        </w:numPr>
        <w:spacing w:after="80"/>
      </w:pPr>
      <w:r>
        <w:rPr>
          <w:b w:val="false"/>
          <w:bCs w:val="false"/>
        </w:rPr>
        <w:t xml:space="preserve">先进工艺良率风险：2nm量产良率如不及预期，将影响2026-2027年业绩</w:t>
      </w:r>
    </w:p>
    <w:p>
      <w:pPr>
        <w:pStyle w:val="ListParagraph"/>
        <w:numPr>
          <w:ilvl w:val="0"/>
          <w:numId w:val="2"/>
        </w:numPr>
        <w:spacing w:after="80"/>
      </w:pPr>
      <w:r>
        <w:rPr>
          <w:b w:val="false"/>
          <w:bCs w:val="false"/>
        </w:rPr>
        <w:t xml:space="preserve">CoWoS产能瓶颈：先进封装产能扩张速度若跟不上客户需求，将制约英伟达出货</w:t>
      </w:r>
    </w:p>
    <w:p>
      <w:pPr>
        <w:pStyle w:val="Heading3"/>
      </w:pPr>
      <w:r>
        <w:t xml:space="preserve">估值分析</w:t>
      </w:r>
    </w:p>
    <w:p>
      <w:pPr>
        <w:spacing w:after="160"/>
      </w:pPr>
      <w:r>
        <w:t xml:space="preserve">TTM PE约26x，PEG约1.6x，目标价$200+。考虑到AI基础设施大周期持续，台积电是最为确定的受益者之一，估值合理具吸引力。</w:t>
      </w:r>
    </w:p>
    <w:p>
      <w:pPr>
        <w:spacing w:after="160"/>
      </w:pPr>
      <w:r>
        <w:rPr>
          <w:color w:val="444444"/>
          <w:sz w:val="20"/>
          <w:szCs w:val="20"/>
        </w:rPr>
        <w:t xml:space="preserve">综合评级：★★★★★  （9.2/10）| 强烈买入，AI时代唯一性资产</w:t>
      </w:r>
    </w:p>
    <w:p>
      <w:pPr>
        <w:spacing w:after="80"/>
      </w:pPr>
      <w:r>
        <w:t xml:space="preserve"/>
      </w:r>
    </w:p>
    <w:p>
      <w:pPr>
        <w:pStyle w:val="Heading2"/>
      </w:pPr>
      <w:r>
        <w:t xml:space="preserve">4.4 博通（AVGO）— AI网络与ASIC定制芯片领导者</w:t>
      </w:r>
    </w:p>
    <w:p>
      <w:pPr>
        <w:pStyle w:val="Heading3"/>
      </w:pPr>
      <w:r>
        <w:t xml:space="preserve">公司概况</w:t>
      </w:r>
    </w:p>
    <w:p>
      <w:pPr>
        <w:spacing w:after="160"/>
      </w:pPr>
      <w:r>
        <w:t xml:space="preserve">博通成立于1991年，总部位于美国加州圣何塞。业务覆盖AI网络芯片（InfiniBand替代、以太网交换）、定制ASIC（为谷歌、Meta、字节等超大规模云厂商设计TPU/ASIC）和半导体解决方案。市值约9,000亿美元（2024.6）。</w:t>
      </w:r>
    </w:p>
    <w:p>
      <w:pPr>
        <w:pStyle w:val="Heading3"/>
      </w:pPr>
      <w:r>
        <w:t xml:space="preserve">财务表现（FY2024）</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1F5C99" w:sz="2"/>
              <w:left w:val="single" w:color="1F5C99" w:sz="2"/>
              <w:bottom w:val="single" w:color="1F5C99" w:sz="2"/>
              <w:right w:val="single" w:color="1F5C99" w:sz="2"/>
            </w:tcBorders>
            <w:shd w:fill="1F5C99" w:val="clear"/>
            <w:tcMar>
              <w:top w:type="dxa" w:w="80"/>
              <w:left w:type="dxa" w:w="120"/>
              <w:bottom w:type="dxa" w:w="80"/>
              <w:right w:type="dxa" w:w="120"/>
            </w:tcMar>
          </w:tcPr>
          <w:p>
            <w:r>
              <w:rPr>
                <w:b/>
                <w:bCs/>
                <w:color w:val="FFFFFF"/>
                <w:sz w:val="20"/>
                <w:szCs w:val="20"/>
              </w:rPr>
              <w:t xml:space="preserve">指标</w:t>
            </w:r>
          </w:p>
        </w:tc>
        <w:tc>
          <w:tcPr>
            <w:tcW w:type="dxa" w:w="3280"/>
            <w:tcBorders>
              <w:top w:val="single" w:color="1F5C99" w:sz="2"/>
              <w:left w:val="single" w:color="1F5C99" w:sz="2"/>
              <w:bottom w:val="single" w:color="1F5C99" w:sz="2"/>
              <w:right w:val="single" w:color="1F5C99" w:sz="2"/>
            </w:tcBorders>
            <w:shd w:fill="1F5C99" w:val="clear"/>
            <w:tcMar>
              <w:top w:type="dxa" w:w="80"/>
              <w:left w:type="dxa" w:w="120"/>
              <w:bottom w:type="dxa" w:w="80"/>
              <w:right w:type="dxa" w:w="120"/>
            </w:tcMar>
          </w:tcPr>
          <w:p>
            <w:r>
              <w:rPr>
                <w:b/>
                <w:bCs/>
                <w:color w:val="FFFFFF"/>
                <w:sz w:val="20"/>
                <w:szCs w:val="20"/>
              </w:rPr>
              <w:t xml:space="preserve">FY2024数值</w:t>
            </w:r>
          </w:p>
        </w:tc>
        <w:tc>
          <w:tcPr>
            <w:tcW w:type="dxa" w:w="3280"/>
            <w:tcBorders>
              <w:top w:val="single" w:color="1F5C99" w:sz="2"/>
              <w:left w:val="single" w:color="1F5C99" w:sz="2"/>
              <w:bottom w:val="single" w:color="1F5C99" w:sz="2"/>
              <w:right w:val="single" w:color="1F5C99" w:sz="2"/>
            </w:tcBorders>
            <w:shd w:fill="1F5C99" w:val="clear"/>
            <w:tcMar>
              <w:top w:type="dxa" w:w="80"/>
              <w:left w:type="dxa" w:w="120"/>
              <w:bottom w:type="dxa" w:w="80"/>
              <w:right w:type="dxa" w:w="120"/>
            </w:tcMar>
          </w:tcPr>
          <w:p>
            <w:r>
              <w:rPr>
                <w:b/>
                <w:bCs/>
                <w:color w:val="FFFFFF"/>
                <w:sz w:val="20"/>
                <w:szCs w:val="20"/>
              </w:rPr>
              <w:t xml:space="preserve">YoY增速</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总收入</w:t>
            </w:r>
          </w:p>
        </w:tc>
        <w:tc>
          <w:tcPr>
            <w:tcW w:type="dxa" w:w="32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$516亿</w:t>
            </w:r>
          </w:p>
        </w:tc>
        <w:tc>
          <w:tcPr>
            <w:tcW w:type="dxa" w:w="32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+43%</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净利润</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$139亿</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+25%</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毛利率</w:t>
            </w:r>
          </w:p>
        </w:tc>
        <w:tc>
          <w:tcPr>
            <w:tcW w:type="dxa" w:w="32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75.4%</w:t>
            </w:r>
          </w:p>
        </w:tc>
        <w:tc>
          <w:tcPr>
            <w:tcW w:type="dxa" w:w="32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稳健</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净利率</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26.9%</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含软件摊销</w:t>
            </w:r>
          </w:p>
        </w:tc>
      </w:tr>
    </w:tbl>
    <w:p>
      <w:pPr>
        <w:spacing w:after="80"/>
      </w:pPr>
      <w:r>
        <w:t xml:space="preserve"/>
      </w:r>
    </w:p>
    <w:p>
      <w:pPr>
        <w:pStyle w:val="Heading3"/>
      </w:pPr>
      <w:r>
        <w:t xml:space="preserve">竞争优势</w:t>
      </w:r>
    </w:p>
    <w:p>
      <w:pPr>
        <w:spacing w:after="160"/>
      </w:pPr>
      <w:r>
        <w:t xml:space="preserve">博通的核心优势在于：AI网络互联芯片（占AI网络芯片市场领先份额）、为谷歌TPU等定制ASIC的强大研发能力，以及在完成VMware收购后成为企业软件+芯片的双引擎驱动平台。随着Rubin机架规模扩大，博通的以太网交换芯片和定制ASIC需求将显著提升。</w:t>
      </w:r>
    </w:p>
    <w:p>
      <w:pPr>
        <w:pStyle w:val="Heading3"/>
      </w:pPr>
      <w:r>
        <w:t xml:space="preserve">主要风险</w:t>
      </w:r>
    </w:p>
    <w:p>
      <w:pPr>
        <w:pStyle w:val="ListParagraph"/>
        <w:numPr>
          <w:ilvl w:val="0"/>
          <w:numId w:val="2"/>
        </w:numPr>
        <w:spacing w:after="80"/>
      </w:pPr>
      <w:r>
        <w:rPr>
          <w:b w:val="false"/>
          <w:bCs w:val="false"/>
        </w:rPr>
        <w:t xml:space="preserve">并购整合风险：VMware整合复杂度高，成本协同效应实现需时间验证</w:t>
      </w:r>
    </w:p>
    <w:p>
      <w:pPr>
        <w:pStyle w:val="ListParagraph"/>
        <w:numPr>
          <w:ilvl w:val="0"/>
          <w:numId w:val="2"/>
        </w:numPr>
        <w:spacing w:after="80"/>
      </w:pPr>
      <w:r>
        <w:rPr>
          <w:b w:val="false"/>
          <w:bCs w:val="false"/>
        </w:rPr>
        <w:t xml:space="preserve">客户集中度：谷歌等超大客户的自研ASIC若减少对博通定制服务的依赖，影响较大</w:t>
      </w:r>
    </w:p>
    <w:p>
      <w:pPr>
        <w:pStyle w:val="Heading3"/>
      </w:pPr>
      <w:r>
        <w:t xml:space="preserve">估值分析</w:t>
      </w:r>
    </w:p>
    <w:p>
      <w:pPr>
        <w:spacing w:after="160"/>
      </w:pPr>
      <w:r>
        <w:t xml:space="preserve">TTM PE约42x，PEG约1.4x，目标价$1,800+。AI网络及定制ASIC双驱动，长期逻辑清晰。</w:t>
      </w:r>
    </w:p>
    <w:p>
      <w:pPr>
        <w:spacing w:after="160"/>
      </w:pPr>
      <w:r>
        <w:rPr>
          <w:color w:val="444444"/>
          <w:sz w:val="20"/>
          <w:szCs w:val="20"/>
        </w:rPr>
        <w:t xml:space="preserve">综合评级：★★★★☆  （8.8/10）| 买入，AI网络的核心受益者</w:t>
      </w:r>
    </w:p>
    <w:p>
      <w:pPr>
        <w:spacing w:after="80"/>
      </w:pPr>
      <w:r>
        <w:t xml:space="preserve"/>
      </w:r>
    </w:p>
    <w:p>
      <w:pPr>
        <w:pStyle w:val="Heading2"/>
      </w:pPr>
      <w:r>
        <w:t xml:space="preserve">4.5 美光科技（MU）— 全球存储芯片三巨头之一</w:t>
      </w:r>
    </w:p>
    <w:p>
      <w:pPr>
        <w:pStyle w:val="Heading3"/>
      </w:pPr>
      <w:r>
        <w:t xml:space="preserve">公司概况</w:t>
      </w:r>
    </w:p>
    <w:p>
      <w:pPr>
        <w:spacing w:after="160"/>
      </w:pPr>
      <w:r>
        <w:t xml:space="preserve">美光成立于1978年，总部位于美国爱达荷州博伊西，是全球三大DRAM及NAND存储芯片供应商之一（另外两家为SK海力士、三星）。市值约1,400亿美元（2024.6），是AI PC及AI数据中心存储升级的直接受益者。</w:t>
      </w:r>
    </w:p>
    <w:p>
      <w:pPr>
        <w:pStyle w:val="Heading3"/>
      </w:pPr>
      <w:r>
        <w:t xml:space="preserve">财务表现（FY2024）</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1F5C99" w:sz="2"/>
              <w:left w:val="single" w:color="1F5C99" w:sz="2"/>
              <w:bottom w:val="single" w:color="1F5C99" w:sz="2"/>
              <w:right w:val="single" w:color="1F5C99" w:sz="2"/>
            </w:tcBorders>
            <w:shd w:fill="1F5C99" w:val="clear"/>
            <w:tcMar>
              <w:top w:type="dxa" w:w="80"/>
              <w:left w:type="dxa" w:w="120"/>
              <w:bottom w:type="dxa" w:w="80"/>
              <w:right w:type="dxa" w:w="120"/>
            </w:tcMar>
          </w:tcPr>
          <w:p>
            <w:r>
              <w:rPr>
                <w:b/>
                <w:bCs/>
                <w:color w:val="FFFFFF"/>
                <w:sz w:val="20"/>
                <w:szCs w:val="20"/>
              </w:rPr>
              <w:t xml:space="preserve">指标</w:t>
            </w:r>
          </w:p>
        </w:tc>
        <w:tc>
          <w:tcPr>
            <w:tcW w:type="dxa" w:w="3280"/>
            <w:tcBorders>
              <w:top w:val="single" w:color="1F5C99" w:sz="2"/>
              <w:left w:val="single" w:color="1F5C99" w:sz="2"/>
              <w:bottom w:val="single" w:color="1F5C99" w:sz="2"/>
              <w:right w:val="single" w:color="1F5C99" w:sz="2"/>
            </w:tcBorders>
            <w:shd w:fill="1F5C99" w:val="clear"/>
            <w:tcMar>
              <w:top w:type="dxa" w:w="80"/>
              <w:left w:type="dxa" w:w="120"/>
              <w:bottom w:type="dxa" w:w="80"/>
              <w:right w:type="dxa" w:w="120"/>
            </w:tcMar>
          </w:tcPr>
          <w:p>
            <w:r>
              <w:rPr>
                <w:b/>
                <w:bCs/>
                <w:color w:val="FFFFFF"/>
                <w:sz w:val="20"/>
                <w:szCs w:val="20"/>
              </w:rPr>
              <w:t xml:space="preserve">FY2024数值</w:t>
            </w:r>
          </w:p>
        </w:tc>
        <w:tc>
          <w:tcPr>
            <w:tcW w:type="dxa" w:w="3280"/>
            <w:tcBorders>
              <w:top w:val="single" w:color="1F5C99" w:sz="2"/>
              <w:left w:val="single" w:color="1F5C99" w:sz="2"/>
              <w:bottom w:val="single" w:color="1F5C99" w:sz="2"/>
              <w:right w:val="single" w:color="1F5C99" w:sz="2"/>
            </w:tcBorders>
            <w:shd w:fill="1F5C99" w:val="clear"/>
            <w:tcMar>
              <w:top w:type="dxa" w:w="80"/>
              <w:left w:type="dxa" w:w="120"/>
              <w:bottom w:type="dxa" w:w="80"/>
              <w:right w:type="dxa" w:w="120"/>
            </w:tcMar>
          </w:tcPr>
          <w:p>
            <w:r>
              <w:rPr>
                <w:b/>
                <w:bCs/>
                <w:color w:val="FFFFFF"/>
                <w:sz w:val="20"/>
                <w:szCs w:val="20"/>
              </w:rPr>
              <w:t xml:space="preserve">YoY增速</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总收入</w:t>
            </w:r>
          </w:p>
        </w:tc>
        <w:tc>
          <w:tcPr>
            <w:tcW w:type="dxa" w:w="32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$258亿</w:t>
            </w:r>
          </w:p>
        </w:tc>
        <w:tc>
          <w:tcPr>
            <w:tcW w:type="dxa" w:w="32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-1%（受周期低谷影响）</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净利润</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$771亿亏损</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改善中</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毛利率</w:t>
            </w:r>
          </w:p>
        </w:tc>
        <w:tc>
          <w:tcPr>
            <w:tcW w:type="dxa" w:w="32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17.1%</w:t>
            </w:r>
          </w:p>
        </w:tc>
        <w:tc>
          <w:tcPr>
            <w:tcW w:type="dxa" w:w="32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处于周期底部</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净利率</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9.3%</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弱周期状态</w:t>
            </w:r>
          </w:p>
        </w:tc>
      </w:tr>
    </w:tbl>
    <w:p>
      <w:pPr>
        <w:spacing w:after="80"/>
      </w:pPr>
      <w:r>
        <w:t xml:space="preserve"/>
      </w:r>
    </w:p>
    <w:p>
      <w:pPr>
        <w:pStyle w:val="Heading3"/>
      </w:pPr>
      <w:r>
        <w:t xml:space="preserve">AI PC受益逻辑</w:t>
      </w:r>
    </w:p>
    <w:p>
      <w:pPr>
        <w:spacing w:after="160"/>
      </w:pPr>
      <w:r>
        <w:t xml:space="preserve">AI PC是美光最重要的中期催化剂。N1/N1X支持128GB LPDDR5X，单机DRAM价值量约为传统PC的4-8倍，叠加AI数据中心HBM需求激增（HBM是美光的高毛利业务），存储行业将进入供需双升的新周期。美光在HBM3e已开始量产，正加速HBM4研发，对英伟达Rubin的配套供应存在重大机遇。</w:t>
      </w:r>
    </w:p>
    <w:p>
      <w:pPr>
        <w:pStyle w:val="Heading3"/>
      </w:pPr>
      <w:r>
        <w:t xml:space="preserve">主要风险</w:t>
      </w:r>
    </w:p>
    <w:p>
      <w:pPr>
        <w:pStyle w:val="ListParagraph"/>
        <w:numPr>
          <w:ilvl w:val="0"/>
          <w:numId w:val="2"/>
        </w:numPr>
        <w:spacing w:after="80"/>
      </w:pPr>
      <w:r>
        <w:rPr>
          <w:b w:val="false"/>
          <w:bCs w:val="false"/>
        </w:rPr>
        <w:t xml:space="preserve">存储行业周期风险：DRAM价格受供需周期影响，过度投资可能导致价格下跌</w:t>
      </w:r>
    </w:p>
    <w:p>
      <w:pPr>
        <w:pStyle w:val="ListParagraph"/>
        <w:numPr>
          <w:ilvl w:val="0"/>
          <w:numId w:val="2"/>
        </w:numPr>
        <w:spacing w:after="80"/>
      </w:pPr>
      <w:r>
        <w:rPr>
          <w:b w:val="false"/>
          <w:bCs w:val="false"/>
        </w:rPr>
        <w:t xml:space="preserve">HBM市场份额风险：SK海力士在HBM领域先发优势明显，美光追赶中</w:t>
      </w:r>
    </w:p>
    <w:p>
      <w:pPr>
        <w:pStyle w:val="ListParagraph"/>
        <w:numPr>
          <w:ilvl w:val="0"/>
          <w:numId w:val="2"/>
        </w:numPr>
        <w:spacing w:after="80"/>
      </w:pPr>
      <w:r>
        <w:rPr>
          <w:b w:val="false"/>
          <w:bCs w:val="false"/>
        </w:rPr>
        <w:t xml:space="preserve">地缘政治与出口限制：美对华存储芯片出口管制政策影响中国市场收入</w:t>
      </w:r>
    </w:p>
    <w:p>
      <w:pPr>
        <w:pStyle w:val="Heading3"/>
      </w:pPr>
      <w:r>
        <w:t xml:space="preserve">估值分析</w:t>
      </w:r>
    </w:p>
    <w:p>
      <w:pPr>
        <w:spacing w:after="160"/>
      </w:pPr>
      <w:r>
        <w:t xml:space="preserve">TTM PE约58x（周期底部PE高），PEG约1.6x，目标价$150+。存储周期上行+AI PC大容量DRAM需求，构成美光中期最强投资逻辑。</w:t>
      </w:r>
    </w:p>
    <w:p>
      <w:pPr>
        <w:spacing w:after="160"/>
      </w:pPr>
      <w:r>
        <w:rPr>
          <w:color w:val="444444"/>
          <w:sz w:val="20"/>
          <w:szCs w:val="20"/>
        </w:rPr>
        <w:t xml:space="preserve">综合评级：★★★★☆  （8.3/10）| 买入，存储周期+AI双催化</w:t>
      </w:r>
    </w:p>
    <w:p>
      <w:pPr>
        <w:spacing w:after="80"/>
      </w:pPr>
      <w:r>
        <w:t xml:space="preserve"/>
      </w:r>
    </w:p>
    <w:p>
      <w:pPr>
        <w:pStyle w:val="Heading2"/>
      </w:pPr>
      <w:r>
        <w:t xml:space="preserve">4.6 ARM控股（ARM）— 全球领先芯片架构IP授权商</w:t>
      </w:r>
    </w:p>
    <w:p>
      <w:pPr>
        <w:pStyle w:val="Heading3"/>
      </w:pPr>
      <w:r>
        <w:t xml:space="preserve">公司概况</w:t>
      </w:r>
    </w:p>
    <w:p>
      <w:pPr>
        <w:spacing w:after="160"/>
      </w:pPr>
      <w:r>
        <w:t xml:space="preserve">ARM成立于1990年，总部位于英国剑桥，CEO雷内·哈斯（Rene Haas）。全球超过95%的智能手机和绝大多数IoT芯片采用ARM架构。随着AI PC时代到来，ARM CPU正从移动端向笔记本、服务器、数据中心全面扩张，成为PC新时代架构红利的最大公约数。市值约1,300亿美元（2024.6）。</w:t>
      </w:r>
    </w:p>
    <w:p>
      <w:pPr>
        <w:pStyle w:val="Heading3"/>
      </w:pPr>
      <w:r>
        <w:t xml:space="preserve">财务表现（FY2024）</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1F5C99" w:sz="2"/>
              <w:left w:val="single" w:color="1F5C99" w:sz="2"/>
              <w:bottom w:val="single" w:color="1F5C99" w:sz="2"/>
              <w:right w:val="single" w:color="1F5C99" w:sz="2"/>
            </w:tcBorders>
            <w:shd w:fill="1F5C99" w:val="clear"/>
            <w:tcMar>
              <w:top w:type="dxa" w:w="80"/>
              <w:left w:type="dxa" w:w="120"/>
              <w:bottom w:type="dxa" w:w="80"/>
              <w:right w:type="dxa" w:w="120"/>
            </w:tcMar>
          </w:tcPr>
          <w:p>
            <w:r>
              <w:rPr>
                <w:b/>
                <w:bCs/>
                <w:color w:val="FFFFFF"/>
                <w:sz w:val="20"/>
                <w:szCs w:val="20"/>
              </w:rPr>
              <w:t xml:space="preserve">指标</w:t>
            </w:r>
          </w:p>
        </w:tc>
        <w:tc>
          <w:tcPr>
            <w:tcW w:type="dxa" w:w="3280"/>
            <w:tcBorders>
              <w:top w:val="single" w:color="1F5C99" w:sz="2"/>
              <w:left w:val="single" w:color="1F5C99" w:sz="2"/>
              <w:bottom w:val="single" w:color="1F5C99" w:sz="2"/>
              <w:right w:val="single" w:color="1F5C99" w:sz="2"/>
            </w:tcBorders>
            <w:shd w:fill="1F5C99" w:val="clear"/>
            <w:tcMar>
              <w:top w:type="dxa" w:w="80"/>
              <w:left w:type="dxa" w:w="120"/>
              <w:bottom w:type="dxa" w:w="80"/>
              <w:right w:type="dxa" w:w="120"/>
            </w:tcMar>
          </w:tcPr>
          <w:p>
            <w:r>
              <w:rPr>
                <w:b/>
                <w:bCs/>
                <w:color w:val="FFFFFF"/>
                <w:sz w:val="20"/>
                <w:szCs w:val="20"/>
              </w:rPr>
              <w:t xml:space="preserve">FY2024数值</w:t>
            </w:r>
          </w:p>
        </w:tc>
        <w:tc>
          <w:tcPr>
            <w:tcW w:type="dxa" w:w="3280"/>
            <w:tcBorders>
              <w:top w:val="single" w:color="1F5C99" w:sz="2"/>
              <w:left w:val="single" w:color="1F5C99" w:sz="2"/>
              <w:bottom w:val="single" w:color="1F5C99" w:sz="2"/>
              <w:right w:val="single" w:color="1F5C99" w:sz="2"/>
            </w:tcBorders>
            <w:shd w:fill="1F5C99" w:val="clear"/>
            <w:tcMar>
              <w:top w:type="dxa" w:w="80"/>
              <w:left w:type="dxa" w:w="120"/>
              <w:bottom w:type="dxa" w:w="80"/>
              <w:right w:type="dxa" w:w="120"/>
            </w:tcMar>
          </w:tcPr>
          <w:p>
            <w:r>
              <w:rPr>
                <w:b/>
                <w:bCs/>
                <w:color w:val="FFFFFF"/>
                <w:sz w:val="20"/>
                <w:szCs w:val="20"/>
              </w:rPr>
              <w:t xml:space="preserve">YoY增速</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总收入</w:t>
            </w:r>
          </w:p>
        </w:tc>
        <w:tc>
          <w:tcPr>
            <w:tcW w:type="dxa" w:w="32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$31亿</w:t>
            </w:r>
          </w:p>
        </w:tc>
        <w:tc>
          <w:tcPr>
            <w:tcW w:type="dxa" w:w="32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+18%</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净利润</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$10亿</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+18%</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毛利率</w:t>
            </w:r>
          </w:p>
        </w:tc>
        <w:tc>
          <w:tcPr>
            <w:tcW w:type="dxa" w:w="32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98.9%</w:t>
            </w:r>
          </w:p>
        </w:tc>
        <w:tc>
          <w:tcPr>
            <w:tcW w:type="dxa" w:w="32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IP授权高毛利模式</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净利率</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31.2%</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
            </w:r>
          </w:p>
        </w:tc>
      </w:tr>
    </w:tbl>
    <w:p>
      <w:pPr>
        <w:spacing w:after="80"/>
      </w:pPr>
      <w:r>
        <w:t xml:space="preserve"/>
      </w:r>
    </w:p>
    <w:p>
      <w:pPr>
        <w:pStyle w:val="Heading3"/>
      </w:pPr>
      <w:r>
        <w:t xml:space="preserve">AI PC战略受益逻辑</w:t>
      </w:r>
    </w:p>
    <w:p>
      <w:pPr>
        <w:spacing w:after="160"/>
      </w:pPr>
      <w:r>
        <w:t xml:space="preserve">N1/N1X采用ARM CPU架构，高通Snapdragon X也是ARM架构，苹果M系列同样是ARM。无论AI PC之争最终由谁胜出，ARM作为架构IP授权方都将收取版税。更重要的是，ARM正逐步提升计算次数（compute royalty）授权模式，即按AI推理次数收费，而非仅按芯片出货量收费，这将极大提升其在AI PC和AI数据中心中的货币化能力。</w:t>
      </w:r>
    </w:p>
    <w:p>
      <w:pPr>
        <w:pStyle w:val="Heading3"/>
      </w:pPr>
      <w:r>
        <w:t xml:space="preserve">主要风险</w:t>
      </w:r>
    </w:p>
    <w:p>
      <w:pPr>
        <w:pStyle w:val="ListParagraph"/>
        <w:numPr>
          <w:ilvl w:val="0"/>
          <w:numId w:val="2"/>
        </w:numPr>
        <w:spacing w:after="80"/>
      </w:pPr>
      <w:r>
        <w:rPr>
          <w:b w:val="false"/>
          <w:bCs w:val="false"/>
        </w:rPr>
        <w:t xml:space="preserve">估值极高：上市后PE超100x，对成长预期的定价非常充分，容错率低</w:t>
      </w:r>
    </w:p>
    <w:p>
      <w:pPr>
        <w:pStyle w:val="ListParagraph"/>
        <w:numPr>
          <w:ilvl w:val="0"/>
          <w:numId w:val="2"/>
        </w:numPr>
        <w:spacing w:after="80"/>
      </w:pPr>
      <w:r>
        <w:rPr>
          <w:b w:val="false"/>
          <w:bCs w:val="false"/>
        </w:rPr>
        <w:t xml:space="preserve">英特尔、AMD的Arm生态竞争</w:t>
      </w:r>
    </w:p>
    <w:p>
      <w:pPr>
        <w:pStyle w:val="ListParagraph"/>
        <w:numPr>
          <w:ilvl w:val="0"/>
          <w:numId w:val="2"/>
        </w:numPr>
        <w:spacing w:after="80"/>
      </w:pPr>
      <w:r>
        <w:rPr>
          <w:b w:val="false"/>
          <w:bCs w:val="false"/>
        </w:rPr>
        <w:t xml:space="preserve">客户集中度：苹果、三星等超大客户的谈判议价能力较强</w:t>
      </w:r>
    </w:p>
    <w:p>
      <w:pPr>
        <w:pStyle w:val="Heading3"/>
      </w:pPr>
      <w:r>
        <w:t xml:space="preserve">估值分析</w:t>
      </w:r>
    </w:p>
    <w:p>
      <w:pPr>
        <w:spacing w:after="160"/>
      </w:pPr>
      <w:r>
        <w:t xml:space="preserve">当前TTM PE约112x，PEG约2.5x，目标价$180+。高估值对应的是AI时代架构版税增长的长期预期，短期存在较大波动风险，适合长期持仓。</w:t>
      </w:r>
    </w:p>
    <w:p>
      <w:pPr>
        <w:spacing w:after="160"/>
      </w:pPr>
      <w:r>
        <w:rPr>
          <w:color w:val="444444"/>
          <w:sz w:val="20"/>
          <w:szCs w:val="20"/>
        </w:rPr>
        <w:t xml:space="preserve">综合评级：★★★★☆  （8.0/10）| 买入，AI架构底层最大受益者，估值需关注</w:t>
      </w:r>
    </w:p>
    <w:p>
      <w:pPr>
        <w:spacing w:after="80"/>
      </w:pPr>
      <w:r>
        <w:t xml:space="preserve"/>
      </w:r>
    </w:p>
    <w:p>
      <w:pPr>
        <w:pStyle w:val="Heading2"/>
      </w:pPr>
      <w:r>
        <w:t xml:space="preserve">4.7 戴尔科技（DELL）— 全球领先IT基础设施与PC厂商</w:t>
      </w:r>
    </w:p>
    <w:p>
      <w:pPr>
        <w:pStyle w:val="Heading3"/>
      </w:pPr>
      <w:r>
        <w:t xml:space="preserve">公司概况</w:t>
      </w:r>
    </w:p>
    <w:p>
      <w:pPr>
        <w:spacing w:after="160"/>
      </w:pPr>
      <w:r>
        <w:t xml:space="preserve">戴尔科技成立于1984年，总部位于美国德克萨斯州圆石城，CEO迈克尔·戴尔（Michael Dell）。业务覆盖PC（Consumer &amp; Commercial）、服务器、存储、网络等IT基础设施全产品线，是英伟达AI服务器的核心分销商，也是首批推出N1X AI PC的整机厂商之一。</w:t>
      </w:r>
    </w:p>
    <w:p>
      <w:pPr>
        <w:pStyle w:val="Heading3"/>
      </w:pPr>
      <w:r>
        <w:t xml:space="preserve">财务表现（FY2024）</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1F5C99" w:sz="2"/>
              <w:left w:val="single" w:color="1F5C99" w:sz="2"/>
              <w:bottom w:val="single" w:color="1F5C99" w:sz="2"/>
              <w:right w:val="single" w:color="1F5C99" w:sz="2"/>
            </w:tcBorders>
            <w:shd w:fill="1F5C99" w:val="clear"/>
            <w:tcMar>
              <w:top w:type="dxa" w:w="80"/>
              <w:left w:type="dxa" w:w="120"/>
              <w:bottom w:type="dxa" w:w="80"/>
              <w:right w:type="dxa" w:w="120"/>
            </w:tcMar>
          </w:tcPr>
          <w:p>
            <w:r>
              <w:rPr>
                <w:b/>
                <w:bCs/>
                <w:color w:val="FFFFFF"/>
                <w:sz w:val="20"/>
                <w:szCs w:val="20"/>
              </w:rPr>
              <w:t xml:space="preserve">指标</w:t>
            </w:r>
          </w:p>
        </w:tc>
        <w:tc>
          <w:tcPr>
            <w:tcW w:type="dxa" w:w="3280"/>
            <w:tcBorders>
              <w:top w:val="single" w:color="1F5C99" w:sz="2"/>
              <w:left w:val="single" w:color="1F5C99" w:sz="2"/>
              <w:bottom w:val="single" w:color="1F5C99" w:sz="2"/>
              <w:right w:val="single" w:color="1F5C99" w:sz="2"/>
            </w:tcBorders>
            <w:shd w:fill="1F5C99" w:val="clear"/>
            <w:tcMar>
              <w:top w:type="dxa" w:w="80"/>
              <w:left w:type="dxa" w:w="120"/>
              <w:bottom w:type="dxa" w:w="80"/>
              <w:right w:type="dxa" w:w="120"/>
            </w:tcMar>
          </w:tcPr>
          <w:p>
            <w:r>
              <w:rPr>
                <w:b/>
                <w:bCs/>
                <w:color w:val="FFFFFF"/>
                <w:sz w:val="20"/>
                <w:szCs w:val="20"/>
              </w:rPr>
              <w:t xml:space="preserve">FY2024数值</w:t>
            </w:r>
          </w:p>
        </w:tc>
        <w:tc>
          <w:tcPr>
            <w:tcW w:type="dxa" w:w="3280"/>
            <w:tcBorders>
              <w:top w:val="single" w:color="1F5C99" w:sz="2"/>
              <w:left w:val="single" w:color="1F5C99" w:sz="2"/>
              <w:bottom w:val="single" w:color="1F5C99" w:sz="2"/>
              <w:right w:val="single" w:color="1F5C99" w:sz="2"/>
            </w:tcBorders>
            <w:shd w:fill="1F5C99" w:val="clear"/>
            <w:tcMar>
              <w:top w:type="dxa" w:w="80"/>
              <w:left w:type="dxa" w:w="120"/>
              <w:bottom w:type="dxa" w:w="80"/>
              <w:right w:type="dxa" w:w="120"/>
            </w:tcMar>
          </w:tcPr>
          <w:p>
            <w:r>
              <w:rPr>
                <w:b/>
                <w:bCs/>
                <w:color w:val="FFFFFF"/>
                <w:sz w:val="20"/>
                <w:szCs w:val="20"/>
              </w:rPr>
              <w:t xml:space="preserve">YoY增速</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总收入</w:t>
            </w:r>
          </w:p>
        </w:tc>
        <w:tc>
          <w:tcPr>
            <w:tcW w:type="dxa" w:w="32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$885亿</w:t>
            </w:r>
          </w:p>
        </w:tc>
        <w:tc>
          <w:tcPr>
            <w:tcW w:type="dxa" w:w="32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-8%</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净利润</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毛利率</w:t>
            </w:r>
          </w:p>
        </w:tc>
        <w:tc>
          <w:tcPr>
            <w:tcW w:type="dxa" w:w="32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17.2%</w:t>
            </w:r>
          </w:p>
        </w:tc>
        <w:tc>
          <w:tcPr>
            <w:tcW w:type="dxa" w:w="32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硬件为主，偏低</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净利率</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3.6%</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薄利多销</w:t>
            </w:r>
          </w:p>
        </w:tc>
      </w:tr>
    </w:tbl>
    <w:p>
      <w:pPr>
        <w:spacing w:after="80"/>
      </w:pPr>
      <w:r>
        <w:t xml:space="preserve"/>
      </w:r>
    </w:p>
    <w:p>
      <w:pPr>
        <w:pStyle w:val="Heading3"/>
      </w:pPr>
      <w:r>
        <w:t xml:space="preserve">AI PC双轮驱动逻辑</w:t>
      </w:r>
    </w:p>
    <w:p>
      <w:pPr>
        <w:spacing w:after="160"/>
      </w:pPr>
      <w:r>
        <w:t xml:space="preserve">戴尔受益于AI的双重路径：其一，AI服务器（PowerEdge + 英伟达GPU）持续高增长，驱动基础设施解决方案（ISG）部门业绩上行；其二，作为首批推出N1X AI PC的OEM厂商，有望在高端Windows PC市场抢占份额，其企业客户渠道优势将加速AI PC的商业采购。</w:t>
      </w:r>
    </w:p>
    <w:p>
      <w:pPr>
        <w:pStyle w:val="Heading3"/>
      </w:pPr>
      <w:r>
        <w:t xml:space="preserve">主要风险</w:t>
      </w:r>
    </w:p>
    <w:p>
      <w:pPr>
        <w:pStyle w:val="ListParagraph"/>
        <w:numPr>
          <w:ilvl w:val="0"/>
          <w:numId w:val="2"/>
        </w:numPr>
        <w:spacing w:after="80"/>
      </w:pPr>
      <w:r>
        <w:rPr>
          <w:b w:val="false"/>
          <w:bCs w:val="false"/>
        </w:rPr>
        <w:t xml:space="preserve">PC市场整体疲弱：Consumer PC需求复苏缓慢，AI PC拉动效果需验证</w:t>
      </w:r>
    </w:p>
    <w:p>
      <w:pPr>
        <w:pStyle w:val="ListParagraph"/>
        <w:numPr>
          <w:ilvl w:val="0"/>
          <w:numId w:val="2"/>
        </w:numPr>
        <w:spacing w:after="80"/>
      </w:pPr>
      <w:r>
        <w:rPr>
          <w:b w:val="false"/>
          <w:bCs w:val="false"/>
        </w:rPr>
        <w:t xml:space="preserve">供应链依赖：深度依赖英伟达GPU供应，若英伟达产能受限，影响服务器业务</w:t>
      </w:r>
    </w:p>
    <w:p>
      <w:pPr>
        <w:pStyle w:val="ListParagraph"/>
        <w:numPr>
          <w:ilvl w:val="0"/>
          <w:numId w:val="2"/>
        </w:numPr>
        <w:spacing w:after="80"/>
      </w:pPr>
      <w:r>
        <w:rPr>
          <w:b w:val="false"/>
          <w:bCs w:val="false"/>
        </w:rPr>
        <w:t xml:space="preserve">低毛利结构：整体毛利率约17%，盈利对收入规模高度敏感</w:t>
      </w:r>
    </w:p>
    <w:p>
      <w:pPr>
        <w:pStyle w:val="Heading3"/>
      </w:pPr>
      <w:r>
        <w:t xml:space="preserve">估值分析</w:t>
      </w:r>
    </w:p>
    <w:p>
      <w:pPr>
        <w:spacing w:after="160"/>
      </w:pPr>
      <w:r>
        <w:t xml:space="preserve">当前TTM PE约18x，PEG约1.2x，目标价$180+。AI服务器+AI PC双催化，但薄利结构下盈利弹性有限，适合价值型投资者。</w:t>
      </w:r>
    </w:p>
    <w:p>
      <w:pPr>
        <w:spacing w:after="160"/>
      </w:pPr>
      <w:r>
        <w:rPr>
          <w:color w:val="444444"/>
          <w:sz w:val="20"/>
          <w:szCs w:val="20"/>
        </w:rPr>
        <w:t xml:space="preserve">综合评级：★★★☆☆  （7.0/10）| 买入，AI服务器驱动，AI PC增量</w:t>
      </w:r>
    </w:p>
    <w:p>
      <w:pPr>
        <w:spacing w:after="80"/>
      </w:pPr>
      <w:r>
        <w:t xml:space="preserve"/>
      </w:r>
    </w:p>
    <w:p>
      <w:pPr>
        <w:pStyle w:val="Heading2"/>
      </w:pPr>
      <w:r>
        <w:t xml:space="preserve">4.8 亚马逊（AMZN）— 全球电商与云计算霸主</w:t>
      </w:r>
    </w:p>
    <w:p>
      <w:pPr>
        <w:pStyle w:val="Heading3"/>
      </w:pPr>
      <w:r>
        <w:t xml:space="preserve">公司概况</w:t>
      </w:r>
    </w:p>
    <w:p>
      <w:pPr>
        <w:spacing w:after="160"/>
      </w:pPr>
      <w:r>
        <w:t xml:space="preserve">亚马逊成立于1994年，总部位于美国西雅图，CEO安迪·贾西（Andy Jassy）。AWS是全球最大云计算平台，电商为现金流底座，AI应用（Bedrock、CodeWhisperer）及自研芯片（Trainium/Inferentia）布局全面。市值约1.9万亿美元（2024.6）。</w:t>
      </w:r>
    </w:p>
    <w:p>
      <w:pPr>
        <w:pStyle w:val="Heading3"/>
      </w:pPr>
      <w:r>
        <w:t xml:space="preserve">财务表现（FY2024）</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1F5C99" w:sz="2"/>
              <w:left w:val="single" w:color="1F5C99" w:sz="2"/>
              <w:bottom w:val="single" w:color="1F5C99" w:sz="2"/>
              <w:right w:val="single" w:color="1F5C99" w:sz="2"/>
            </w:tcBorders>
            <w:shd w:fill="1F5C99" w:val="clear"/>
            <w:tcMar>
              <w:top w:type="dxa" w:w="80"/>
              <w:left w:type="dxa" w:w="120"/>
              <w:bottom w:type="dxa" w:w="80"/>
              <w:right w:type="dxa" w:w="120"/>
            </w:tcMar>
          </w:tcPr>
          <w:p>
            <w:r>
              <w:rPr>
                <w:b/>
                <w:bCs/>
                <w:color w:val="FFFFFF"/>
                <w:sz w:val="20"/>
                <w:szCs w:val="20"/>
              </w:rPr>
              <w:t xml:space="preserve">指标</w:t>
            </w:r>
          </w:p>
        </w:tc>
        <w:tc>
          <w:tcPr>
            <w:tcW w:type="dxa" w:w="3280"/>
            <w:tcBorders>
              <w:top w:val="single" w:color="1F5C99" w:sz="2"/>
              <w:left w:val="single" w:color="1F5C99" w:sz="2"/>
              <w:bottom w:val="single" w:color="1F5C99" w:sz="2"/>
              <w:right w:val="single" w:color="1F5C99" w:sz="2"/>
            </w:tcBorders>
            <w:shd w:fill="1F5C99" w:val="clear"/>
            <w:tcMar>
              <w:top w:type="dxa" w:w="80"/>
              <w:left w:type="dxa" w:w="120"/>
              <w:bottom w:type="dxa" w:w="80"/>
              <w:right w:type="dxa" w:w="120"/>
            </w:tcMar>
          </w:tcPr>
          <w:p>
            <w:r>
              <w:rPr>
                <w:b/>
                <w:bCs/>
                <w:color w:val="FFFFFF"/>
                <w:sz w:val="20"/>
                <w:szCs w:val="20"/>
              </w:rPr>
              <w:t xml:space="preserve">FY2024数值</w:t>
            </w:r>
          </w:p>
        </w:tc>
        <w:tc>
          <w:tcPr>
            <w:tcW w:type="dxa" w:w="3280"/>
            <w:tcBorders>
              <w:top w:val="single" w:color="1F5C99" w:sz="2"/>
              <w:left w:val="single" w:color="1F5C99" w:sz="2"/>
              <w:bottom w:val="single" w:color="1F5C99" w:sz="2"/>
              <w:right w:val="single" w:color="1F5C99" w:sz="2"/>
            </w:tcBorders>
            <w:shd w:fill="1F5C99" w:val="clear"/>
            <w:tcMar>
              <w:top w:type="dxa" w:w="80"/>
              <w:left w:type="dxa" w:w="120"/>
              <w:bottom w:type="dxa" w:w="80"/>
              <w:right w:type="dxa" w:w="120"/>
            </w:tcMar>
          </w:tcPr>
          <w:p>
            <w:r>
              <w:rPr>
                <w:b/>
                <w:bCs/>
                <w:color w:val="FFFFFF"/>
                <w:sz w:val="20"/>
                <w:szCs w:val="20"/>
              </w:rPr>
              <w:t xml:space="preserve">YoY增速</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总收入</w:t>
            </w:r>
          </w:p>
        </w:tc>
        <w:tc>
          <w:tcPr>
            <w:tcW w:type="dxa" w:w="32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$5,744亿</w:t>
            </w:r>
          </w:p>
        </w:tc>
        <w:tc>
          <w:tcPr>
            <w:tcW w:type="dxa" w:w="32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+12%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净利润</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$304亿</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+85%</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毛利率</w:t>
            </w:r>
          </w:p>
        </w:tc>
        <w:tc>
          <w:tcPr>
            <w:tcW w:type="dxa" w:w="32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46.5%</w:t>
            </w:r>
          </w:p>
        </w:tc>
        <w:tc>
          <w:tcPr>
            <w:tcW w:type="dxa" w:w="32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AWS拉高整体</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净利率</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5.3%</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盈利改善中</w:t>
            </w:r>
          </w:p>
        </w:tc>
      </w:tr>
    </w:tbl>
    <w:p>
      <w:pPr>
        <w:spacing w:after="80"/>
      </w:pPr>
      <w:r>
        <w:t xml:space="preserve"/>
      </w:r>
    </w:p>
    <w:p>
      <w:pPr>
        <w:pStyle w:val="Heading3"/>
      </w:pPr>
      <w:r>
        <w:t xml:space="preserve">AI PC对亚马逊的影响</w:t>
      </w:r>
    </w:p>
    <w:p>
      <w:pPr>
        <w:spacing w:after="160"/>
      </w:pPr>
      <w:r>
        <w:t xml:space="preserve">AI PC本地化推理能力增强，短期对AWS工作负载存在部分替代效应（企业敏感数据本地化处理，减少云端调用）。但长期来看，AI PC与云端AI是互补关系——本地PC处理敏感/低延迟任务，云端处理大规模训练和复杂推理，AWS的竞争地位不会根本动摇。亚马逊的Bedrock平台和Trainium芯片若能与端侧AI形成协同部署（混合AI架构），反而有望扩大整体AI消费。</w:t>
      </w:r>
    </w:p>
    <w:p>
      <w:pPr>
        <w:pStyle w:val="Heading3"/>
      </w:pPr>
      <w:r>
        <w:t xml:space="preserve">主要风险</w:t>
      </w:r>
    </w:p>
    <w:p>
      <w:pPr>
        <w:pStyle w:val="ListParagraph"/>
        <w:numPr>
          <w:ilvl w:val="0"/>
          <w:numId w:val="2"/>
        </w:numPr>
        <w:spacing w:after="80"/>
      </w:pPr>
      <w:r>
        <w:rPr>
          <w:b w:val="false"/>
          <w:bCs w:val="false"/>
        </w:rPr>
        <w:t xml:space="preserve">云业务增速放缓压力：AWS增速29%，需持续超预期维持估值</w:t>
      </w:r>
    </w:p>
    <w:p>
      <w:pPr>
        <w:pStyle w:val="ListParagraph"/>
        <w:numPr>
          <w:ilvl w:val="0"/>
          <w:numId w:val="2"/>
        </w:numPr>
        <w:spacing w:after="80"/>
      </w:pPr>
      <w:r>
        <w:rPr>
          <w:b w:val="false"/>
          <w:bCs w:val="false"/>
        </w:rPr>
        <w:t xml:space="preserve">自研芯片投入巨大但份额有限：Trainium/Inferentia在市场份额上仍落后于英伟达</w:t>
      </w:r>
    </w:p>
    <w:p>
      <w:pPr>
        <w:pStyle w:val="Heading3"/>
      </w:pPr>
      <w:r>
        <w:t xml:space="preserve">估值分析</w:t>
      </w:r>
    </w:p>
    <w:p>
      <w:pPr>
        <w:spacing w:after="160"/>
      </w:pPr>
      <w:r>
        <w:t xml:space="preserve">TTM PE约48x，PEG约1.4x，目标价$240+。云+广告+AI三驱动，长期逻辑强劲，AI PC影响中性偏正面。</w:t>
      </w:r>
    </w:p>
    <w:p>
      <w:pPr>
        <w:spacing w:after="160"/>
      </w:pPr>
      <w:r>
        <w:rPr>
          <w:color w:val="444444"/>
          <w:sz w:val="20"/>
          <w:szCs w:val="20"/>
        </w:rPr>
        <w:t xml:space="preserve">综合评级：★★★★☆  （8.5/10）| 买入，AI PC影响中性，云AI持续渗透</w:t>
      </w:r>
    </w:p>
    <w:p>
      <w:pPr>
        <w:spacing w:after="80"/>
      </w:pPr>
      <w:r>
        <w:t xml:space="preserve"/>
      </w:r>
    </w:p>
    <w:p>
      <w:pPr>
        <w:pStyle w:val="Heading2"/>
      </w:pPr>
      <w:r>
        <w:t xml:space="preserve">4.9 Meta Platforms（META）— 全球社交与AI应用平台</w:t>
      </w:r>
    </w:p>
    <w:p>
      <w:pPr>
        <w:pStyle w:val="Heading3"/>
      </w:pPr>
      <w:r>
        <w:t xml:space="preserve">公司概况</w:t>
      </w:r>
    </w:p>
    <w:p>
      <w:pPr>
        <w:spacing w:after="160"/>
      </w:pPr>
      <w:r>
        <w:t xml:space="preserve">Meta成立于2004年，总部位于美国加州门洛帕克，CEO马克·扎克伯格（Mark Zuckerberg）。旗下拥有Facebook、Instagram、WhatsApp，以及AI基础设施（Llama开源模型）、元宇宙（Reality Labs）业务。市值约1.3万亿美元（2024.6）。</w:t>
      </w:r>
    </w:p>
    <w:p>
      <w:pPr>
        <w:pStyle w:val="Heading3"/>
      </w:pPr>
      <w:r>
        <w:t xml:space="preserve">财务表现（FY2024）</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1F5C99" w:sz="2"/>
              <w:left w:val="single" w:color="1F5C99" w:sz="2"/>
              <w:bottom w:val="single" w:color="1F5C99" w:sz="2"/>
              <w:right w:val="single" w:color="1F5C99" w:sz="2"/>
            </w:tcBorders>
            <w:shd w:fill="1F5C99" w:val="clear"/>
            <w:tcMar>
              <w:top w:type="dxa" w:w="80"/>
              <w:left w:type="dxa" w:w="120"/>
              <w:bottom w:type="dxa" w:w="80"/>
              <w:right w:type="dxa" w:w="120"/>
            </w:tcMar>
          </w:tcPr>
          <w:p>
            <w:r>
              <w:rPr>
                <w:b/>
                <w:bCs/>
                <w:color w:val="FFFFFF"/>
                <w:sz w:val="20"/>
                <w:szCs w:val="20"/>
              </w:rPr>
              <w:t xml:space="preserve">指标</w:t>
            </w:r>
          </w:p>
        </w:tc>
        <w:tc>
          <w:tcPr>
            <w:tcW w:type="dxa" w:w="3280"/>
            <w:tcBorders>
              <w:top w:val="single" w:color="1F5C99" w:sz="2"/>
              <w:left w:val="single" w:color="1F5C99" w:sz="2"/>
              <w:bottom w:val="single" w:color="1F5C99" w:sz="2"/>
              <w:right w:val="single" w:color="1F5C99" w:sz="2"/>
            </w:tcBorders>
            <w:shd w:fill="1F5C99" w:val="clear"/>
            <w:tcMar>
              <w:top w:type="dxa" w:w="80"/>
              <w:left w:type="dxa" w:w="120"/>
              <w:bottom w:type="dxa" w:w="80"/>
              <w:right w:type="dxa" w:w="120"/>
            </w:tcMar>
          </w:tcPr>
          <w:p>
            <w:r>
              <w:rPr>
                <w:b/>
                <w:bCs/>
                <w:color w:val="FFFFFF"/>
                <w:sz w:val="20"/>
                <w:szCs w:val="20"/>
              </w:rPr>
              <w:t xml:space="preserve">FY2024数值</w:t>
            </w:r>
          </w:p>
        </w:tc>
        <w:tc>
          <w:tcPr>
            <w:tcW w:type="dxa" w:w="3280"/>
            <w:tcBorders>
              <w:top w:val="single" w:color="1F5C99" w:sz="2"/>
              <w:left w:val="single" w:color="1F5C99" w:sz="2"/>
              <w:bottom w:val="single" w:color="1F5C99" w:sz="2"/>
              <w:right w:val="single" w:color="1F5C99" w:sz="2"/>
            </w:tcBorders>
            <w:shd w:fill="1F5C99" w:val="clear"/>
            <w:tcMar>
              <w:top w:type="dxa" w:w="80"/>
              <w:left w:type="dxa" w:w="120"/>
              <w:bottom w:type="dxa" w:w="80"/>
              <w:right w:type="dxa" w:w="120"/>
            </w:tcMar>
          </w:tcPr>
          <w:p>
            <w:r>
              <w:rPr>
                <w:b/>
                <w:bCs/>
                <w:color w:val="FFFFFF"/>
                <w:sz w:val="20"/>
                <w:szCs w:val="20"/>
              </w:rPr>
              <w:t xml:space="preserve">YoY增速</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总收入</w:t>
            </w:r>
          </w:p>
        </w:tc>
        <w:tc>
          <w:tcPr>
            <w:tcW w:type="dxa" w:w="32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$1,356亿</w:t>
            </w:r>
          </w:p>
        </w:tc>
        <w:tc>
          <w:tcPr>
            <w:tcW w:type="dxa" w:w="32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+24%</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净利润</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$393亿</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+69%</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毛利率</w:t>
            </w:r>
          </w:p>
        </w:tc>
        <w:tc>
          <w:tcPr>
            <w:tcW w:type="dxa" w:w="32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81.3%</w:t>
            </w:r>
          </w:p>
        </w:tc>
        <w:tc>
          <w:tcPr>
            <w:tcW w:type="dxa" w:w="32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广告高毛利</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净利率</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28.9%</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强劲改善</w:t>
            </w:r>
          </w:p>
        </w:tc>
      </w:tr>
    </w:tbl>
    <w:p>
      <w:pPr>
        <w:spacing w:after="80"/>
      </w:pPr>
      <w:r>
        <w:t xml:space="preserve"/>
      </w:r>
    </w:p>
    <w:p>
      <w:pPr>
        <w:pStyle w:val="Heading3"/>
      </w:pPr>
      <w:r>
        <w:t xml:space="preserve">AI PC对Meta的影响</w:t>
      </w:r>
    </w:p>
    <w:p>
      <w:pPr>
        <w:spacing w:after="160"/>
      </w:pPr>
      <w:r>
        <w:t xml:space="preserve">Meta是AI PC生态的间接受益者。Llama系列开源大模型在AI PC上的本地部署将成为重要场景，Meta有望通过Llama的端侧普及，扩大开源生态影响力，吸引更多开发者基于Llama构建应用。同时，AI PC带来的本地化AI处理能力，将推动个性化广告算法在用户设备上的本地优化，提升广告精准度。</w:t>
      </w:r>
    </w:p>
    <w:p>
      <w:pPr>
        <w:pStyle w:val="Heading3"/>
      </w:pPr>
      <w:r>
        <w:t xml:space="preserve">主要风险</w:t>
      </w:r>
    </w:p>
    <w:p>
      <w:pPr>
        <w:pStyle w:val="ListParagraph"/>
        <w:numPr>
          <w:ilvl w:val="0"/>
          <w:numId w:val="2"/>
        </w:numPr>
        <w:spacing w:after="80"/>
      </w:pPr>
      <w:r>
        <w:rPr>
          <w:b w:val="false"/>
          <w:bCs w:val="false"/>
        </w:rPr>
        <w:t xml:space="preserve">元宇宙持续烧钱：Reality Labs FY2024亏损超$160亿，拖累整体ROI</w:t>
      </w:r>
    </w:p>
    <w:p>
      <w:pPr>
        <w:pStyle w:val="ListParagraph"/>
        <w:numPr>
          <w:ilvl w:val="0"/>
          <w:numId w:val="2"/>
        </w:numPr>
        <w:spacing w:after="80"/>
      </w:pPr>
      <w:r>
        <w:rPr>
          <w:b w:val="false"/>
          <w:bCs w:val="false"/>
        </w:rPr>
        <w:t xml:space="preserve">监管风险：欧美隐私监管和反垄断调查持续</w:t>
      </w:r>
    </w:p>
    <w:p>
      <w:pPr>
        <w:pStyle w:val="ListParagraph"/>
        <w:numPr>
          <w:ilvl w:val="0"/>
          <w:numId w:val="2"/>
        </w:numPr>
        <w:spacing w:after="80"/>
      </w:pPr>
      <w:r>
        <w:rPr>
          <w:b w:val="false"/>
          <w:bCs w:val="false"/>
        </w:rPr>
        <w:t xml:space="preserve">广告市场景气风险：宏观经济下行影响广告预算</w:t>
      </w:r>
    </w:p>
    <w:p>
      <w:pPr>
        <w:pStyle w:val="Heading3"/>
      </w:pPr>
      <w:r>
        <w:t xml:space="preserve">估值分析</w:t>
      </w:r>
    </w:p>
    <w:p>
      <w:pPr>
        <w:spacing w:after="160"/>
      </w:pPr>
      <w:r>
        <w:t xml:space="preserve">TTM PE约32x，PEG约1.3x，目标价$650+。广告+AI飞轮效应强劲，Llama生态扩张，AI PC提供额外长期催化。</w:t>
      </w:r>
    </w:p>
    <w:p>
      <w:pPr>
        <w:spacing w:after="160"/>
      </w:pPr>
      <w:r>
        <w:rPr>
          <w:color w:val="444444"/>
          <w:sz w:val="20"/>
          <w:szCs w:val="20"/>
        </w:rPr>
        <w:t xml:space="preserve">综合评级：★★★★☆  （8.5/10）| 买入，AI广告+Llama生态，AI PC间接受益</w:t>
      </w:r>
    </w:p>
    <w:p>
      <w:pPr>
        <w:spacing w:after="80"/>
      </w:pPr>
      <w:r>
        <w:t xml:space="preserve"/>
      </w:r>
    </w:p>
    <w:p>
      <w:pPr>
        <w:pStyle w:val="Heading2"/>
      </w:pPr>
      <w:r>
        <w:t xml:space="preserve">4.10 维谛技术（VRT）— 数据中心基础设施解决方案领导者</w:t>
      </w:r>
    </w:p>
    <w:p>
      <w:pPr>
        <w:pStyle w:val="Heading3"/>
      </w:pPr>
      <w:r>
        <w:t xml:space="preserve">公司概况</w:t>
      </w:r>
    </w:p>
    <w:p>
      <w:pPr>
        <w:spacing w:after="160"/>
      </w:pPr>
      <w:r>
        <w:t xml:space="preserve">Vertiv成立于1996年，总部位于美国俄亥俄州，CEO Giordano Albertazzi。专注于数据中心电源（UPS）、制冷（液冷/风冷）、机架及相关服务，是AI数据中心基础设施建设的核心受益者。市值约300亿美元（2024.6）。</w:t>
      </w:r>
    </w:p>
    <w:p>
      <w:pPr>
        <w:pStyle w:val="Heading3"/>
      </w:pPr>
      <w:r>
        <w:t xml:space="preserve">财务表现（FY2024）</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1F5C99" w:sz="2"/>
              <w:left w:val="single" w:color="1F5C99" w:sz="2"/>
              <w:bottom w:val="single" w:color="1F5C99" w:sz="2"/>
              <w:right w:val="single" w:color="1F5C99" w:sz="2"/>
            </w:tcBorders>
            <w:shd w:fill="1F5C99" w:val="clear"/>
            <w:tcMar>
              <w:top w:type="dxa" w:w="80"/>
              <w:left w:type="dxa" w:w="120"/>
              <w:bottom w:type="dxa" w:w="80"/>
              <w:right w:type="dxa" w:w="120"/>
            </w:tcMar>
          </w:tcPr>
          <w:p>
            <w:r>
              <w:rPr>
                <w:b/>
                <w:bCs/>
                <w:color w:val="FFFFFF"/>
                <w:sz w:val="20"/>
                <w:szCs w:val="20"/>
              </w:rPr>
              <w:t xml:space="preserve">指标</w:t>
            </w:r>
          </w:p>
        </w:tc>
        <w:tc>
          <w:tcPr>
            <w:tcW w:type="dxa" w:w="3280"/>
            <w:tcBorders>
              <w:top w:val="single" w:color="1F5C99" w:sz="2"/>
              <w:left w:val="single" w:color="1F5C99" w:sz="2"/>
              <w:bottom w:val="single" w:color="1F5C99" w:sz="2"/>
              <w:right w:val="single" w:color="1F5C99" w:sz="2"/>
            </w:tcBorders>
            <w:shd w:fill="1F5C99" w:val="clear"/>
            <w:tcMar>
              <w:top w:type="dxa" w:w="80"/>
              <w:left w:type="dxa" w:w="120"/>
              <w:bottom w:type="dxa" w:w="80"/>
              <w:right w:type="dxa" w:w="120"/>
            </w:tcMar>
          </w:tcPr>
          <w:p>
            <w:r>
              <w:rPr>
                <w:b/>
                <w:bCs/>
                <w:color w:val="FFFFFF"/>
                <w:sz w:val="20"/>
                <w:szCs w:val="20"/>
              </w:rPr>
              <w:t xml:space="preserve">FY2024数值</w:t>
            </w:r>
          </w:p>
        </w:tc>
        <w:tc>
          <w:tcPr>
            <w:tcW w:type="dxa" w:w="3280"/>
            <w:tcBorders>
              <w:top w:val="single" w:color="1F5C99" w:sz="2"/>
              <w:left w:val="single" w:color="1F5C99" w:sz="2"/>
              <w:bottom w:val="single" w:color="1F5C99" w:sz="2"/>
              <w:right w:val="single" w:color="1F5C99" w:sz="2"/>
            </w:tcBorders>
            <w:shd w:fill="1F5C99" w:val="clear"/>
            <w:tcMar>
              <w:top w:type="dxa" w:w="80"/>
              <w:left w:type="dxa" w:w="120"/>
              <w:bottom w:type="dxa" w:w="80"/>
              <w:right w:type="dxa" w:w="120"/>
            </w:tcMar>
          </w:tcPr>
          <w:p>
            <w:r>
              <w:rPr>
                <w:b/>
                <w:bCs/>
                <w:color w:val="FFFFFF"/>
                <w:sz w:val="20"/>
                <w:szCs w:val="20"/>
              </w:rPr>
              <w:t xml:space="preserve">YoY增速</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总收入</w:t>
            </w:r>
          </w:p>
        </w:tc>
        <w:tc>
          <w:tcPr>
            <w:tcW w:type="dxa" w:w="32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$74亿</w:t>
            </w:r>
          </w:p>
        </w:tc>
        <w:tc>
          <w:tcPr>
            <w:tcW w:type="dxa" w:w="32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+24%</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净利润</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$6.3亿</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+36%</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毛利率</w:t>
            </w:r>
          </w:p>
        </w:tc>
        <w:tc>
          <w:tcPr>
            <w:tcW w:type="dxa" w:w="32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36.8%</w:t>
            </w:r>
          </w:p>
        </w:tc>
        <w:tc>
          <w:tcPr>
            <w:tcW w:type="dxa" w:w="32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持续提升</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净利率</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8.5%</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改善中</w:t>
            </w:r>
          </w:p>
        </w:tc>
      </w:tr>
    </w:tbl>
    <w:p>
      <w:pPr>
        <w:spacing w:after="80"/>
      </w:pPr>
      <w:r>
        <w:t xml:space="preserve"/>
      </w:r>
    </w:p>
    <w:p>
      <w:pPr>
        <w:pStyle w:val="Heading3"/>
      </w:pPr>
      <w:r>
        <w:t xml:space="preserve">Rubin架构的直接受益逻辑</w:t>
      </w:r>
    </w:p>
    <w:p>
      <w:pPr>
        <w:spacing w:after="160"/>
      </w:pPr>
      <w:r>
        <w:t xml:space="preserve">Rubin机架功耗密度将显著提升（预计单柜&gt;100kW，远高于Blackwell的约60kW），直接驱动液冷解决方案的需求爆发。Vertiv在液冷领域拥有完整的技术储备（CDU直接液冷、浸没式液冷），并已与英伟达、微软等超大规模客户建立深度合作。AI PC的端侧算力提升对Vertiv影响相对有限，主要受益仍来自数据中心侧的持续大规模投入。</w:t>
      </w:r>
    </w:p>
    <w:p>
      <w:pPr>
        <w:pStyle w:val="Heading3"/>
      </w:pPr>
      <w:r>
        <w:t xml:space="preserve">竞争优势</w:t>
      </w:r>
    </w:p>
    <w:p>
      <w:pPr>
        <w:pStyle w:val="ListParagraph"/>
        <w:numPr>
          <w:ilvl w:val="0"/>
          <w:numId w:val="2"/>
        </w:numPr>
        <w:spacing w:after="80"/>
      </w:pPr>
      <w:r>
        <w:rPr>
          <w:b w:val="false"/>
          <w:bCs w:val="false"/>
        </w:rPr>
        <w:t xml:space="preserve">全球领先的数据中心热管理解决方案（电源+制冷）</w:t>
      </w:r>
    </w:p>
    <w:p>
      <w:pPr>
        <w:pStyle w:val="ListParagraph"/>
        <w:numPr>
          <w:ilvl w:val="0"/>
          <w:numId w:val="2"/>
        </w:numPr>
        <w:spacing w:after="80"/>
      </w:pPr>
      <w:r>
        <w:rPr>
          <w:b w:val="false"/>
          <w:bCs w:val="false"/>
        </w:rPr>
        <w:t xml:space="preserve">与英伟达、AWS、微软等顶级客户的深度合作</w:t>
      </w:r>
    </w:p>
    <w:p>
      <w:pPr>
        <w:pStyle w:val="ListParagraph"/>
        <w:numPr>
          <w:ilvl w:val="0"/>
          <w:numId w:val="2"/>
        </w:numPr>
        <w:spacing w:after="80"/>
      </w:pPr>
      <w:r>
        <w:rPr>
          <w:b w:val="false"/>
          <w:bCs w:val="false"/>
        </w:rPr>
        <w:t xml:space="preserve">液冷技术储备完整，领先于传统风冷供应商</w:t>
      </w:r>
    </w:p>
    <w:p>
      <w:pPr>
        <w:pStyle w:val="ListParagraph"/>
        <w:numPr>
          <w:ilvl w:val="0"/>
          <w:numId w:val="2"/>
        </w:numPr>
        <w:spacing w:after="80"/>
      </w:pPr>
      <w:r>
        <w:rPr>
          <w:b w:val="false"/>
          <w:bCs w:val="false"/>
        </w:rPr>
        <w:t xml:space="preserve">订单能见度高，FY2024订单覆盖率超过12个月</w:t>
      </w:r>
    </w:p>
    <w:p>
      <w:pPr>
        <w:pStyle w:val="Heading3"/>
      </w:pPr>
      <w:r>
        <w:t xml:space="preserve">主要风险</w:t>
      </w:r>
    </w:p>
    <w:p>
      <w:pPr>
        <w:pStyle w:val="ListParagraph"/>
        <w:numPr>
          <w:ilvl w:val="0"/>
          <w:numId w:val="2"/>
        </w:numPr>
        <w:spacing w:after="80"/>
      </w:pPr>
      <w:r>
        <w:rPr>
          <w:b w:val="false"/>
          <w:bCs w:val="false"/>
        </w:rPr>
        <w:t xml:space="preserve">估值偏高：过去一年股价大幅上涨，估值已部分反映AI数据中心预期</w:t>
      </w:r>
    </w:p>
    <w:p>
      <w:pPr>
        <w:pStyle w:val="ListParagraph"/>
        <w:numPr>
          <w:ilvl w:val="0"/>
          <w:numId w:val="2"/>
        </w:numPr>
        <w:spacing w:after="80"/>
      </w:pPr>
      <w:r>
        <w:rPr>
          <w:b w:val="false"/>
          <w:bCs w:val="false"/>
        </w:rPr>
        <w:t xml:space="preserve">供应链挑战：大型液冷项目交付周期长，存在延期风险</w:t>
      </w:r>
    </w:p>
    <w:p>
      <w:pPr>
        <w:pStyle w:val="ListParagraph"/>
        <w:numPr>
          <w:ilvl w:val="0"/>
          <w:numId w:val="2"/>
        </w:numPr>
        <w:spacing w:after="80"/>
      </w:pPr>
      <w:r>
        <w:rPr>
          <w:b w:val="false"/>
          <w:bCs w:val="false"/>
        </w:rPr>
        <w:t xml:space="preserve">竞争加剧：施耐德、艾默生等传统数据中心巨头加大液冷投入</w:t>
      </w:r>
    </w:p>
    <w:p>
      <w:pPr>
        <w:pStyle w:val="Heading3"/>
      </w:pPr>
      <w:r>
        <w:t xml:space="preserve">估值分析</w:t>
      </w:r>
    </w:p>
    <w:p>
      <w:pPr>
        <w:spacing w:after="160"/>
      </w:pPr>
      <w:r>
        <w:t xml:space="preserve">TTM PE约26x，PEG约1.3x，目标价$110+。AI数据中心液冷需求爆发是Vertiv最核心的长期驱动力，Rubin架构进一步强化这一逻辑。</w:t>
      </w:r>
    </w:p>
    <w:p>
      <w:pPr>
        <w:spacing w:after="160"/>
      </w:pPr>
      <w:r>
        <w:rPr>
          <w:color w:val="444444"/>
          <w:sz w:val="20"/>
          <w:szCs w:val="20"/>
        </w:rPr>
        <w:t xml:space="preserve">综合评级：★★★★☆  （8.2/10）| 买入，Rubin+数据中心液冷需求直接受益者</w:t>
      </w:r>
    </w:p>
    <w:p>
      <w:r>
        <w:br w:type="page"/>
      </w:r>
    </w:p>
    <w:p>
      <w:pPr>
        <w:pStyle w:val="Heading1"/>
      </w:pPr>
      <w:r>
        <w:t xml:space="preserve">第五章  十大公司横向对比</w:t>
      </w:r>
    </w:p>
    <w:p>
      <w:pPr>
        <w:pStyle w:val="Heading2"/>
      </w:pPr>
      <w:r>
        <w:t xml:space="preserve">5.1 综合评级与估值对比</w:t>
      </w:r>
    </w:p>
    <w:p>
      <w:pPr>
        <w:spacing w:after="80"/>
      </w:pPr>
      <w:r>
        <w:t xml:space="preserve"/>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1440"/>
        <w:gridCol w:w="1000"/>
        <w:gridCol w:w="1200"/>
        <w:gridCol w:w="900"/>
        <w:gridCol w:w="900"/>
        <w:gridCol w:w="1100"/>
        <w:gridCol w:w="1360"/>
        <w:gridCol w:w="960"/>
      </w:tblGrid>
      <w:tr>
        <w:trPr>
          <w:tblHeader/>
        </w:trPr>
        <w:tc>
          <w:tcPr>
            <w:tcW w:type="dxa" w:w="1440"/>
            <w:tcBorders>
              <w:top w:val="single" w:color="1F5C99" w:sz="2"/>
              <w:left w:val="single" w:color="1F5C99" w:sz="2"/>
              <w:bottom w:val="single" w:color="1F5C99" w:sz="2"/>
              <w:right w:val="single" w:color="1F5C99" w:sz="2"/>
            </w:tcBorders>
            <w:shd w:fill="1F5C99" w:val="clear"/>
            <w:tcMar>
              <w:top w:type="dxa" w:w="80"/>
              <w:left w:type="dxa" w:w="120"/>
              <w:bottom w:type="dxa" w:w="80"/>
              <w:right w:type="dxa" w:w="120"/>
            </w:tcMar>
          </w:tcPr>
          <w:p>
            <w:r>
              <w:rPr>
                <w:b/>
                <w:bCs/>
                <w:color w:val="FFFFFF"/>
                <w:sz w:val="20"/>
                <w:szCs w:val="20"/>
              </w:rPr>
              <w:t xml:space="preserve">公司</w:t>
            </w:r>
          </w:p>
        </w:tc>
        <w:tc>
          <w:tcPr>
            <w:tcW w:type="dxa" w:w="1000"/>
            <w:tcBorders>
              <w:top w:val="single" w:color="1F5C99" w:sz="2"/>
              <w:left w:val="single" w:color="1F5C99" w:sz="2"/>
              <w:bottom w:val="single" w:color="1F5C99" w:sz="2"/>
              <w:right w:val="single" w:color="1F5C99" w:sz="2"/>
            </w:tcBorders>
            <w:shd w:fill="1F5C99" w:val="clear"/>
            <w:tcMar>
              <w:top w:type="dxa" w:w="80"/>
              <w:left w:type="dxa" w:w="120"/>
              <w:bottom w:type="dxa" w:w="80"/>
              <w:right w:type="dxa" w:w="120"/>
            </w:tcMar>
          </w:tcPr>
          <w:p>
            <w:r>
              <w:rPr>
                <w:b/>
                <w:bCs/>
                <w:color w:val="FFFFFF"/>
                <w:sz w:val="20"/>
                <w:szCs w:val="20"/>
              </w:rPr>
              <w:t xml:space="preserve">代码</w:t>
            </w:r>
          </w:p>
        </w:tc>
        <w:tc>
          <w:tcPr>
            <w:tcW w:type="dxa" w:w="1200"/>
            <w:tcBorders>
              <w:top w:val="single" w:color="1F5C99" w:sz="2"/>
              <w:left w:val="single" w:color="1F5C99" w:sz="2"/>
              <w:bottom w:val="single" w:color="1F5C99" w:sz="2"/>
              <w:right w:val="single" w:color="1F5C99" w:sz="2"/>
            </w:tcBorders>
            <w:shd w:fill="1F5C99" w:val="clear"/>
            <w:tcMar>
              <w:top w:type="dxa" w:w="80"/>
              <w:left w:type="dxa" w:w="120"/>
              <w:bottom w:type="dxa" w:w="80"/>
              <w:right w:type="dxa" w:w="120"/>
            </w:tcMar>
          </w:tcPr>
          <w:p>
            <w:r>
              <w:rPr>
                <w:b/>
                <w:bCs/>
                <w:color w:val="FFFFFF"/>
                <w:sz w:val="20"/>
                <w:szCs w:val="20"/>
              </w:rPr>
              <w:t xml:space="preserve">市值($亿)</w:t>
            </w:r>
          </w:p>
        </w:tc>
        <w:tc>
          <w:tcPr>
            <w:tcW w:type="dxa" w:w="900"/>
            <w:tcBorders>
              <w:top w:val="single" w:color="1F5C99" w:sz="2"/>
              <w:left w:val="single" w:color="1F5C99" w:sz="2"/>
              <w:bottom w:val="single" w:color="1F5C99" w:sz="2"/>
              <w:right w:val="single" w:color="1F5C99" w:sz="2"/>
            </w:tcBorders>
            <w:shd w:fill="1F5C99" w:val="clear"/>
            <w:tcMar>
              <w:top w:type="dxa" w:w="80"/>
              <w:left w:type="dxa" w:w="120"/>
              <w:bottom w:type="dxa" w:w="80"/>
              <w:right w:type="dxa" w:w="120"/>
            </w:tcMar>
          </w:tcPr>
          <w:p>
            <w:r>
              <w:rPr>
                <w:b/>
                <w:bCs/>
                <w:color w:val="FFFFFF"/>
                <w:sz w:val="20"/>
                <w:szCs w:val="20"/>
              </w:rPr>
              <w:t xml:space="preserve">TTM PE</w:t>
            </w:r>
          </w:p>
        </w:tc>
        <w:tc>
          <w:tcPr>
            <w:tcW w:type="dxa" w:w="900"/>
            <w:tcBorders>
              <w:top w:val="single" w:color="1F5C99" w:sz="2"/>
              <w:left w:val="single" w:color="1F5C99" w:sz="2"/>
              <w:bottom w:val="single" w:color="1F5C99" w:sz="2"/>
              <w:right w:val="single" w:color="1F5C99" w:sz="2"/>
            </w:tcBorders>
            <w:shd w:fill="1F5C99" w:val="clear"/>
            <w:tcMar>
              <w:top w:type="dxa" w:w="80"/>
              <w:left w:type="dxa" w:w="120"/>
              <w:bottom w:type="dxa" w:w="80"/>
              <w:right w:type="dxa" w:w="120"/>
            </w:tcMar>
          </w:tcPr>
          <w:p>
            <w:r>
              <w:rPr>
                <w:b/>
                <w:bCs/>
                <w:color w:val="FFFFFF"/>
                <w:sz w:val="20"/>
                <w:szCs w:val="20"/>
              </w:rPr>
              <w:t xml:space="preserve">PEG</w:t>
            </w:r>
          </w:p>
        </w:tc>
        <w:tc>
          <w:tcPr>
            <w:tcW w:type="dxa" w:w="1100"/>
            <w:tcBorders>
              <w:top w:val="single" w:color="1F5C99" w:sz="2"/>
              <w:left w:val="single" w:color="1F5C99" w:sz="2"/>
              <w:bottom w:val="single" w:color="1F5C99" w:sz="2"/>
              <w:right w:val="single" w:color="1F5C99" w:sz="2"/>
            </w:tcBorders>
            <w:shd w:fill="1F5C99" w:val="clear"/>
            <w:tcMar>
              <w:top w:type="dxa" w:w="80"/>
              <w:left w:type="dxa" w:w="120"/>
              <w:bottom w:type="dxa" w:w="80"/>
              <w:right w:type="dxa" w:w="120"/>
            </w:tcMar>
          </w:tcPr>
          <w:p>
            <w:r>
              <w:rPr>
                <w:b/>
                <w:bCs/>
                <w:color w:val="FFFFFF"/>
                <w:sz w:val="20"/>
                <w:szCs w:val="20"/>
              </w:rPr>
              <w:t xml:space="preserve">综评</w:t>
            </w:r>
          </w:p>
        </w:tc>
        <w:tc>
          <w:tcPr>
            <w:tcW w:type="dxa" w:w="1360"/>
            <w:tcBorders>
              <w:top w:val="single" w:color="1F5C99" w:sz="2"/>
              <w:left w:val="single" w:color="1F5C99" w:sz="2"/>
              <w:bottom w:val="single" w:color="1F5C99" w:sz="2"/>
              <w:right w:val="single" w:color="1F5C99" w:sz="2"/>
            </w:tcBorders>
            <w:shd w:fill="1F5C99" w:val="clear"/>
            <w:tcMar>
              <w:top w:type="dxa" w:w="80"/>
              <w:left w:type="dxa" w:w="120"/>
              <w:bottom w:type="dxa" w:w="80"/>
              <w:right w:type="dxa" w:w="120"/>
            </w:tcMar>
          </w:tcPr>
          <w:p>
            <w:r>
              <w:rPr>
                <w:b/>
                <w:bCs/>
                <w:color w:val="FFFFFF"/>
                <w:sz w:val="20"/>
                <w:szCs w:val="20"/>
              </w:rPr>
              <w:t xml:space="preserve">AI PC影响</w:t>
            </w:r>
          </w:p>
        </w:tc>
        <w:tc>
          <w:tcPr>
            <w:tcW w:type="dxa" w:w="960"/>
            <w:tcBorders>
              <w:top w:val="single" w:color="1F5C99" w:sz="2"/>
              <w:left w:val="single" w:color="1F5C99" w:sz="2"/>
              <w:bottom w:val="single" w:color="1F5C99" w:sz="2"/>
              <w:right w:val="single" w:color="1F5C99" w:sz="2"/>
            </w:tcBorders>
            <w:shd w:fill="1F5C99" w:val="clear"/>
            <w:tcMar>
              <w:top w:type="dxa" w:w="80"/>
              <w:left w:type="dxa" w:w="120"/>
              <w:bottom w:type="dxa" w:w="80"/>
              <w:right w:type="dxa" w:w="120"/>
            </w:tcMar>
          </w:tcPr>
          <w:p>
            <w:r>
              <w:rPr>
                <w:b/>
                <w:bCs/>
                <w:color w:val="FFFFFF"/>
                <w:sz w:val="20"/>
                <w:szCs w:val="20"/>
              </w:rPr>
              <w:t xml:space="preserve">机构建议</w:t>
            </w:r>
          </w:p>
        </w:tc>
      </w:tr>
      <w:tr>
        <w:tc>
          <w:tcPr>
            <w:tcW w:type="dxa" w:w="14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英伟达</w:t>
            </w:r>
          </w:p>
        </w:tc>
        <w:tc>
          <w:tcPr>
            <w:tcW w:type="dxa" w:w="1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NVDA</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~260,000</w:t>
            </w:r>
          </w:p>
        </w:tc>
        <w:tc>
          <w:tcPr>
            <w:tcW w:type="dxa" w:w="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68x</w:t>
            </w:r>
          </w:p>
        </w:tc>
        <w:tc>
          <w:tcPr>
            <w:tcW w:type="dxa" w:w="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1.2x</w:t>
            </w:r>
          </w:p>
        </w:tc>
        <w:tc>
          <w:tcPr>
            <w:tcW w:type="dxa" w:w="11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9.8/10</w:t>
            </w:r>
          </w:p>
        </w:tc>
        <w:tc>
          <w:tcPr>
            <w:tcW w:type="dxa" w:w="1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直接核心</w:t>
            </w:r>
          </w:p>
        </w:tc>
        <w:tc>
          <w:tcPr>
            <w:tcW w:type="dxa" w:w="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买入</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微软</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MSFT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~37,000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34x</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2.1x</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8.5/10</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直接核心</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买入</w:t>
            </w:r>
          </w:p>
        </w:tc>
      </w:tr>
      <w:tr>
        <w:tc>
          <w:tcPr>
            <w:tcW w:type="dxa" w:w="14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台积电</w:t>
            </w:r>
          </w:p>
        </w:tc>
        <w:tc>
          <w:tcPr>
            <w:tcW w:type="dxa" w:w="1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TSM</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~7,600</w:t>
            </w:r>
          </w:p>
        </w:tc>
        <w:tc>
          <w:tcPr>
            <w:tcW w:type="dxa" w:w="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26x</w:t>
            </w:r>
          </w:p>
        </w:tc>
        <w:tc>
          <w:tcPr>
            <w:tcW w:type="dxa" w:w="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1.6x</w:t>
            </w:r>
          </w:p>
        </w:tc>
        <w:tc>
          <w:tcPr>
            <w:tcW w:type="dxa" w:w="11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9.2/10</w:t>
            </w:r>
          </w:p>
        </w:tc>
        <w:tc>
          <w:tcPr>
            <w:tcW w:type="dxa" w:w="1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直接制造</w:t>
            </w:r>
          </w:p>
        </w:tc>
        <w:tc>
          <w:tcPr>
            <w:tcW w:type="dxa" w:w="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买入</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博通</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AVGO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~9,000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42x</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1.4x</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8.8/10</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间接受益</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买入</w:t>
            </w:r>
          </w:p>
        </w:tc>
      </w:tr>
      <w:tr>
        <w:tc>
          <w:tcPr>
            <w:tcW w:type="dxa" w:w="14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美光</w:t>
            </w:r>
          </w:p>
        </w:tc>
        <w:tc>
          <w:tcPr>
            <w:tcW w:type="dxa" w:w="1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MU</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~1,400</w:t>
            </w:r>
          </w:p>
        </w:tc>
        <w:tc>
          <w:tcPr>
            <w:tcW w:type="dxa" w:w="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58x*</w:t>
            </w:r>
          </w:p>
        </w:tc>
        <w:tc>
          <w:tcPr>
            <w:tcW w:type="dxa" w:w="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1.6x</w:t>
            </w:r>
          </w:p>
        </w:tc>
        <w:tc>
          <w:tcPr>
            <w:tcW w:type="dxa" w:w="11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8.3/10</w:t>
            </w:r>
          </w:p>
        </w:tc>
        <w:tc>
          <w:tcPr>
            <w:tcW w:type="dxa" w:w="1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强烈受益</w:t>
            </w:r>
          </w:p>
        </w:tc>
        <w:tc>
          <w:tcPr>
            <w:tcW w:type="dxa" w:w="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买入</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ARM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ARM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~1,300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112x</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2.5x</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8.0/10</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架构层受益</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买入</w:t>
            </w:r>
          </w:p>
        </w:tc>
      </w:tr>
      <w:tr>
        <w:tc>
          <w:tcPr>
            <w:tcW w:type="dxa" w:w="14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戴尔</w:t>
            </w:r>
          </w:p>
        </w:tc>
        <w:tc>
          <w:tcPr>
            <w:tcW w:type="dxa" w:w="1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DELL</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~3,700</w:t>
            </w:r>
          </w:p>
        </w:tc>
        <w:tc>
          <w:tcPr>
            <w:tcW w:type="dxa" w:w="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18x</w:t>
            </w:r>
          </w:p>
        </w:tc>
        <w:tc>
          <w:tcPr>
            <w:tcW w:type="dxa" w:w="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1.2x</w:t>
            </w:r>
          </w:p>
        </w:tc>
        <w:tc>
          <w:tcPr>
            <w:tcW w:type="dxa" w:w="11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7.0/10</w:t>
            </w:r>
          </w:p>
        </w:tc>
        <w:tc>
          <w:tcPr>
            <w:tcW w:type="dxa" w:w="1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整机直接</w:t>
            </w:r>
          </w:p>
        </w:tc>
        <w:tc>
          <w:tcPr>
            <w:tcW w:type="dxa" w:w="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买入</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亚马逊</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AMZN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~19,000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48x</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1.4x</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8.5/10</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中性偏正</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买入</w:t>
            </w:r>
          </w:p>
        </w:tc>
      </w:tr>
      <w:tr>
        <w:tc>
          <w:tcPr>
            <w:tcW w:type="dxa" w:w="14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Meta</w:t>
            </w:r>
          </w:p>
        </w:tc>
        <w:tc>
          <w:tcPr>
            <w:tcW w:type="dxa" w:w="1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META</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~13,000</w:t>
            </w:r>
          </w:p>
        </w:tc>
        <w:tc>
          <w:tcPr>
            <w:tcW w:type="dxa" w:w="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32x</w:t>
            </w:r>
          </w:p>
        </w:tc>
        <w:tc>
          <w:tcPr>
            <w:tcW w:type="dxa" w:w="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1.3x</w:t>
            </w:r>
          </w:p>
        </w:tc>
        <w:tc>
          <w:tcPr>
            <w:tcW w:type="dxa" w:w="11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8.5/10</w:t>
            </w:r>
          </w:p>
        </w:tc>
        <w:tc>
          <w:tcPr>
            <w:tcW w:type="dxa" w:w="1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间接受益</w:t>
            </w:r>
          </w:p>
        </w:tc>
        <w:tc>
          <w:tcPr>
            <w:tcW w:type="dxa" w:w="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买入</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Vertiv</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VRT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~300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26x</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1.3x</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8.2/10</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Rubin受益</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买入</w:t>
            </w:r>
          </w:p>
        </w:tc>
      </w:tr>
    </w:tbl>
    <w:p>
      <w:pPr>
        <w:spacing w:after="80"/>
      </w:pPr>
      <w:r>
        <w:t xml:space="preserve"/>
      </w:r>
    </w:p>
    <w:p>
      <w:pPr>
        <w:spacing w:after="160"/>
      </w:pPr>
      <w:r>
        <w:t xml:space="preserve">*美光PE因处于存储周期底部而偏高，以EV/EBITDA为更好参考指标</w:t>
      </w:r>
    </w:p>
    <w:p>
      <w:pPr>
        <w:pStyle w:val="Heading2"/>
      </w:pPr>
      <w:r>
        <w:t xml:space="preserve">5.2 AI PC产业链层级梳理</w:t>
      </w:r>
    </w:p>
    <w:p>
      <w:pPr>
        <w:spacing w:after="8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680"/>
        <w:gridCol w:w="2160"/>
        <w:gridCol w:w="2640"/>
        <w:gridCol w:w="1880"/>
      </w:tblGrid>
      <w:tr>
        <w:trPr>
          <w:tblHeader/>
        </w:trPr>
        <w:tc>
          <w:tcPr>
            <w:tcW w:type="dxa" w:w="1680"/>
            <w:tcBorders>
              <w:top w:val="single" w:color="1F5C99" w:sz="2"/>
              <w:left w:val="single" w:color="1F5C99" w:sz="2"/>
              <w:bottom w:val="single" w:color="1F5C99" w:sz="2"/>
              <w:right w:val="single" w:color="1F5C99" w:sz="2"/>
            </w:tcBorders>
            <w:shd w:fill="1F5C99" w:val="clear"/>
            <w:tcMar>
              <w:top w:type="dxa" w:w="80"/>
              <w:left w:type="dxa" w:w="120"/>
              <w:bottom w:type="dxa" w:w="80"/>
              <w:right w:type="dxa" w:w="120"/>
            </w:tcMar>
          </w:tcPr>
          <w:p>
            <w:r>
              <w:rPr>
                <w:b/>
                <w:bCs/>
                <w:color w:val="FFFFFF"/>
                <w:sz w:val="20"/>
                <w:szCs w:val="20"/>
              </w:rPr>
              <w:t xml:space="preserve">产业链层级</w:t>
            </w:r>
          </w:p>
        </w:tc>
        <w:tc>
          <w:tcPr>
            <w:tcW w:type="dxa" w:w="2160"/>
            <w:tcBorders>
              <w:top w:val="single" w:color="1F5C99" w:sz="2"/>
              <w:left w:val="single" w:color="1F5C99" w:sz="2"/>
              <w:bottom w:val="single" w:color="1F5C99" w:sz="2"/>
              <w:right w:val="single" w:color="1F5C99" w:sz="2"/>
            </w:tcBorders>
            <w:shd w:fill="1F5C99" w:val="clear"/>
            <w:tcMar>
              <w:top w:type="dxa" w:w="80"/>
              <w:left w:type="dxa" w:w="120"/>
              <w:bottom w:type="dxa" w:w="80"/>
              <w:right w:type="dxa" w:w="120"/>
            </w:tcMar>
          </w:tcPr>
          <w:p>
            <w:r>
              <w:rPr>
                <w:b/>
                <w:bCs/>
                <w:color w:val="FFFFFF"/>
                <w:sz w:val="20"/>
                <w:szCs w:val="20"/>
              </w:rPr>
              <w:t xml:space="preserve">核心公司</w:t>
            </w:r>
          </w:p>
        </w:tc>
        <w:tc>
          <w:tcPr>
            <w:tcW w:type="dxa" w:w="2640"/>
            <w:tcBorders>
              <w:top w:val="single" w:color="1F5C99" w:sz="2"/>
              <w:left w:val="single" w:color="1F5C99" w:sz="2"/>
              <w:bottom w:val="single" w:color="1F5C99" w:sz="2"/>
              <w:right w:val="single" w:color="1F5C99" w:sz="2"/>
            </w:tcBorders>
            <w:shd w:fill="1F5C99" w:val="clear"/>
            <w:tcMar>
              <w:top w:type="dxa" w:w="80"/>
              <w:left w:type="dxa" w:w="120"/>
              <w:bottom w:type="dxa" w:w="80"/>
              <w:right w:type="dxa" w:w="120"/>
            </w:tcMar>
          </w:tcPr>
          <w:p>
            <w:r>
              <w:rPr>
                <w:b/>
                <w:bCs/>
                <w:color w:val="FFFFFF"/>
                <w:sz w:val="20"/>
                <w:szCs w:val="20"/>
              </w:rPr>
              <w:t xml:space="preserve">A股映射方向</w:t>
            </w:r>
          </w:p>
        </w:tc>
        <w:tc>
          <w:tcPr>
            <w:tcW w:type="dxa" w:w="1880"/>
            <w:tcBorders>
              <w:top w:val="single" w:color="1F5C99" w:sz="2"/>
              <w:left w:val="single" w:color="1F5C99" w:sz="2"/>
              <w:bottom w:val="single" w:color="1F5C99" w:sz="2"/>
              <w:right w:val="single" w:color="1F5C99" w:sz="2"/>
            </w:tcBorders>
            <w:shd w:fill="1F5C99" w:val="clear"/>
            <w:tcMar>
              <w:top w:type="dxa" w:w="80"/>
              <w:left w:type="dxa" w:w="120"/>
              <w:bottom w:type="dxa" w:w="80"/>
              <w:right w:type="dxa" w:w="120"/>
            </w:tcMar>
          </w:tcPr>
          <w:p>
            <w:r>
              <w:rPr>
                <w:b/>
                <w:bCs/>
                <w:color w:val="FFFFFF"/>
                <w:sz w:val="20"/>
                <w:szCs w:val="20"/>
              </w:rPr>
              <w:t xml:space="preserve">受益确定性</w:t>
            </w:r>
          </w:p>
        </w:tc>
      </w:tr>
      <w:tr>
        <w:tc>
          <w:tcPr>
            <w:tcW w:type="dxa" w:w="16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架构IP</w:t>
            </w:r>
          </w:p>
        </w:tc>
        <w:tc>
          <w:tcPr>
            <w:tcW w:type="dxa" w:w="2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ARM（CPU架构IP）</w:t>
            </w:r>
          </w:p>
        </w:tc>
        <w:tc>
          <w:tcPr>
            <w:tcW w:type="dxa" w:w="26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无直接A股标的</w:t>
            </w:r>
          </w:p>
        </w:tc>
        <w:tc>
          <w:tcPr>
            <w:tcW w:type="dxa" w:w="18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高（底层受益）</w:t>
            </w:r>
          </w:p>
        </w:tc>
      </w:tr>
      <w:tr>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芯片设计</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英伟达（GPU+AI）、联发科（CPU）</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寒武纪、景嘉微（低相关性）</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高</w:t>
            </w:r>
          </w:p>
        </w:tc>
      </w:tr>
      <w:tr>
        <w:tc>
          <w:tcPr>
            <w:tcW w:type="dxa" w:w="16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芯片制造</w:t>
            </w:r>
          </w:p>
        </w:tc>
        <w:tc>
          <w:tcPr>
            <w:tcW w:type="dxa" w:w="2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台积电（3nm代工）</w:t>
            </w:r>
          </w:p>
        </w:tc>
        <w:tc>
          <w:tcPr>
            <w:tcW w:type="dxa" w:w="26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中芯国际（落后工艺无直接受益）</w:t>
            </w:r>
          </w:p>
        </w:tc>
        <w:tc>
          <w:tcPr>
            <w:tcW w:type="dxa" w:w="18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高（台股受益）</w:t>
            </w:r>
          </w:p>
        </w:tc>
      </w:tr>
      <w:tr>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先进封装</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台积电CoWoS</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华天科技、长电科技（相关性弱）</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中</w:t>
            </w:r>
          </w:p>
        </w:tc>
      </w:tr>
      <w:tr>
        <w:tc>
          <w:tcPr>
            <w:tcW w:type="dxa" w:w="16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存储</w:t>
            </w:r>
          </w:p>
        </w:tc>
        <w:tc>
          <w:tcPr>
            <w:tcW w:type="dxa" w:w="2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美光、SK海力士</w:t>
            </w:r>
          </w:p>
        </w:tc>
        <w:tc>
          <w:tcPr>
            <w:tcW w:type="dxa" w:w="26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兆易创新（相对低端）、长鑫存储（早期）</w:t>
            </w:r>
          </w:p>
        </w:tc>
        <w:tc>
          <w:tcPr>
            <w:tcW w:type="dxa" w:w="18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高（但主要是美韩受益）</w:t>
            </w:r>
          </w:p>
        </w:tc>
      </w:tr>
      <w:tr>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整机OEM</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戴尔、微软Surface、联想、华硕</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联想集团（港股）</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中</w:t>
            </w:r>
          </w:p>
        </w:tc>
      </w:tr>
      <w:tr>
        <w:tc>
          <w:tcPr>
            <w:tcW w:type="dxa" w:w="16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软件/生态</w:t>
            </w:r>
          </w:p>
        </w:tc>
        <w:tc>
          <w:tcPr>
            <w:tcW w:type="dxa" w:w="2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微软（Windows+Copilot）</w:t>
            </w:r>
          </w:p>
        </w:tc>
        <w:tc>
          <w:tcPr>
            <w:tcW w:type="dxa" w:w="26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金山软件、中软国际</w:t>
            </w:r>
          </w:p>
        </w:tc>
        <w:tc>
          <w:tcPr>
            <w:tcW w:type="dxa" w:w="18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中低</w:t>
            </w:r>
          </w:p>
        </w:tc>
      </w:tr>
      <w:tr>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散热/电源</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Vertiv（数据中心侧）</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超众科技、中石科技、英维克</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中</w:t>
            </w:r>
          </w:p>
        </w:tc>
      </w:tr>
      <w:tr>
        <w:tc>
          <w:tcPr>
            <w:tcW w:type="dxa" w:w="16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PCB/材料</w:t>
            </w:r>
          </w:p>
        </w:tc>
        <w:tc>
          <w:tcPr>
            <w:tcW w:type="dxa" w:w="2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无对应美股</w:t>
            </w:r>
          </w:p>
        </w:tc>
        <w:tc>
          <w:tcPr>
            <w:tcW w:type="dxa" w:w="26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生益科技、深南电路</w:t>
            </w:r>
          </w:p>
        </w:tc>
        <w:tc>
          <w:tcPr>
            <w:tcW w:type="dxa" w:w="18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中低</w:t>
            </w:r>
          </w:p>
        </w:tc>
      </w:tr>
    </w:tbl>
    <w:p>
      <w:pPr>
        <w:spacing w:after="80"/>
      </w:pPr>
      <w:r>
        <w:t xml:space="preserve"/>
      </w:r>
    </w:p>
    <w:p>
      <w:pPr>
        <w:pStyle w:val="Heading2"/>
      </w:pPr>
      <w:r>
        <w:t xml:space="preserve">5.3 投资策略建议</w:t>
      </w:r>
    </w:p>
    <w:p>
      <w:pPr>
        <w:spacing w:after="160"/>
      </w:pPr>
      <w:r>
        <w:t xml:space="preserve">基于以上分析，针对不同风险偏好的投资者，我们提出如下策略建议：</w:t>
      </w:r>
    </w:p>
    <w:p>
      <w:pPr>
        <w:pStyle w:val="Heading3"/>
      </w:pPr>
      <w:r>
        <w:t xml:space="preserve">核心仓位（确定性高）</w:t>
      </w:r>
    </w:p>
    <w:p>
      <w:pPr>
        <w:pStyle w:val="ListParagraph"/>
        <w:numPr>
          <w:ilvl w:val="0"/>
          <w:numId w:val="2"/>
        </w:numPr>
        <w:spacing w:after="80"/>
      </w:pPr>
      <w:r>
        <w:rPr>
          <w:b w:val="false"/>
          <w:bCs w:val="false"/>
        </w:rPr>
        <w:t xml:space="preserve">英伟达（NVDA）：AI时代最强护城河，AI PC+Rubin双催化，长期持有首选</w:t>
      </w:r>
    </w:p>
    <w:p>
      <w:pPr>
        <w:pStyle w:val="ListParagraph"/>
        <w:numPr>
          <w:ilvl w:val="0"/>
          <w:numId w:val="2"/>
        </w:numPr>
        <w:spacing w:after="80"/>
      </w:pPr>
      <w:r>
        <w:rPr>
          <w:b w:val="false"/>
          <w:bCs w:val="false"/>
        </w:rPr>
        <w:t xml:space="preserve">台积电（TSM）：制造端唯一性资产，受益于N1/N1X量产及Rubin订单</w:t>
      </w:r>
    </w:p>
    <w:p>
      <w:pPr>
        <w:pStyle w:val="ListParagraph"/>
        <w:numPr>
          <w:ilvl w:val="0"/>
          <w:numId w:val="2"/>
        </w:numPr>
        <w:spacing w:after="80"/>
      </w:pPr>
      <w:r>
        <w:rPr>
          <w:b w:val="false"/>
          <w:bCs w:val="false"/>
        </w:rPr>
        <w:t xml:space="preserve">美光（MU）：存储升级最直接受益者，AI PC大容量DRAM+HBM双主线</w:t>
      </w:r>
    </w:p>
    <w:p>
      <w:pPr>
        <w:pStyle w:val="Heading3"/>
      </w:pPr>
      <w:r>
        <w:t xml:space="preserve">配置仓位（成长逻辑清晰）</w:t>
      </w:r>
    </w:p>
    <w:p>
      <w:pPr>
        <w:pStyle w:val="ListParagraph"/>
        <w:numPr>
          <w:ilvl w:val="0"/>
          <w:numId w:val="2"/>
        </w:numPr>
        <w:spacing w:after="80"/>
      </w:pPr>
      <w:r>
        <w:rPr>
          <w:b w:val="false"/>
          <w:bCs w:val="false"/>
        </w:rPr>
        <w:t xml:space="preserve">微软（MSFT）：Windows AI PC生态核心，Copilot+变现逐步兑现</w:t>
      </w:r>
    </w:p>
    <w:p>
      <w:pPr>
        <w:pStyle w:val="ListParagraph"/>
        <w:numPr>
          <w:ilvl w:val="0"/>
          <w:numId w:val="2"/>
        </w:numPr>
        <w:spacing w:after="80"/>
      </w:pPr>
      <w:r>
        <w:rPr>
          <w:b w:val="false"/>
          <w:bCs w:val="false"/>
        </w:rPr>
        <w:t xml:space="preserve">博通（AVGO）：AI网络+定制ASIC，Rubin时代持续受益</w:t>
      </w:r>
    </w:p>
    <w:p>
      <w:pPr>
        <w:pStyle w:val="ListParagraph"/>
        <w:numPr>
          <w:ilvl w:val="0"/>
          <w:numId w:val="2"/>
        </w:numPr>
        <w:spacing w:after="80"/>
      </w:pPr>
      <w:r>
        <w:rPr>
          <w:b w:val="false"/>
          <w:bCs w:val="false"/>
        </w:rPr>
        <w:t xml:space="preserve">ARM（ARM）：架构层最大公约数，估值偏高需逢低布局</w:t>
      </w:r>
    </w:p>
    <w:p>
      <w:pPr>
        <w:pStyle w:val="Heading3"/>
      </w:pPr>
      <w:r>
        <w:t xml:space="preserve">卫星仓位（弹性高但风险较大）</w:t>
      </w:r>
    </w:p>
    <w:p>
      <w:pPr>
        <w:pStyle w:val="ListParagraph"/>
        <w:numPr>
          <w:ilvl w:val="0"/>
          <w:numId w:val="2"/>
        </w:numPr>
        <w:spacing w:after="80"/>
      </w:pPr>
      <w:r>
        <w:rPr>
          <w:b w:val="false"/>
          <w:bCs w:val="false"/>
        </w:rPr>
        <w:t xml:space="preserve">亚马逊（AMZN）、Meta（META）：AI商业化加速，AI PC中性偏正</w:t>
      </w:r>
    </w:p>
    <w:p>
      <w:pPr>
        <w:pStyle w:val="ListParagraph"/>
        <w:numPr>
          <w:ilvl w:val="0"/>
          <w:numId w:val="2"/>
        </w:numPr>
        <w:spacing w:after="80"/>
      </w:pPr>
      <w:r>
        <w:rPr>
          <w:b w:val="false"/>
          <w:bCs w:val="false"/>
        </w:rPr>
        <w:t xml:space="preserve">戴尔（DELL）：AI PC整机+AI服务器双线，但薄利结构制约弹性</w:t>
      </w:r>
    </w:p>
    <w:p>
      <w:pPr>
        <w:pStyle w:val="ListParagraph"/>
        <w:numPr>
          <w:ilvl w:val="0"/>
          <w:numId w:val="2"/>
        </w:numPr>
        <w:spacing w:after="80"/>
      </w:pPr>
      <w:r>
        <w:rPr>
          <w:b w:val="false"/>
          <w:bCs w:val="false"/>
        </w:rPr>
        <w:t xml:space="preserve">Vertiv（VRT）：液冷需求爆发，估值已有所消化，关注Rubin落地节奏</w:t>
      </w:r>
    </w:p>
    <w:p>
      <w:pPr>
        <w:spacing w:after="80"/>
      </w:pPr>
      <w:r>
        <w:t xml:space="preserve"/>
      </w:r>
    </w:p>
    <w:p>
      <w:r>
        <w:br w:type="page"/>
      </w:r>
    </w:p>
    <w:p>
      <w:pPr>
        <w:pStyle w:val="Heading1"/>
      </w:pPr>
      <w:r>
        <w:t xml:space="preserve">第六章  主要风险提示</w:t>
      </w:r>
    </w:p>
    <w:p>
      <w:pPr>
        <w:pStyle w:val="Heading2"/>
      </w:pPr>
      <w:r>
        <w:t xml:space="preserve">6.1 市场与估值风险</w:t>
      </w:r>
    </w:p>
    <w:p>
      <w:pPr>
        <w:spacing w:after="160"/>
      </w:pPr>
      <w:r>
        <w:t xml:space="preserve">当前AI相关股票整体估值偏高，市场已定价了较为乐观的增长预期。若AI PC出货节奏不及预期（如软件兼容性问题延续、消费者升级意愿不足），或宏观经济走弱导致消费支出收缩，相关股票面临较大回调压力。英伟达PE 68x、ARM PE 112x均处于历史高位，需对估值收缩风险保持警惕。</w:t>
      </w:r>
    </w:p>
    <w:p>
      <w:pPr>
        <w:pStyle w:val="Heading2"/>
      </w:pPr>
      <w:r>
        <w:t xml:space="preserve">6.2 技术与执行风险</w:t>
      </w:r>
    </w:p>
    <w:p>
      <w:pPr>
        <w:spacing w:after="160"/>
      </w:pPr>
      <w:r>
        <w:t xml:space="preserve">N1/N1X芯片的软件生态成熟度、Windows on ARM的应用兼容性（仍存在部分x86应用兼容问题）、以及量产良率和供应链稳定性，均是短期内的不确定因素。此外，苹果可能通过加速M5/M6系列产品迭代来反制，竞争态势存在动态变化。</w:t>
      </w:r>
    </w:p>
    <w:p>
      <w:pPr>
        <w:pStyle w:val="Heading2"/>
      </w:pPr>
      <w:r>
        <w:t xml:space="preserve">6.3 地缘政治与监管风险</w:t>
      </w:r>
    </w:p>
    <w:p>
      <w:pPr>
        <w:spacing w:after="160"/>
      </w:pPr>
      <w:r>
        <w:t xml:space="preserve">美国对华芯片出口管制政策（包括N1/N1X是否受限）、台积电的台海地缘政治风险，以及欧美对大型科技公司的反垄断监管，均可能对相关公司造成阶段性冲击。投资者应密切关注相关政策动向。</w:t>
      </w:r>
    </w:p>
    <w:p>
      <w:pPr>
        <w:pStyle w:val="Heading2"/>
      </w:pPr>
      <w:r>
        <w:t xml:space="preserve">6.4 AI泡沫风险</w:t>
      </w:r>
    </w:p>
    <w:p>
      <w:pPr>
        <w:spacing w:after="160"/>
      </w:pPr>
      <w:r>
        <w:t xml:space="preserve">尽管AI PC有望拓宽AI商业化边界，但AI投资的整体节奏仍依赖于大厂资本开支的持续性。若微软、谷歌、Meta等超大规模云厂商的AI资本开支出现明显缩减，整个AI产业链将面临系统性回调风险。AI PC的端侧商业化能否真正驱动消费者换机，仍需1-2年市场验证。</w:t>
      </w:r>
    </w:p>
    <w:p>
      <w:r>
        <w:br w:type="page"/>
      </w:r>
    </w:p>
    <w:p>
      <w:pPr>
        <w:pStyle w:val="Heading1"/>
      </w:pPr>
      <w:r>
        <w:t xml:space="preserve">结论与研究总结</w:t>
      </w:r>
    </w:p>
    <w:p>
      <w:pPr>
        <w:spacing w:after="160"/>
      </w:pPr>
      <w:r>
        <w:t xml:space="preserve">AI PC时代的到来，标志着人工智能从云端大厂的算力竞赛向普通人手中的智能设备迈出了历史性的一步。英伟达N1/N1X与Rubin架构的双线并进，不仅是一次产品发布，更是英伟达生态扩张战略的全面铺开：从数据中心，到个人电脑，CUDA生态实现云+端全覆盖，护城河进一步加深。</w:t>
      </w:r>
    </w:p>
    <w:p>
      <w:pPr>
        <w:spacing w:after="160"/>
      </w:pPr>
      <w:r>
        <w:t xml:space="preserve">对投资者而言，核心逻辑有三：第一，存储是最大的公约数，无论云端Rubin还是端侧N1/N1X，对DRAM（尤其是高容量LPDDR5X和HBM4）的需求都将系统性提升，美光是最直接的受益标的；第二，台积电是制造端的唯一性资产，3nm和2nm先进工艺+CoWoS封装是英伟达所有旗舰产品的共同依托；第三，英伟达本身仍是AI时代最强护城河的拥有者，每年一代的迭代节奏和CUDA软件生态壁垒，将使其竞争优势在相当长时间内难以被撼动。</w:t>
      </w:r>
    </w:p>
    <w:p>
      <w:pPr>
        <w:spacing w:after="160"/>
      </w:pPr>
      <w:r>
        <w:t xml:space="preserve">短期而言，AI PC发布提供了科技股情绪修复的叙事支撑，但真正的业绩兑现需要等待整机厂商的量产节奏、软件生态的成熟，以及消费者换机意愿的验证。A股投资者需辨别情绪映射与真实供应链受益，避免追高非核心供应链标的。</w:t>
      </w:r>
    </w:p>
    <w:p>
      <w:pPr>
        <w:spacing w:after="80"/>
      </w:pPr>
      <w:r>
        <w:t xml:space="preserve"/>
      </w:r>
    </w:p>
    <w:p>
      <w:pPr>
        <w:pBdr>
          <w:top w:val="single" w:color="1F5C99" w:sz="4" w:space="4"/>
        </w:pBdr>
        <w:spacing w:after="160" w:before="200"/>
        <w:jc w:val="center"/>
      </w:pPr>
      <w:r>
        <w:rPr>
          <w:b/>
          <w:bCs/>
          <w:color w:val="1F5C99"/>
          <w:sz w:val="22"/>
          <w:szCs w:val="22"/>
        </w:rPr>
        <w:t xml:space="preserve">免责声明</w:t>
      </w:r>
    </w:p>
    <w:p>
      <w:pPr>
        <w:spacing w:after="80"/>
        <w:jc w:val="center"/>
      </w:pPr>
      <w:r>
        <w:rPr>
          <w:color w:val="666666"/>
          <w:sz w:val="18"/>
          <w:szCs w:val="18"/>
        </w:rPr>
        <w:t xml:space="preserve">本报告内容仅供信息参考，不构成任何形式的投资建议或要约。</w:t>
      </w:r>
    </w:p>
    <w:p>
      <w:pPr>
        <w:spacing w:after="80"/>
        <w:jc w:val="center"/>
      </w:pPr>
      <w:r>
        <w:rPr>
          <w:color w:val="666666"/>
          <w:sz w:val="18"/>
          <w:szCs w:val="18"/>
        </w:rPr>
        <w:t xml:space="preserve">投资者据此操作，风险自担。股票市场有风险，入市须谨慎。</w:t>
      </w:r>
    </w:p>
    <w:p>
      <w:pPr>
        <w:spacing w:after="80"/>
        <w:jc w:val="center"/>
      </w:pPr>
      <w:r>
        <w:rPr>
          <w:i/>
          <w:iCs/>
          <w:color w:val="888888"/>
          <w:sz w:val="18"/>
          <w:szCs w:val="18"/>
        </w:rPr>
        <w:t xml:space="preserve">数据来源：公司财报、Wind、Bloomberg（截至2024.6）及公开新闻资料</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5C99" w:sz="6" w:space="1"/>
      </w:pBdr>
      <w:tabs>
        <w:tab w:val="right" w:pos="9026"/>
      </w:tabs>
      <w:spacing w:before="120"/>
    </w:pPr>
    <w:r>
      <w:rPr>
        <w:color w:val="888888"/>
        <w:sz w:val="18"/>
        <w:szCs w:val="18"/>
      </w:rPr>
      <w:t xml:space="preserve">© 2025 深度研究报告  |  仅供参考，不构成投资建议</w:t>
    </w:r>
    <w:r>
      <w:rPr>
        <w:color w:val="888888"/>
        <w:sz w:val="18"/>
        <w:szCs w:val="18"/>
      </w:rPr>
      <w:t xml:space="preserve">	第 </w:t>
    </w:r>
    <w:r>
      <w:rPr>
        <w:color w:val="888888"/>
        <w:sz w:val="18"/>
        <w:szCs w:val="18"/>
      </w:rPr>
      <w:t xml:space="preserve">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5C99" w:sz="6" w:space="1"/>
      </w:pBdr>
      <w:spacing w:after="120"/>
    </w:pPr>
    <w:r>
      <w:rPr>
        <w:rFonts w:ascii="Arial" w:cs="Arial" w:eastAsia="Arial" w:hAnsi="Arial"/>
        <w:b/>
        <w:bCs/>
        <w:color w:val="1F5C99"/>
        <w:sz w:val="22"/>
        <w:szCs w:val="22"/>
      </w:rPr>
      <w:t xml:space="preserve">AI PC时代深度研究报告</w:t>
    </w:r>
    <w:r>
      <w:rPr>
        <w:rFonts w:ascii="Arial" w:cs="Arial" w:eastAsia="Arial" w:hAnsi="Arial"/>
        <w:color w:val="666666"/>
        <w:sz w:val="18"/>
        <w:szCs w:val="18"/>
      </w:rPr>
      <w:t xml:space="preserve">  |  英伟达N1/N1X·Rubin架构·十大公司深度分析</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5C99" w:sz="4" w:space="1"/>
      </w:pBdr>
      <w:spacing w:after="200" w:before="400"/>
      <w:outlineLvl w:val="0"/>
    </w:pPr>
    <w:rPr>
      <w:rFonts w:ascii="Arial" w:cs="Arial" w:eastAsia="Arial" w:hAnsi="Arial"/>
      <w:b/>
      <w:bCs/>
      <w:color w:val="1F5C99"/>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F5C99"/>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2026-06-01T09:55:42.331Z</dcterms:created>
  <dcterms:modified xsi:type="dcterms:W3CDTF">2026-06-01T09:55:42.344Z</dcterms:modified>
</cp:coreProperties>
</file>

<file path=docProps/custom.xml><?xml version="1.0" encoding="utf-8"?>
<Properties xmlns="http://schemas.openxmlformats.org/officeDocument/2006/custom-properties" xmlns:vt="http://schemas.openxmlformats.org/officeDocument/2006/docPropsVTypes"/>
</file>