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英伟达公司深度研究报告</w:t>
      </w:r>
    </w:p>
    <w:p>
      <w:pPr>
        <w:jc w:val="center"/>
      </w:pPr>
      <w:r>
        <w:rPr>
          <w:color w:val="5A5A5A"/>
          <w:sz w:val="24"/>
        </w:rPr>
        <w:t>NVIDIA Corporation（NASDAQ: NVDA）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2026年6月2日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Corporation（英伟达，NASDAQ: NVDA）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工厂、Blackwell/Rubin、数据中心网络、CUDA 生态、端侧 AI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参照单家公司尽调/研报结构，强化业务、技术路线、财务、竞争和风险分析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2026年6月2日可获取的公开资料；最新财务口径为 FY2027 Q1，截至 2026年4月26日。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免责声明：本报告仅用于研究和信息参考，不构成任何投资建议、买卖建议或收益承诺。英伟达估值和股价受业绩预期、AI 资本开支、出口政策和市场流动性影响较大，实际投资决策需结合实时行情和个人风险承受能力。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四、产业链与商业模式</w:t>
      </w:r>
    </w:p>
    <w:p>
      <w:pPr>
        <w:pStyle w:val="ListBullet"/>
        <w:spacing w:after="80" w:line="280" w:lineRule="auto"/>
        <w:ind w:left="720" w:hanging="360"/>
      </w:pPr>
      <w:r>
        <w:t>五、行业竞争格局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八、主营业务收入与分部分析</w:t>
      </w:r>
    </w:p>
    <w:p>
      <w:pPr>
        <w:pStyle w:val="ListBullet"/>
        <w:spacing w:after="80" w:line="280" w:lineRule="auto"/>
        <w:ind w:left="720" w:hanging="360"/>
      </w:pPr>
      <w:r>
        <w:t>九、估值框架与投资评级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r>
        <w:br w:type="page"/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NVIDIA Corporation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中文名称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股票代码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NVDA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成立时间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1993年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美国加州圣克拉拉（Santa Clara, California）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创始人兼 CEO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Jensen Huang（黄仁勋）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主营业务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加速计算、AI 数据中心平台、GPU、网络互联、软件、边缘计算、机器人和汽车平台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公司定位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 AI 基础设施平台核心供应商，从 GPU 芯片公司演进为 AI 工厂全栈平台公司。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英伟达的核心价值已从传统 GPU 硬件销售，升级为 AI 算力平台和生态系统。公司不只销售 GPU，而是提供包括 GPU、CPU、DPU、网络交换、整机柜、软件库、推理服务和开发者工具在内的完整 AI 工厂平台。其收入增长来自三个层次：第一，超大规模云厂商和主权 AI 建设数据中心；第二，企业客户将生成式 AI 融入业务流程；第三，AI 从云端扩展到 PC、机器人、汽车和工业边缘。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核心结论：</w:t>
            </w:r>
            <w:r>
              <w:t xml:space="preserve"> 英伟达是 AI 时代最确定的基础设施平台资产之一。短期业绩由 Blackwell/Rubin 供给和数据中心需求驱动，长期护城河来自 CUDA、网络、软件和整机柜平台锁定。主要矛盾是估值容错率、出口政策和客户自研 ASIC 的长期替代压力。</w:t>
            </w:r>
          </w:p>
        </w:tc>
      </w:tr>
    </w:tbl>
    <w:p/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spacing w:after="120" w:line="264" w:lineRule="auto"/>
      </w:pPr>
      <w:r>
        <w:rPr>
          <w:sz w:val="22"/>
        </w:rPr>
        <w:t>1993年，公司成立，早期聚焦图形处理芯片和 PC 游戏显卡市场。</w:t>
      </w:r>
    </w:p>
    <w:p>
      <w:pPr>
        <w:spacing w:after="120" w:line="264" w:lineRule="auto"/>
      </w:pPr>
      <w:r>
        <w:rPr>
          <w:sz w:val="22"/>
        </w:rPr>
        <w:t>1999年，推出 GeForce 256，奠定 GPU 产品形态和消费图形市场地位。</w:t>
      </w:r>
    </w:p>
    <w:p>
      <w:pPr>
        <w:spacing w:after="120" w:line="264" w:lineRule="auto"/>
      </w:pPr>
      <w:r>
        <w:rPr>
          <w:sz w:val="22"/>
        </w:rPr>
        <w:t>2006年，推出 CUDA，开启 GPU 通用计算生态，成为后来 AI 训练和科学计算的底层软件壁垒。</w:t>
      </w:r>
    </w:p>
    <w:p>
      <w:pPr>
        <w:spacing w:after="120" w:line="264" w:lineRule="auto"/>
      </w:pPr>
      <w:r>
        <w:rPr>
          <w:sz w:val="22"/>
        </w:rPr>
        <w:t>2012年前后，深度学习开始使用 GPU 加速训练，英伟达从图形公司向 AI 加速计算公司转型。</w:t>
      </w:r>
    </w:p>
    <w:p>
      <w:pPr>
        <w:spacing w:after="120" w:line="264" w:lineRule="auto"/>
      </w:pPr>
      <w:r>
        <w:rPr>
          <w:sz w:val="22"/>
        </w:rPr>
        <w:t>2020年代，A100、H100、Blackwell 和 Rubin 连续推动数据中心收入跃升，公司进入 AI 基础设施主导阶段。</w:t>
      </w:r>
    </w:p>
    <w:p>
      <w:pPr>
        <w:spacing w:after="120" w:line="264" w:lineRule="auto"/>
      </w:pPr>
      <w:r>
        <w:rPr>
          <w:sz w:val="22"/>
        </w:rPr>
        <w:t>2026年，公司财务披露和产品路线进一步围绕 AI 工厂、Data Center 与 Edge Computing 重构，显示其战略重心已从芯片代际转向平台生态。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核心产品/能力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战略意义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图形 GPU 阶段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GeForce、Quadro/RTX 图形产品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建立 GPU 架构、驱动和开发者基础。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通用计算阶段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CUDA、Tesla、科学计算 GPU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将 GPU 从图形加速扩展到并行计算。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训练阶段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A100/H100、NVLink、DGX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成为大模型训练基础设施核心供应商。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工厂阶段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Blackwell、Rubin、Vera、NVLink、Spectrum-X、BlueField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从单芯片销售升级到整机柜和数据中心平台。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边缘智能阶段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RTX AI PC、Jetson、DRIVE、机器人平台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把云端 AI 能力下沉到终端和物理世界。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88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28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业务/产品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2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收入与战略意义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GPU、CPU、DPU、NVLink、InfiniBand、Spectrum-X、DGX、HGX、整机柜系统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绝对核心收入来源，FY2027 Q1 收入 752 亿美元，同比增长 92%。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 Computing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RTX、AI PC、工作站、机器人、汽车、工业边缘平台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新披露口径下的第二增长线，承载 AI 从云端到端侧迁移。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CUDA 与软件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CUDA、cuDNN、TensorRT、NIM、NeMo、Dynamo、Omniverse 等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生态壁垒核心，降低客户部署难度并提高平台切换成本。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网络互联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NVLink、InfiniBand、Spectrum-X Ethernet、ConnectX、BlueField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集群规模扩大后网络成为瓶颈，网络价值量持续提升。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汽车与机器人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DRIVE、Jetson、Isaac、GR00T 等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长期可选项，短期收入占比不如数据中心，但战略空间大。</w:t>
            </w:r>
          </w:p>
        </w:tc>
      </w:tr>
    </w:tbl>
    <w:p/>
    <w:p>
      <w:pPr>
        <w:pStyle w:val="Heading2"/>
      </w:pPr>
      <w:r>
        <w:t>3.2 Blackwell/Rubin 路线图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300"/>
        <w:gridCol w:w="17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平台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核心定位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关键技术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Blackwell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当前主力 AI 平台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B200/GB200、NVL 系统、HBM3e、液冷机柜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支撑 FY2026-FY2027 数据中心收入高增长，是当前订单兑现核心。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Vera Rubin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下一代 agentic AI 工厂平台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Vera CPU、Rubin GPU、NVLink 6、ConnectX-9、BlueField-4、Spectrum-6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2026年5月31日官方宣布 ramping into full production，成为后续增长接力棒。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Rubin Ultra / 后续平台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更高密度机柜和下一代 AI 工厂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更高 HBM 容量、更强网络和液冷要求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若按路线图推进，将持续带动 HBM、先进封装、电力和液冷升级。</w:t>
            </w:r>
          </w:p>
        </w:tc>
      </w:tr>
    </w:tbl>
    <w:p/>
    <w:p>
      <w:pPr>
        <w:pStyle w:val="Heading2"/>
      </w:pPr>
      <w:r>
        <w:t>3.3 技术护城河</w:t>
      </w:r>
    </w:p>
    <w:p>
      <w:pPr>
        <w:pStyle w:val="ListBullet"/>
        <w:spacing w:after="80" w:line="280" w:lineRule="auto"/>
        <w:ind w:left="720" w:hanging="360"/>
      </w:pPr>
      <w:r>
        <w:t>CUDA 生态：开发者、框架、库、编译器和工具链沉淀多年，是客户切换成本最高的环节。</w:t>
      </w:r>
    </w:p>
    <w:p>
      <w:pPr>
        <w:pStyle w:val="ListBullet"/>
        <w:spacing w:after="80" w:line="280" w:lineRule="auto"/>
        <w:ind w:left="720" w:hanging="360"/>
      </w:pPr>
      <w:r>
        <w:t>全栈平台：GPU、CPU、DPU、网络、整机柜和软件统一优化，客户采购从单芯片转向系统方案。</w:t>
      </w:r>
    </w:p>
    <w:p>
      <w:pPr>
        <w:pStyle w:val="ListBullet"/>
        <w:spacing w:after="80" w:line="280" w:lineRule="auto"/>
        <w:ind w:left="720" w:hanging="360"/>
      </w:pPr>
      <w:r>
        <w:t>网络能力：大模型训练和推理集群规模扩大后，网络性能决定集群效率，英伟达可通过 NVLink、InfiniBand 和 Spectrum-X 扩大单客户价值量。</w:t>
      </w:r>
    </w:p>
    <w:p>
      <w:pPr>
        <w:pStyle w:val="ListBullet"/>
        <w:spacing w:after="80" w:line="280" w:lineRule="auto"/>
        <w:ind w:left="720" w:hanging="360"/>
      </w:pPr>
      <w:r>
        <w:t>产品节奏：Blackwell、Rubin、后续架构的快速迭代压缩竞争对手追赶窗口。</w:t>
      </w:r>
    </w:p>
    <w:p>
      <w:pPr>
        <w:pStyle w:val="ListBullet"/>
        <w:spacing w:after="80" w:line="280" w:lineRule="auto"/>
        <w:ind w:left="720" w:hanging="360"/>
      </w:pPr>
      <w:r>
        <w:t>生态伙伴：云厂商、服务器 OEM、ODM、存储、液冷、电力和软件生态共同围绕英伟达平台构建。</w:t>
      </w:r>
    </w:p>
    <w:p>
      <w:pPr>
        <w:pStyle w:val="Heading1"/>
      </w:pPr>
      <w:r>
        <w:t>四、产业链与商业模式</w:t>
      </w:r>
    </w:p>
    <w:p>
      <w:pPr>
        <w:pStyle w:val="Heading2"/>
      </w:pPr>
      <w:r>
        <w:t>4.1 上游供应链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代表供应商/资源</w:t>
            </w:r>
          </w:p>
        </w:tc>
        <w:tc>
          <w:tcPr>
            <w:tcW w:type="dxa" w:w="4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对英伟达的重要性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晶圆制造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台积电先进制程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GPU/CPU 先进制程制造核心，产能和良率决定交付节奏。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先进封装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CoWoS 等封装产能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GPU 与 HBM 集成的关键瓶颈。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存储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美光、SK 海力士、三星 HBM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HBM 容量和带宽直接影响 AI 平台性能。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整机柜/服务器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ODM/OEM、云厂商自建系统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Blackwell/Rubin 以系统和机柜形式交付，供应链协同复杂度提高。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电力与液冷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数据中心基础设施供应商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高密度 AI 机柜提升供电、散热和液冷需求。</w:t>
            </w:r>
          </w:p>
        </w:tc>
      </w:tr>
    </w:tbl>
    <w:p/>
    <w:p>
      <w:pPr>
        <w:pStyle w:val="Heading2"/>
      </w:pPr>
      <w:r>
        <w:t>4.2 商业模式</w:t>
      </w:r>
    </w:p>
    <w:p>
      <w:pPr>
        <w:spacing w:after="120" w:line="264" w:lineRule="auto"/>
      </w:pPr>
      <w:r>
        <w:rPr>
          <w:sz w:val="22"/>
        </w:rPr>
        <w:t>英伟达商业模式正在从“卖 GPU”转向“卖 AI 平台”。传统 GPU 销售按芯片和板卡出货确认收入；AI 工厂时代，客户采购内容扩展到 GPU、CPU、DPU、网络交换、机柜、软件和服务，订单金额和客户黏性显著提升。公司还通过开发者工具、软件框架和推理部署服务强化生态绑定。</w:t>
      </w:r>
    </w:p>
    <w:p>
      <w:pPr>
        <w:pStyle w:val="Heading2"/>
      </w:pPr>
      <w:r>
        <w:t>4.3 客户结构</w:t>
      </w:r>
    </w:p>
    <w:p>
      <w:pPr>
        <w:spacing w:after="120" w:line="264" w:lineRule="auto"/>
      </w:pPr>
      <w:r>
        <w:rPr>
          <w:sz w:val="22"/>
        </w:rPr>
        <w:t>公司核心客户包括超大规模云厂商、AI 原生模型公司、主权 AI 项目、企业客户和 OEM/ODM 伙伴。超大云厂商的资本开支强度直接影响英伟达短中期收入，但同时这些客户也是自研 ASIC 的主要推动者，构成长期竞争变量。</w:t>
      </w:r>
    </w:p>
    <w:p>
      <w:pPr>
        <w:pStyle w:val="Heading1"/>
      </w:pPr>
      <w:r>
        <w:t>五、行业竞争格局</w:t>
      </w:r>
    </w:p>
    <w:p>
      <w:pPr>
        <w:pStyle w:val="Heading2"/>
      </w:pPr>
      <w:r>
        <w:t>5.1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竞争方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竞争领域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优劣势判断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AMD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数据中心 GPU、MI 系列、ROCm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硬件性能追赶快，但软件生态和客户迁移成本仍落后。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Intel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CPU、Gaudi/AI 加速器、网络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传统数据中心客户基础强，但 AI 加速器份额和路线稳定性不足。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Google TPU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自研 AI 加速器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在 Google 内部工作负载中强，但外部生态和通用客户覆盖有限。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AWS Trainium/Inferentia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云厂商自研训练/推理芯片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降低云厂商成本，但对广泛开发者生态和高端训练仍难完全替代英伟达。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Microsoft Maia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云端 AI 自研芯片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增强 Azure 成本控制和供应链自主性，但短期仍依赖英伟达高端 GPU。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Broadcom/Marvell 等 ASIC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定制 ASIC、网络芯片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在特定客户和网络环节受益，但通用平台生态弱于英伟达。</w:t>
            </w:r>
          </w:p>
        </w:tc>
      </w:tr>
    </w:tbl>
    <w:p/>
    <w:p>
      <w:pPr>
        <w:pStyle w:val="Heading2"/>
      </w:pPr>
      <w:r>
        <w:t>5.2 竞争格局判断</w:t>
      </w:r>
    </w:p>
    <w:p>
      <w:pPr>
        <w:spacing w:after="120" w:line="264" w:lineRule="auto"/>
      </w:pPr>
      <w:r>
        <w:rPr>
          <w:sz w:val="22"/>
        </w:rPr>
        <w:t>英伟达在高端 AI 训练和通用推理领域仍具显著领先优势。竞争对手会在成本敏感、封闭工作负载或单一云平台内部获得份额，但要全面替代英伟达，需要同时解决硬件性能、软件生态、网络互联、开发者工具、客户验证和供给规模多个问题。短期更现实的格局不是“替代英伟达”，而是“英伟达占据高端和通用平台，自研 ASIC 分流部分稳定推理工作负载”。</w:t>
      </w:r>
    </w:p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人员/职位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3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研究评价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Jensen Huang / 创始人、总裁兼 CEO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公司战略、产品路线、生态合作和资本配置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创始人领导力强，产品和市场叙事能力极强，是公司长期溢价的重要来源。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Colette Kress / CFO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财务披露、资本配置、投资者沟通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财务披露清晰，近年来数据中心高增长下利润率和现金流表现强。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技术与产品团队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GPU、网络、软件、机器人、汽车等平台研发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跨硬件和软件协同能力强，是平台化竞争的执行基础。</w:t>
            </w:r>
          </w:p>
        </w:tc>
      </w:tr>
    </w:tbl>
    <w:p/>
    <w:p>
      <w:pPr>
        <w:pStyle w:val="Heading2"/>
      </w:pPr>
      <w:r>
        <w:t>6.2 股东回报</w:t>
      </w:r>
    </w:p>
    <w:p>
      <w:pPr>
        <w:spacing w:after="120" w:line="264" w:lineRule="auto"/>
      </w:pPr>
      <w:r>
        <w:rPr>
          <w:sz w:val="22"/>
        </w:rPr>
        <w:t>FY2026 全年，英伟达通过股票回购和现金分红向股东返还 411 亿美元。公司分红金额本身不大，股东回报主要来自收入增长、利润率提升和回购。考虑到 AI 平台仍处高增长期，投资者更应关注资本配置是否支持长期技术领先，而非单纯股息收益。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最新季度财务</w:t>
      </w:r>
    </w:p>
    <w:p>
      <w:pPr>
        <w:spacing w:after="80"/>
      </w:pPr>
      <w:r>
        <w:rPr>
          <w:color w:val="5A5A5A"/>
          <w:sz w:val="18"/>
        </w:rPr>
        <w:t>数据来源：NVIDIA FY2027 Q1 业绩公告，季度截至 2026年4月26日。金额单位：亿美元。</w:t>
      </w:r>
    </w:p>
    <w:tbl>
      <w:tblPr>
        <w:tblStyle w:val="TableGrid"/>
        <w:tblW w:type="dxa" w:w="10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000"/>
        <w:gridCol w:w="1900"/>
        <w:gridCol w:w="48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FY2027 Q1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同比/环比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816.15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环比 +20%；同比 +85%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继续创历史新高，AI 基础设施需求强。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 收入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752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+92%；环比 +21%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绝对核心增长来源。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毛利率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74.9%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同比提升 14.4 个百分点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产品组合和平台议价能力强。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583.21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+211%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经营杠杆充分释放。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EPS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2.39 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公告披露口径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高盈利能力支撑高估值，但预期门槛也高。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FY2027 Q2 指引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 910 亿美元 ±2%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未假设中国 Data Center compute 收入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剔除中国不确定性后仍给出强指引。</w:t>
            </w:r>
          </w:p>
        </w:tc>
      </w:tr>
    </w:tbl>
    <w:p/>
    <w:p>
      <w:pPr>
        <w:pStyle w:val="Heading2"/>
      </w:pPr>
      <w:r>
        <w:t>7.2 FY2026 全年表现</w:t>
      </w:r>
    </w:p>
    <w:p>
      <w:pPr>
        <w:spacing w:after="80"/>
      </w:pPr>
      <w:r>
        <w:rPr>
          <w:color w:val="5A5A5A"/>
          <w:sz w:val="18"/>
        </w:rPr>
        <w:t>数据来源：NVIDIA FY2026 Q4 与全年业绩公告。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</w:t>
            </w:r>
          </w:p>
        </w:tc>
        <w:tc>
          <w:tcPr>
            <w:tcW w:type="dxa" w:w="4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Q4 收入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681 亿美元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季度收入环比 +20%、同比 +73%。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Q4 Data Center 收入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623 亿美元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季度 Data Center 收入环比 +22%、同比 +75%。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股东回报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411 亿美元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FY2026 全年通过回购和现金分红返还股东。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战略特征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Blackwell 放量、数据中心需求强、AI 工厂建设加速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FY2026 是 Blackwell 从导入到放量的重要年份。</w:t>
            </w:r>
          </w:p>
        </w:tc>
      </w:tr>
    </w:tbl>
    <w:p/>
    <w:p>
      <w:pPr>
        <w:pStyle w:val="Heading1"/>
      </w:pPr>
      <w:r>
        <w:t>八、主营业务收入与分部分析</w:t>
      </w:r>
    </w:p>
    <w:p>
      <w:pPr>
        <w:pStyle w:val="Heading2"/>
      </w:pPr>
      <w:r>
        <w:t>8.1 分部变化</w:t>
      </w:r>
    </w:p>
    <w:p>
      <w:pPr>
        <w:spacing w:after="120" w:line="264" w:lineRule="auto"/>
      </w:pPr>
      <w:r>
        <w:rPr>
          <w:sz w:val="22"/>
        </w:rPr>
        <w:t>FY2027 起，英伟达披露框架进一步向 Data Center 与 Edge Computing 聚焦。该变化本身具有研究意义：公司正在弱化传统“游戏/专业可视化/汽车”等单一终端口径，转向更符合 AI 平台化的收入分类。Data Center 代表云端和 AI 工厂，Edge Computing 代表端侧 AI、PC、机器人、汽车和工业边缘。</w:t>
      </w:r>
    </w:p>
    <w:p>
      <w:pPr>
        <w:pStyle w:val="Heading2"/>
      </w:pPr>
      <w:r>
        <w:t>8.2 Data Center</w:t>
      </w:r>
    </w:p>
    <w:p>
      <w:pPr>
        <w:pStyle w:val="ListBullet"/>
        <w:spacing w:after="80" w:line="280" w:lineRule="auto"/>
        <w:ind w:left="720" w:hanging="360"/>
      </w:pPr>
      <w:r>
        <w:t>收入规模：FY2027 Q1 Data Center 收入 752 亿美元，是公司收入绝对主导。</w:t>
      </w:r>
    </w:p>
    <w:p>
      <w:pPr>
        <w:pStyle w:val="ListBullet"/>
        <w:spacing w:after="80" w:line="280" w:lineRule="auto"/>
        <w:ind w:left="720" w:hanging="360"/>
      </w:pPr>
      <w:r>
        <w:t>增长驱动：Blackwell 出货、云厂商 AI 资本开支、主权 AI、企业 AI 工厂和网络产品 attach rate。</w:t>
      </w:r>
    </w:p>
    <w:p>
      <w:pPr>
        <w:pStyle w:val="ListBullet"/>
        <w:spacing w:after="80" w:line="280" w:lineRule="auto"/>
        <w:ind w:left="720" w:hanging="360"/>
      </w:pPr>
      <w:r>
        <w:t>利润特征：高端 GPU、网络和整系统方案带来较高毛利率，但也依赖 HBM、先进封装和供应链交付。</w:t>
      </w:r>
    </w:p>
    <w:p>
      <w:pPr>
        <w:pStyle w:val="ListBullet"/>
        <w:spacing w:after="80" w:line="280" w:lineRule="auto"/>
        <w:ind w:left="720" w:hanging="360"/>
      </w:pPr>
      <w:r>
        <w:t>跟踪指标：Data Center 收入、网络收入占比、Blackwell/Rubin 交期、云厂商 CapEx、H20/中国相关政策。</w:t>
      </w:r>
    </w:p>
    <w:p>
      <w:pPr>
        <w:pStyle w:val="Heading2"/>
      </w:pPr>
      <w:r>
        <w:t>8.3 Edge Computing</w:t>
      </w:r>
    </w:p>
    <w:p>
      <w:pPr>
        <w:pStyle w:val="ListBullet"/>
        <w:spacing w:after="80" w:line="280" w:lineRule="auto"/>
        <w:ind w:left="720" w:hanging="360"/>
      </w:pPr>
      <w:r>
        <w:t>覆盖范围：RTX AI PC、工作站、机器人、汽车、Jetson、DRIVE 和工业 AI。</w:t>
      </w:r>
    </w:p>
    <w:p>
      <w:pPr>
        <w:pStyle w:val="ListBullet"/>
        <w:spacing w:after="80" w:line="280" w:lineRule="auto"/>
        <w:ind w:left="720" w:hanging="360"/>
      </w:pPr>
      <w:r>
        <w:t>战略意义：把 AI 从云端部署扩展到用户设备和物理世界，形成云端-端侧闭环。</w:t>
      </w:r>
    </w:p>
    <w:p>
      <w:pPr>
        <w:pStyle w:val="ListBullet"/>
        <w:spacing w:after="80" w:line="280" w:lineRule="auto"/>
        <w:ind w:left="720" w:hanging="360"/>
      </w:pPr>
      <w:r>
        <w:t>短期判断：收入体量不及数据中心，但 AI PC 和机器人可能成为长期增量叙事。</w:t>
      </w:r>
    </w:p>
    <w:p>
      <w:pPr>
        <w:pStyle w:val="ListBullet"/>
        <w:spacing w:after="80" w:line="280" w:lineRule="auto"/>
        <w:ind w:left="720" w:hanging="360"/>
      </w:pPr>
      <w:r>
        <w:t>跟踪指标：RTX AI PC 出货、NVIDIA Spark/端侧平台采用、DRIVE 客户、机器人开发者生态。</w:t>
      </w:r>
    </w:p>
    <w:p>
      <w:pPr>
        <w:pStyle w:val="Heading1"/>
      </w:pPr>
      <w:r>
        <w:t>九、估值框架与投资评级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英伟达不宜用传统半导体周期股框架简单估值。更合适的框架是“AI 基础设施平台资产”：关注 AI 资本开支周期、单位 GPU/机柜价值量、网络和软件 attach rate、毛利率持续性、自由现金流、客户集中度和政策风险。PE、PS、EV/EBITDA 等指标仍可参考，但必须结合未来两年 Rubin 接续 Blackwell 的能力判断。</w:t>
      </w:r>
    </w:p>
    <w:p>
      <w:pPr>
        <w:pStyle w:val="Heading2"/>
      </w:pPr>
      <w:r>
        <w:t>9.2 投资评级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1600"/>
        <w:gridCol w:w="5760"/>
      </w:tblGrid>
      <w:tr>
        <w:trPr>
          <w:tblHeader w:val="true"/>
        </w:trPr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6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评分</w:t>
            </w:r>
          </w:p>
        </w:tc>
        <w:tc>
          <w:tcPr>
            <w:tcW w:type="dxa" w:w="57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成长性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9.8/10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Data Center 收入和 Rubin 平台接力仍处全球 AI 投资核心。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确定性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9.2/10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订单、生态、客户和平台能力均强，但出口政策是重要变量。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护城河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9.7/10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CUDA、网络、整机柜和软件生态形成高切换成本。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估值风险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7.0/10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市场预期极高，任何交付或毛利率扰动都会放大波动。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综合评级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核心配置/强烈关注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适合作为 AI 基础设施核心资产，建议以回撤和分批方式配置。</w:t>
            </w:r>
          </w:p>
        </w:tc>
      </w:tr>
    </w:tbl>
    <w:p/>
    <w:p>
      <w:pPr>
        <w:pStyle w:val="Heading1"/>
      </w:pPr>
      <w:r>
        <w:t>十、主要风险因素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 w:val="true"/>
        </w:trPr>
        <w:tc>
          <w:tcPr>
            <w:tcW w:type="dxa" w:w="17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52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风险描述</w:t>
            </w:r>
          </w:p>
        </w:tc>
        <w:tc>
          <w:tcPr>
            <w:tcW w:type="dxa" w:w="24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影响判断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估值和预期风险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公司业绩增长极强，但市场对收入、毛利率和指引预期也极高。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短期股价对预期差高度敏感。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出口管制风险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美国对中国高端 AI 芯片销售限制可能继续变化。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影响区域收入、产品组合和供应链安排。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客户自研 ASIC 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云厂商推进 TPU、Trainium、Maia 等自研芯片。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长期可能分流部分稳定推理工作负载。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供应链瓶颈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HBM、CoWoS、先进封装、电力、液冷等供给受限。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可能影响交付节奏和收入确认。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竞争加剧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AMD、ASIC、以太网方案和云平台自研系统持续追赶。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可能影响定价能力和份额。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投资回报风险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若客户 AI 应用变现慢于资本开支，云厂商可能下调采购节奏。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将影响中期订单和估值中枢。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技术迭代风险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Rubin 或后续平台延期、良率不及预期或软件适配问题。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会削弱“每年一代”的平台叙事。</w:t>
            </w:r>
          </w:p>
        </w:tc>
      </w:tr>
    </w:tbl>
    <w:p/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2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核查项目</w:t>
            </w:r>
          </w:p>
        </w:tc>
        <w:tc>
          <w:tcPr>
            <w:tcW w:type="dxa" w:w="4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type="dxa" w:w="2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后续跟踪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最新收入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FY2027 Q1 收入 816 亿美元，环比 +20%、同比 +85%。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FY2027 Q2 是否达到 910 亿美元指引。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FY2027 Q1 Data Center 收入 752 亿美元，同比增长 92%。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 CapEx、主权 AI 和网络产品 attach rate。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毛利率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FY2027 Q1 GAAP 毛利率 74.9%。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Blackwell/Rubin 产品组合、供应链成本、出口限制影响。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产品路线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Vera Rubin 已宣布进入 full production。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客户导入、系统交付、HBM4 和先进封装供给。</w:t>
            </w:r>
          </w:p>
        </w:tc>
      </w:tr>
    </w:tbl>
    <w:p/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FY2027 Q2 收入、毛利率和 Data Center 增速。</w:t>
      </w:r>
    </w:p>
    <w:p>
      <w:pPr>
        <w:pStyle w:val="ListBullet"/>
        <w:spacing w:after="80" w:line="280" w:lineRule="auto"/>
        <w:ind w:left="720" w:hanging="360"/>
      </w:pPr>
      <w:r>
        <w:t>Rubin/Vera Rubin 客户导入进度，尤其是 AWS、Google Cloud、Microsoft、OCI 等云厂商部署情况。</w:t>
      </w:r>
    </w:p>
    <w:p>
      <w:pPr>
        <w:pStyle w:val="ListBullet"/>
        <w:spacing w:after="80" w:line="280" w:lineRule="auto"/>
        <w:ind w:left="720" w:hanging="360"/>
      </w:pPr>
      <w:r>
        <w:t>网络产品收入占比和 Spectrum-X / InfiniBand attach rate。</w:t>
      </w:r>
    </w:p>
    <w:p>
      <w:pPr>
        <w:pStyle w:val="ListBullet"/>
        <w:spacing w:after="80" w:line="280" w:lineRule="auto"/>
        <w:ind w:left="720" w:hanging="360"/>
      </w:pPr>
      <w:r>
        <w:t>HBM4、CoWoS、液冷和高密度供电供应链瓶颈。</w:t>
      </w:r>
    </w:p>
    <w:p>
      <w:pPr>
        <w:pStyle w:val="ListBullet"/>
        <w:spacing w:after="80" w:line="280" w:lineRule="auto"/>
        <w:ind w:left="720" w:hanging="360"/>
      </w:pPr>
      <w:r>
        <w:t>中国出口政策变化及替代产品策略。</w:t>
      </w:r>
    </w:p>
    <w:p>
      <w:pPr>
        <w:pStyle w:val="ListBullet"/>
        <w:spacing w:after="80" w:line="280" w:lineRule="auto"/>
        <w:ind w:left="720" w:hanging="360"/>
      </w:pPr>
      <w:r>
        <w:t>云厂商自研 ASIC 部署比例和对英伟达采购节奏的影响。</w:t>
      </w:r>
    </w:p>
    <w:p>
      <w:pPr>
        <w:pStyle w:val="ListBullet"/>
        <w:spacing w:after="80" w:line="280" w:lineRule="auto"/>
        <w:ind w:left="720" w:hanging="360"/>
      </w:pPr>
      <w:r>
        <w:t>企业 AI 应用实际 ROI，决定 AI 基础设施资本开支能否持续。</w:t>
      </w:r>
    </w:p>
    <w:p>
      <w:pPr>
        <w:pStyle w:val="Heading1"/>
      </w:pPr>
      <w:r>
        <w:t>十二、研究结论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综合判断：</w:t>
            </w:r>
            <w:r>
              <w:t xml:space="preserve"> 英伟达仍是 AI 基础设施产业链中确定性最高的核心资产。公司凭借 CUDA、GPU、网络、整机柜和软件栈构成系统性壁垒，Rubin 接续 Blackwell 有望延长增长周期。投资上应承认其长期质量，同时尊重高估值下的波动和政策风险。</w:t>
            </w:r>
          </w:p>
        </w:tc>
      </w:tr>
    </w:tbl>
    <w:p/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FY2027 Q1 收入 816 亿美元、Data Center 收入 752 亿美元，增长仍处高斜率。</w:t>
      </w:r>
    </w:p>
    <w:p>
      <w:pPr>
        <w:pStyle w:val="ListBullet"/>
        <w:spacing w:after="80" w:line="280" w:lineRule="auto"/>
        <w:ind w:left="720" w:hanging="360"/>
      </w:pPr>
      <w:r>
        <w:t>Vera Rubin 进入 full production，提供 Blackwell 之后的产品周期接力。</w:t>
      </w:r>
    </w:p>
    <w:p>
      <w:pPr>
        <w:pStyle w:val="ListBullet"/>
        <w:spacing w:after="80" w:line="280" w:lineRule="auto"/>
        <w:ind w:left="720" w:hanging="360"/>
      </w:pPr>
      <w:r>
        <w:t>网络、软件和整机柜方案提高单客户价值量，增强平台锁定。</w:t>
      </w:r>
    </w:p>
    <w:p>
      <w:pPr>
        <w:pStyle w:val="ListBullet"/>
        <w:spacing w:after="80" w:line="280" w:lineRule="auto"/>
        <w:ind w:left="720" w:hanging="360"/>
      </w:pPr>
      <w:r>
        <w:t>AI 从云端扩展到 PC、机器人、汽车和工业边缘，长期市场空间仍在扩大。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估值对未来高速增长已有充分定价，短期回撤风险不可忽视。</w:t>
      </w:r>
    </w:p>
    <w:p>
      <w:pPr>
        <w:pStyle w:val="ListBullet"/>
        <w:spacing w:after="80" w:line="280" w:lineRule="auto"/>
        <w:ind w:left="720" w:hanging="360"/>
      </w:pPr>
      <w:r>
        <w:t>客户自研 ASIC 和出口管制不会立即改变公司龙头地位，但会影响长期增速和估值中枢。</w:t>
      </w:r>
    </w:p>
    <w:p>
      <w:pPr>
        <w:pStyle w:val="ListBullet"/>
        <w:spacing w:after="80" w:line="280" w:lineRule="auto"/>
        <w:ind w:left="720" w:hanging="360"/>
      </w:pPr>
      <w:r>
        <w:t>若 AI 应用变现慢于资本开支，云厂商采购节奏可能从极端紧张转向更理性。</w:t>
      </w:r>
    </w:p>
    <w:p>
      <w:pPr>
        <w:pStyle w:val="Heading1"/>
      </w:pPr>
      <w:r>
        <w:t>资料来源</w:t>
      </w:r>
    </w:p>
    <w:p>
      <w:pPr>
        <w:pStyle w:val="ListBullet"/>
        <w:spacing w:after="80" w:line="280" w:lineRule="auto"/>
        <w:ind w:left="720" w:hanging="360"/>
      </w:pPr>
      <w:r>
        <w:t>NVIDIA Investor Relations, NVIDIA Announces Financial Results for First Quarter Fiscal 2027, May 20, 2026. https://investor.nvidia.com/news/press-release-details/2026/NVIDIA-Announces-Financial-Results-for-First-Quarter-Fiscal-2027/default.aspx</w:t>
      </w:r>
    </w:p>
    <w:p>
      <w:pPr>
        <w:pStyle w:val="ListBullet"/>
        <w:spacing w:after="80" w:line="280" w:lineRule="auto"/>
        <w:ind w:left="720" w:hanging="360"/>
      </w:pPr>
      <w:r>
        <w:t>NVIDIA Investor Relations, NVIDIA Vera Rubin Ramps Into Full Production to Power Agentic AI Factories Worldwide, May 31, 2026. https://investor.nvidia.com/news/press-release-details/2026/NVIDIA-Vera-Rubin-Ramps-Into-Full-Production-to-Power-Agentic-AI-Factories-Worldwide/default.aspx</w:t>
      </w:r>
    </w:p>
    <w:p>
      <w:pPr>
        <w:pStyle w:val="ListBullet"/>
        <w:spacing w:after="80" w:line="280" w:lineRule="auto"/>
        <w:ind w:left="720" w:hanging="360"/>
      </w:pPr>
      <w:r>
        <w:t>NVIDIA Investor Relations, NVIDIA Announces Financial Results for Fourth Quarter and Fiscal 2026, Feb. 25, 2026. https://investor.nvidia.com/news/press-release-details/2026/NVIDIA-Announces-Financial-Results-for-Fourth-Quarter-and-Fiscal-2026/</w:t>
      </w:r>
    </w:p>
    <w:p>
      <w:pPr>
        <w:pStyle w:val="ListBullet"/>
        <w:spacing w:after="80" w:line="280" w:lineRule="auto"/>
        <w:ind w:left="720" w:hanging="360"/>
      </w:pPr>
      <w:r>
        <w:t>NVIDIA Investor Relations, NVIDIA Unveils Vera, the CPU for Agents, May 31, 2026. https://investor.nvidia.com/news/press-release-details/2026/NVIDIA-Unveils-Vera-the-CPU-for-Agents/default.aspx</w:t>
      </w:r>
    </w:p>
    <w:p>
      <w:pPr>
        <w:pStyle w:val="ListBullet"/>
        <w:spacing w:after="80" w:line="280" w:lineRule="auto"/>
        <w:ind w:left="720" w:hanging="360"/>
      </w:pPr>
      <w:r>
        <w:t>NVIDIA Investor Relations, Financial Reports page. https://investor.nvidia.com/financial-info/financial-reports/default.aspx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