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141F30"/>
          <w:sz w:val="44"/>
        </w:rPr>
        <w:t>Dell Technologies 深度研究报告</w:t>
      </w:r>
    </w:p>
    <w:p>
      <w:pPr>
        <w:jc w:val="center"/>
      </w:pPr>
      <w:r>
        <w:rPr>
          <w:color w:val="585858"/>
          <w:sz w:val="24"/>
        </w:rPr>
        <w:t>Dell Technologies Inc.（NYSE: DELL）</w:t>
      </w:r>
    </w:p>
    <w:tbl>
      <w:tblPr>
        <w:tblStyle w:val="TableGrid"/>
        <w:tblW w:type="dxa" w:w="9360"/>
        <w:jc w:val="center"/>
        <w:tblLook w:firstColumn="1" w:firstRow="1" w:lastColumn="0" w:lastRow="0" w:noHBand="0" w:noVBand="1" w:val="04A0"/>
        <w:tblInd w:w="120" w:type="dxa"/>
      </w:tblPr>
      <w:tblGrid>
        <w:gridCol w:w="2200"/>
        <w:gridCol w:w="7160"/>
      </w:tblGrid>
      <w:tr>
        <w:trPr>
          <w:tblHeader w:val="true"/>
        </w:trPr>
        <w:tc>
          <w:tcPr>
            <w:tcW w:type="dxa" w:w="2200"/>
            <w:shd w:fill="E8EEF5"/>
            <w:tcMar>
              <w:top w:w="80" w:type="dxa"/>
              <w:bottom w:w="80" w:type="dxa"/>
              <w:start w:w="120" w:type="dxa"/>
              <w:end w:w="120" w:type="dxa"/>
            </w:tcMar>
            <w:vAlign w:val="center"/>
          </w:tcPr>
          <w:p>
            <w:pPr>
              <w:jc w:val="center"/>
            </w:pPr>
            <w:r>
              <w:rPr>
                <w:b/>
                <w:sz w:val="19"/>
              </w:rPr>
              <w:t>报告要素</w:t>
            </w:r>
          </w:p>
        </w:tc>
        <w:tc>
          <w:tcPr>
            <w:tcW w:type="dxa" w:w="7160"/>
            <w:shd w:fill="E8EEF5"/>
            <w:tcMar>
              <w:top w:w="80" w:type="dxa"/>
              <w:bottom w:w="80" w:type="dxa"/>
              <w:start w:w="120" w:type="dxa"/>
              <w:end w:w="120" w:type="dxa"/>
            </w:tcMar>
            <w:vAlign w:val="center"/>
          </w:tcPr>
          <w:p>
            <w:pPr>
              <w:jc w:val="center"/>
            </w:pPr>
            <w:r>
              <w:rPr>
                <w:b/>
                <w:sz w:val="19"/>
              </w:rPr>
              <w:t>内容</w:t>
            </w:r>
          </w:p>
        </w:tc>
      </w:tr>
      <w:tr>
        <w:tc>
          <w:tcPr>
            <w:tcW w:type="dxa" w:w="2200"/>
            <w:tcMar>
              <w:top w:w="80" w:type="dxa"/>
              <w:bottom w:w="80" w:type="dxa"/>
              <w:start w:w="120" w:type="dxa"/>
              <w:end w:w="120" w:type="dxa"/>
            </w:tcMar>
            <w:vAlign w:val="center"/>
          </w:tcPr>
          <w:p>
            <w:pPr>
              <w:jc w:val="center"/>
            </w:pPr>
            <w:r>
              <w:rPr>
                <w:sz w:val="19"/>
              </w:rPr>
              <w:t>报告日期</w:t>
            </w:r>
          </w:p>
        </w:tc>
        <w:tc>
          <w:tcPr>
            <w:tcW w:type="dxa" w:w="7160"/>
            <w:tcMar>
              <w:top w:w="80" w:type="dxa"/>
              <w:bottom w:w="80" w:type="dxa"/>
              <w:start w:w="120" w:type="dxa"/>
              <w:end w:w="120" w:type="dxa"/>
            </w:tcMar>
            <w:vAlign w:val="center"/>
          </w:tcPr>
          <w:p>
            <w:pPr>
              <w:jc w:val="left"/>
            </w:pPr>
            <w:r>
              <w:rPr>
                <w:sz w:val="19"/>
              </w:rPr>
              <w:t>2026年6月15日</w:t>
            </w:r>
          </w:p>
        </w:tc>
      </w:tr>
      <w:tr>
        <w:tc>
          <w:tcPr>
            <w:tcW w:type="dxa" w:w="2200"/>
            <w:tcMar>
              <w:top w:w="80" w:type="dxa"/>
              <w:bottom w:w="80" w:type="dxa"/>
              <w:start w:w="120" w:type="dxa"/>
              <w:end w:w="120" w:type="dxa"/>
            </w:tcMar>
            <w:vAlign w:val="center"/>
          </w:tcPr>
          <w:p>
            <w:pPr>
              <w:jc w:val="center"/>
            </w:pPr>
            <w:r>
              <w:rPr>
                <w:sz w:val="19"/>
              </w:rPr>
              <w:t>研究对象</w:t>
            </w:r>
          </w:p>
        </w:tc>
        <w:tc>
          <w:tcPr>
            <w:tcW w:type="dxa" w:w="7160"/>
            <w:tcMar>
              <w:top w:w="80" w:type="dxa"/>
              <w:bottom w:w="80" w:type="dxa"/>
              <w:start w:w="120" w:type="dxa"/>
              <w:end w:w="120" w:type="dxa"/>
            </w:tcMar>
            <w:vAlign w:val="center"/>
          </w:tcPr>
          <w:p>
            <w:pPr>
              <w:jc w:val="left"/>
            </w:pPr>
            <w:r>
              <w:rPr>
                <w:sz w:val="19"/>
              </w:rPr>
              <w:t>Dell Technologies Inc.（戴尔科技，NYSE: DELL）</w:t>
            </w:r>
          </w:p>
        </w:tc>
      </w:tr>
      <w:tr>
        <w:tc>
          <w:tcPr>
            <w:tcW w:type="dxa" w:w="2200"/>
            <w:tcMar>
              <w:top w:w="80" w:type="dxa"/>
              <w:bottom w:w="80" w:type="dxa"/>
              <w:start w:w="120" w:type="dxa"/>
              <w:end w:w="120" w:type="dxa"/>
            </w:tcMar>
            <w:vAlign w:val="center"/>
          </w:tcPr>
          <w:p>
            <w:pPr>
              <w:jc w:val="center"/>
            </w:pPr>
            <w:r>
              <w:rPr>
                <w:sz w:val="19"/>
              </w:rPr>
              <w:t>研究主题</w:t>
            </w:r>
          </w:p>
        </w:tc>
        <w:tc>
          <w:tcPr>
            <w:tcW w:type="dxa" w:w="7160"/>
            <w:tcMar>
              <w:top w:w="80" w:type="dxa"/>
              <w:bottom w:w="80" w:type="dxa"/>
              <w:start w:w="120" w:type="dxa"/>
              <w:end w:w="120" w:type="dxa"/>
            </w:tcMar>
            <w:vAlign w:val="center"/>
          </w:tcPr>
          <w:p>
            <w:pPr>
              <w:jc w:val="left"/>
            </w:pPr>
            <w:r>
              <w:rPr>
                <w:sz w:val="19"/>
              </w:rPr>
              <w:t>AI 服务器、ISG/CSG 双轮、存储与服务、AI 工厂供应链、财务杠杆与股东回报</w:t>
            </w:r>
          </w:p>
        </w:tc>
      </w:tr>
      <w:tr>
        <w:tc>
          <w:tcPr>
            <w:tcW w:type="dxa" w:w="2200"/>
            <w:tcMar>
              <w:top w:w="80" w:type="dxa"/>
              <w:bottom w:w="80" w:type="dxa"/>
              <w:start w:w="120" w:type="dxa"/>
              <w:end w:w="120" w:type="dxa"/>
            </w:tcMar>
            <w:vAlign w:val="center"/>
          </w:tcPr>
          <w:p>
            <w:pPr>
              <w:jc w:val="center"/>
            </w:pPr>
            <w:r>
              <w:rPr>
                <w:sz w:val="19"/>
              </w:rPr>
              <w:t>报告形式</w:t>
            </w:r>
          </w:p>
        </w:tc>
        <w:tc>
          <w:tcPr>
            <w:tcW w:type="dxa" w:w="7160"/>
            <w:tcMar>
              <w:top w:w="80" w:type="dxa"/>
              <w:bottom w:w="80" w:type="dxa"/>
              <w:start w:w="120" w:type="dxa"/>
              <w:end w:w="120" w:type="dxa"/>
            </w:tcMar>
            <w:vAlign w:val="center"/>
          </w:tcPr>
          <w:p>
            <w:pPr>
              <w:jc w:val="left"/>
            </w:pPr>
            <w:r>
              <w:rPr>
                <w:sz w:val="19"/>
              </w:rPr>
              <w:t>参照项目内英伟达、AMD、高通、台积电等深度研报结构，强化业务模式、财务数据、竞争格局、杠杆和风险分析</w:t>
            </w:r>
          </w:p>
        </w:tc>
      </w:tr>
      <w:tr>
        <w:tc>
          <w:tcPr>
            <w:tcW w:type="dxa" w:w="2200"/>
            <w:tcMar>
              <w:top w:w="80" w:type="dxa"/>
              <w:bottom w:w="80" w:type="dxa"/>
              <w:start w:w="120" w:type="dxa"/>
              <w:end w:w="120" w:type="dxa"/>
            </w:tcMar>
            <w:vAlign w:val="center"/>
          </w:tcPr>
          <w:p>
            <w:pPr>
              <w:jc w:val="center"/>
            </w:pPr>
            <w:r>
              <w:rPr>
                <w:sz w:val="19"/>
              </w:rPr>
              <w:t>资料边界</w:t>
            </w:r>
          </w:p>
        </w:tc>
        <w:tc>
          <w:tcPr>
            <w:tcW w:type="dxa" w:w="7160"/>
            <w:tcMar>
              <w:top w:w="80" w:type="dxa"/>
              <w:bottom w:w="80" w:type="dxa"/>
              <w:start w:w="120" w:type="dxa"/>
              <w:end w:w="120" w:type="dxa"/>
            </w:tcMar>
            <w:vAlign w:val="center"/>
          </w:tcPr>
          <w:p>
            <w:pPr>
              <w:jc w:val="left"/>
            </w:pPr>
            <w:r>
              <w:rPr>
                <w:sz w:val="19"/>
              </w:rPr>
              <w:t>截至 2026年6月15日可获取公开资料；最新财务口径为 FY2027 Q1，季度截至 2026年5月1日</w:t>
            </w:r>
          </w:p>
        </w:tc>
      </w:tr>
    </w:tbl>
    <w:p/>
    <w:p>
      <w:pPr>
        <w:spacing w:after="120" w:line="264" w:lineRule="auto"/>
      </w:pPr>
      <w:r>
        <w:rPr>
          <w:sz w:val="22"/>
        </w:rPr>
        <w:t>免责声明：本报告仅用于研究和信息参考，不构成任何投资建议、买卖建议或收益承诺。Dell 估值和股价受 AI 服务器需求、GPU 供给、毛利率、供应链营运资本、PC 周期、企业 IT 支出、债务结构、回购节奏和市场流动性影响较大，实际投资决策需结合实时行情和个人风险承受能力。</w:t>
      </w:r>
    </w:p>
    <w:p>
      <w:pPr>
        <w:pStyle w:val="Heading1"/>
      </w:pPr>
      <w:r>
        <w:t>目录</w:t>
      </w:r>
    </w:p>
    <w:p>
      <w:pPr>
        <w:pStyle w:val="ListBullet"/>
        <w:spacing w:after="80" w:line="280" w:lineRule="auto"/>
        <w:ind w:left="720" w:hanging="360"/>
      </w:pPr>
      <w:r>
        <w:t>一、公司基本情况</w:t>
      </w:r>
    </w:p>
    <w:p>
      <w:pPr>
        <w:pStyle w:val="ListBullet"/>
        <w:spacing w:after="80" w:line="280" w:lineRule="auto"/>
        <w:ind w:left="720" w:hanging="360"/>
      </w:pPr>
      <w:r>
        <w:t>二、发展沿革与战略演进</w:t>
      </w:r>
    </w:p>
    <w:p>
      <w:pPr>
        <w:pStyle w:val="ListBullet"/>
        <w:spacing w:after="80" w:line="280" w:lineRule="auto"/>
        <w:ind w:left="720" w:hanging="360"/>
      </w:pPr>
      <w:r>
        <w:t>三、业务和技术体系</w:t>
      </w:r>
    </w:p>
    <w:p>
      <w:pPr>
        <w:pStyle w:val="ListBullet"/>
        <w:spacing w:after="80" w:line="280" w:lineRule="auto"/>
        <w:ind w:left="720" w:hanging="360"/>
      </w:pPr>
      <w:r>
        <w:t>四、AI 服务器生态链与商业模式</w:t>
      </w:r>
    </w:p>
    <w:p>
      <w:pPr>
        <w:pStyle w:val="ListBullet"/>
        <w:spacing w:after="80" w:line="280" w:lineRule="auto"/>
        <w:ind w:left="720" w:hanging="360"/>
      </w:pPr>
      <w:r>
        <w:t>五、行业竞争格局</w:t>
      </w:r>
    </w:p>
    <w:p>
      <w:pPr>
        <w:pStyle w:val="ListBullet"/>
        <w:spacing w:after="80" w:line="280" w:lineRule="auto"/>
        <w:ind w:left="720" w:hanging="360"/>
      </w:pPr>
      <w:r>
        <w:t>六、管理层与治理结构</w:t>
      </w:r>
    </w:p>
    <w:p>
      <w:pPr>
        <w:pStyle w:val="ListBullet"/>
        <w:spacing w:after="80" w:line="280" w:lineRule="auto"/>
        <w:ind w:left="720" w:hanging="360"/>
      </w:pPr>
      <w:r>
        <w:t>七、财务会计信息</w:t>
      </w:r>
    </w:p>
    <w:p>
      <w:pPr>
        <w:pStyle w:val="ListBullet"/>
        <w:spacing w:after="80" w:line="280" w:lineRule="auto"/>
        <w:ind w:left="720" w:hanging="360"/>
      </w:pPr>
      <w:r>
        <w:t>八、主营业务收入与分部分析</w:t>
      </w:r>
    </w:p>
    <w:p>
      <w:pPr>
        <w:pStyle w:val="ListBullet"/>
        <w:spacing w:after="80" w:line="280" w:lineRule="auto"/>
        <w:ind w:left="720" w:hanging="360"/>
      </w:pPr>
      <w:r>
        <w:t>九、财务杠杆与资本配置</w:t>
      </w:r>
    </w:p>
    <w:p>
      <w:pPr>
        <w:pStyle w:val="ListBullet"/>
        <w:spacing w:after="80" w:line="280" w:lineRule="auto"/>
        <w:ind w:left="720" w:hanging="360"/>
      </w:pPr>
      <w:r>
        <w:t>十、估值框架与研究评级</w:t>
      </w:r>
    </w:p>
    <w:p>
      <w:pPr>
        <w:pStyle w:val="ListBullet"/>
        <w:spacing w:after="80" w:line="280" w:lineRule="auto"/>
        <w:ind w:left="720" w:hanging="360"/>
      </w:pPr>
      <w:r>
        <w:t>十一、主要风险因素与跟踪指标</w:t>
      </w:r>
    </w:p>
    <w:p>
      <w:pPr>
        <w:pStyle w:val="ListBullet"/>
        <w:spacing w:after="80" w:line="280" w:lineRule="auto"/>
        <w:ind w:left="720" w:hanging="360"/>
      </w:pPr>
      <w:r>
        <w:t>十二、研究结论</w:t>
      </w:r>
    </w:p>
    <w:p>
      <w:pPr>
        <w:pStyle w:val="Heading1"/>
      </w:pPr>
      <w:r>
        <w:t>一、公司基本情况</w:t>
      </w:r>
    </w:p>
    <w:p>
      <w:pPr>
        <w:pStyle w:val="Heading2"/>
      </w:pPr>
      <w:r>
        <w:t>1.1 基本信息</w:t>
      </w:r>
    </w:p>
    <w:tbl>
      <w:tblPr>
        <w:tblStyle w:val="TableGrid"/>
        <w:tblW w:type="dxa" w:w="9360"/>
        <w:jc w:val="center"/>
        <w:tblLook w:firstColumn="1" w:firstRow="1" w:lastColumn="0" w:lastRow="0" w:noHBand="0" w:noVBand="1" w:val="04A0"/>
        <w:tblInd w:w="120" w:type="dxa"/>
      </w:tblPr>
      <w:tblGrid>
        <w:gridCol w:w="2600"/>
        <w:gridCol w:w="6760"/>
      </w:tblGrid>
      <w:tr>
        <w:trPr>
          <w:tblHeader w:val="true"/>
        </w:trPr>
        <w:tc>
          <w:tcPr>
            <w:tcW w:type="dxa" w:w="2600"/>
            <w:shd w:fill="E8EEF5"/>
            <w:tcMar>
              <w:top w:w="80" w:type="dxa"/>
              <w:bottom w:w="80" w:type="dxa"/>
              <w:start w:w="120" w:type="dxa"/>
              <w:end w:w="120" w:type="dxa"/>
            </w:tcMar>
            <w:vAlign w:val="center"/>
          </w:tcPr>
          <w:p>
            <w:pPr>
              <w:jc w:val="center"/>
            </w:pPr>
            <w:r>
              <w:rPr>
                <w:b/>
                <w:sz w:val="19"/>
              </w:rPr>
              <w:t>项目</w:t>
            </w:r>
          </w:p>
        </w:tc>
        <w:tc>
          <w:tcPr>
            <w:tcW w:type="dxa" w:w="6760"/>
            <w:shd w:fill="E8EEF5"/>
            <w:tcMar>
              <w:top w:w="80" w:type="dxa"/>
              <w:bottom w:w="80" w:type="dxa"/>
              <w:start w:w="120" w:type="dxa"/>
              <w:end w:w="120" w:type="dxa"/>
            </w:tcMar>
            <w:vAlign w:val="center"/>
          </w:tcPr>
          <w:p>
            <w:pPr>
              <w:jc w:val="center"/>
            </w:pPr>
            <w:r>
              <w:rPr>
                <w:b/>
                <w:sz w:val="19"/>
              </w:rPr>
              <w:t>内容</w:t>
            </w:r>
          </w:p>
        </w:tc>
      </w:tr>
      <w:tr>
        <w:tc>
          <w:tcPr>
            <w:tcW w:type="dxa" w:w="2600"/>
            <w:tcMar>
              <w:top w:w="80" w:type="dxa"/>
              <w:bottom w:w="80" w:type="dxa"/>
              <w:start w:w="120" w:type="dxa"/>
              <w:end w:w="120" w:type="dxa"/>
            </w:tcMar>
            <w:vAlign w:val="center"/>
          </w:tcPr>
          <w:p>
            <w:pPr>
              <w:jc w:val="center"/>
            </w:pPr>
            <w:r>
              <w:rPr>
                <w:sz w:val="19"/>
              </w:rPr>
              <w:t>公司名称</w:t>
            </w:r>
          </w:p>
        </w:tc>
        <w:tc>
          <w:tcPr>
            <w:tcW w:type="dxa" w:w="6760"/>
            <w:tcMar>
              <w:top w:w="80" w:type="dxa"/>
              <w:bottom w:w="80" w:type="dxa"/>
              <w:start w:w="120" w:type="dxa"/>
              <w:end w:w="120" w:type="dxa"/>
            </w:tcMar>
            <w:vAlign w:val="center"/>
          </w:tcPr>
          <w:p>
            <w:pPr>
              <w:jc w:val="left"/>
            </w:pPr>
            <w:r>
              <w:rPr>
                <w:sz w:val="19"/>
              </w:rPr>
              <w:t>Dell Technologies Inc.</w:t>
            </w:r>
          </w:p>
        </w:tc>
      </w:tr>
      <w:tr>
        <w:tc>
          <w:tcPr>
            <w:tcW w:type="dxa" w:w="2600"/>
            <w:tcMar>
              <w:top w:w="80" w:type="dxa"/>
              <w:bottom w:w="80" w:type="dxa"/>
              <w:start w:w="120" w:type="dxa"/>
              <w:end w:w="120" w:type="dxa"/>
            </w:tcMar>
            <w:vAlign w:val="center"/>
          </w:tcPr>
          <w:p>
            <w:pPr>
              <w:jc w:val="center"/>
            </w:pPr>
            <w:r>
              <w:rPr>
                <w:sz w:val="19"/>
              </w:rPr>
              <w:t>中文名称</w:t>
            </w:r>
          </w:p>
        </w:tc>
        <w:tc>
          <w:tcPr>
            <w:tcW w:type="dxa" w:w="6760"/>
            <w:tcMar>
              <w:top w:w="80" w:type="dxa"/>
              <w:bottom w:w="80" w:type="dxa"/>
              <w:start w:w="120" w:type="dxa"/>
              <w:end w:w="120" w:type="dxa"/>
            </w:tcMar>
            <w:vAlign w:val="center"/>
          </w:tcPr>
          <w:p>
            <w:pPr>
              <w:jc w:val="left"/>
            </w:pPr>
            <w:r>
              <w:rPr>
                <w:sz w:val="19"/>
              </w:rPr>
              <w:t>戴尔科技</w:t>
            </w:r>
          </w:p>
        </w:tc>
      </w:tr>
      <w:tr>
        <w:tc>
          <w:tcPr>
            <w:tcW w:type="dxa" w:w="2600"/>
            <w:tcMar>
              <w:top w:w="80" w:type="dxa"/>
              <w:bottom w:w="80" w:type="dxa"/>
              <w:start w:w="120" w:type="dxa"/>
              <w:end w:w="120" w:type="dxa"/>
            </w:tcMar>
            <w:vAlign w:val="center"/>
          </w:tcPr>
          <w:p>
            <w:pPr>
              <w:jc w:val="center"/>
            </w:pPr>
            <w:r>
              <w:rPr>
                <w:sz w:val="19"/>
              </w:rPr>
              <w:t>交易代码</w:t>
            </w:r>
          </w:p>
        </w:tc>
        <w:tc>
          <w:tcPr>
            <w:tcW w:type="dxa" w:w="6760"/>
            <w:tcMar>
              <w:top w:w="80" w:type="dxa"/>
              <w:bottom w:w="80" w:type="dxa"/>
              <w:start w:w="120" w:type="dxa"/>
              <w:end w:w="120" w:type="dxa"/>
            </w:tcMar>
            <w:vAlign w:val="center"/>
          </w:tcPr>
          <w:p>
            <w:pPr>
              <w:jc w:val="left"/>
            </w:pPr>
            <w:r>
              <w:rPr>
                <w:sz w:val="19"/>
              </w:rPr>
              <w:t>NYSE: DELL</w:t>
            </w:r>
          </w:p>
        </w:tc>
      </w:tr>
      <w:tr>
        <w:tc>
          <w:tcPr>
            <w:tcW w:type="dxa" w:w="2600"/>
            <w:tcMar>
              <w:top w:w="80" w:type="dxa"/>
              <w:bottom w:w="80" w:type="dxa"/>
              <w:start w:w="120" w:type="dxa"/>
              <w:end w:w="120" w:type="dxa"/>
            </w:tcMar>
            <w:vAlign w:val="center"/>
          </w:tcPr>
          <w:p>
            <w:pPr>
              <w:jc w:val="center"/>
            </w:pPr>
            <w:r>
              <w:rPr>
                <w:sz w:val="19"/>
              </w:rPr>
              <w:t>总部</w:t>
            </w:r>
          </w:p>
        </w:tc>
        <w:tc>
          <w:tcPr>
            <w:tcW w:type="dxa" w:w="6760"/>
            <w:tcMar>
              <w:top w:w="80" w:type="dxa"/>
              <w:bottom w:w="80" w:type="dxa"/>
              <w:start w:w="120" w:type="dxa"/>
              <w:end w:w="120" w:type="dxa"/>
            </w:tcMar>
            <w:vAlign w:val="center"/>
          </w:tcPr>
          <w:p>
            <w:pPr>
              <w:jc w:val="left"/>
            </w:pPr>
            <w:r>
              <w:rPr>
                <w:sz w:val="19"/>
              </w:rPr>
              <w:t>美国德克萨斯州 Round Rock</w:t>
            </w:r>
          </w:p>
        </w:tc>
      </w:tr>
      <w:tr>
        <w:tc>
          <w:tcPr>
            <w:tcW w:type="dxa" w:w="2600"/>
            <w:tcMar>
              <w:top w:w="80" w:type="dxa"/>
              <w:bottom w:w="80" w:type="dxa"/>
              <w:start w:w="120" w:type="dxa"/>
              <w:end w:w="120" w:type="dxa"/>
            </w:tcMar>
            <w:vAlign w:val="center"/>
          </w:tcPr>
          <w:p>
            <w:pPr>
              <w:jc w:val="center"/>
            </w:pPr>
            <w:r>
              <w:rPr>
                <w:sz w:val="19"/>
              </w:rPr>
              <w:t>核心定位</w:t>
            </w:r>
          </w:p>
        </w:tc>
        <w:tc>
          <w:tcPr>
            <w:tcW w:type="dxa" w:w="6760"/>
            <w:tcMar>
              <w:top w:w="80" w:type="dxa"/>
              <w:bottom w:w="80" w:type="dxa"/>
              <w:start w:w="120" w:type="dxa"/>
              <w:end w:w="120" w:type="dxa"/>
            </w:tcMar>
            <w:vAlign w:val="center"/>
          </w:tcPr>
          <w:p>
            <w:pPr>
              <w:jc w:val="left"/>
            </w:pPr>
            <w:r>
              <w:rPr>
                <w:sz w:val="19"/>
              </w:rPr>
              <w:t>全球企业 IT 基础设施、服务器、存储、商用 PC、服务与 AI 服务器系统集成平台</w:t>
            </w:r>
          </w:p>
        </w:tc>
      </w:tr>
      <w:tr>
        <w:tc>
          <w:tcPr>
            <w:tcW w:type="dxa" w:w="2600"/>
            <w:tcMar>
              <w:top w:w="80" w:type="dxa"/>
              <w:bottom w:w="80" w:type="dxa"/>
              <w:start w:w="120" w:type="dxa"/>
              <w:end w:w="120" w:type="dxa"/>
            </w:tcMar>
            <w:vAlign w:val="center"/>
          </w:tcPr>
          <w:p>
            <w:pPr>
              <w:jc w:val="center"/>
            </w:pPr>
            <w:r>
              <w:rPr>
                <w:sz w:val="19"/>
              </w:rPr>
              <w:t>主要分部</w:t>
            </w:r>
          </w:p>
        </w:tc>
        <w:tc>
          <w:tcPr>
            <w:tcW w:type="dxa" w:w="6760"/>
            <w:tcMar>
              <w:top w:w="80" w:type="dxa"/>
              <w:bottom w:w="80" w:type="dxa"/>
              <w:start w:w="120" w:type="dxa"/>
              <w:end w:w="120" w:type="dxa"/>
            </w:tcMar>
            <w:vAlign w:val="center"/>
          </w:tcPr>
          <w:p>
            <w:pPr>
              <w:jc w:val="left"/>
            </w:pPr>
            <w:r>
              <w:rPr>
                <w:sz w:val="19"/>
              </w:rPr>
              <w:t>Infrastructure Solutions Group（ISG）与 Client Solutions Group（CSG）</w:t>
            </w:r>
          </w:p>
        </w:tc>
      </w:tr>
      <w:tr>
        <w:tc>
          <w:tcPr>
            <w:tcW w:type="dxa" w:w="2600"/>
            <w:tcMar>
              <w:top w:w="80" w:type="dxa"/>
              <w:bottom w:w="80" w:type="dxa"/>
              <w:start w:w="120" w:type="dxa"/>
              <w:end w:w="120" w:type="dxa"/>
            </w:tcMar>
            <w:vAlign w:val="center"/>
          </w:tcPr>
          <w:p>
            <w:pPr>
              <w:jc w:val="center"/>
            </w:pPr>
            <w:r>
              <w:rPr>
                <w:sz w:val="19"/>
              </w:rPr>
              <w:t>最新季度</w:t>
            </w:r>
          </w:p>
        </w:tc>
        <w:tc>
          <w:tcPr>
            <w:tcW w:type="dxa" w:w="6760"/>
            <w:tcMar>
              <w:top w:w="80" w:type="dxa"/>
              <w:bottom w:w="80" w:type="dxa"/>
              <w:start w:w="120" w:type="dxa"/>
              <w:end w:w="120" w:type="dxa"/>
            </w:tcMar>
            <w:vAlign w:val="center"/>
          </w:tcPr>
          <w:p>
            <w:pPr>
              <w:jc w:val="left"/>
            </w:pPr>
            <w:r>
              <w:rPr>
                <w:sz w:val="19"/>
              </w:rPr>
              <w:t>FY2027 Q1，季度截至 2026年5月1日，公告日 2026年5月28日</w:t>
            </w:r>
          </w:p>
        </w:tc>
      </w:tr>
    </w:tbl>
    <w:p/>
    <w:p>
      <w:pPr>
        <w:pStyle w:val="Heading2"/>
      </w:pPr>
      <w:r>
        <w:t>1.2 公司定位</w:t>
      </w:r>
    </w:p>
    <w:p>
      <w:pPr>
        <w:spacing w:after="120" w:line="264" w:lineRule="auto"/>
      </w:pPr>
      <w:r>
        <w:rPr>
          <w:sz w:val="22"/>
        </w:rPr>
        <w:t>Dell 的核心价值正在从传统 PC 和企业硬件供应商，升级为“AI 工厂落地的系统集成与供应链平台”。在 AI 资本开支周期中，云厂商、主权 AI、企业和大型模型客户并不只采购 GPU，而是采购完整服务器、机柜、网络、存储、供电、散热、服务和生命周期管理能力。Dell 的优势在于规模采购、供应链组织、企业客户渠道、全球服务和工程交付。</w:t>
      </w:r>
    </w:p>
    <w:p>
      <w:pPr>
        <w:spacing w:after="120" w:line="264" w:lineRule="auto"/>
      </w:pPr>
      <w:r>
        <w:rPr>
          <w:sz w:val="22"/>
        </w:rPr>
        <w:t>与 NVIDIA 的芯片和平台控制力不同，Dell 更接近 AI 基础设施的交付层；与 Supermicro 相比，Dell 具备更强的企业客户关系、融资服务、全球支持和资产负债表承载能力；与 HPE/Lenovo 相比，Dell 当前在 AI 服务器订单和出货规模上呈现更强爆发性。</w:t>
      </w:r>
    </w:p>
    <w:tbl>
      <w:tblPr>
        <w:tblStyle w:val="TableGrid"/>
        <w:tblW w:type="dxa" w:w="9360"/>
        <w:jc w:val="center"/>
        <w:tblLook w:firstColumn="1" w:firstRow="1" w:lastColumn="0" w:lastRow="0" w:noHBand="0" w:noVBand="1" w:val="04A0"/>
        <w:tblInd w:w="120" w:type="dxa"/>
      </w:tblPr>
      <w:tblGrid>
        <w:gridCol w:w="9360"/>
      </w:tblGrid>
      <w:tr>
        <w:tc>
          <w:tcPr>
            <w:tcW w:type="dxa" w:w="9360"/>
            <w:shd w:fill="EAF4EA"/>
            <w:tcMar>
              <w:top w:w="80" w:type="dxa"/>
              <w:bottom w:w="80" w:type="dxa"/>
              <w:start w:w="120" w:type="dxa"/>
              <w:end w:w="120" w:type="dxa"/>
            </w:tcMar>
            <w:vAlign w:val="center"/>
          </w:tcPr>
          <w:p>
            <w:r>
              <w:rPr>
                <w:b/>
                <w:color w:val="1F4D78"/>
              </w:rPr>
              <w:t>核心判断：</w:t>
            </w:r>
            <w:r>
              <w:t xml:space="preserve"> Dell 已从“PC 周期股”转为“AI 服务器规模化兑现股”。但这不是无风险的 AI 概念股：AI 服务器收入高增往往伴随较低毛利率、更高库存、应收、应付和供应链金融需求，真正的投资关键是高收入增长能否转化为持续自由现金流和较高资本回报。</w:t>
            </w:r>
          </w:p>
        </w:tc>
      </w:tr>
    </w:tbl>
    <w:p/>
    <w:p>
      <w:pPr>
        <w:pStyle w:val="Heading1"/>
      </w:pPr>
      <w:r>
        <w:t>二、发展沿革与战略演进</w:t>
      </w:r>
    </w:p>
    <w:p>
      <w:pPr>
        <w:pStyle w:val="Heading2"/>
      </w:pPr>
      <w:r>
        <w:t>2.1 简要历史沿革</w:t>
      </w:r>
    </w:p>
    <w:p>
      <w:pPr>
        <w:pStyle w:val="ListBullet"/>
        <w:spacing w:after="80" w:line="280" w:lineRule="auto"/>
        <w:ind w:left="720" w:hanging="360"/>
      </w:pPr>
      <w:r>
        <w:t>1984年，Michael Dell 创立 PC 直销模式，以供应链效率和按需配置打开个人电脑市场。</w:t>
      </w:r>
    </w:p>
    <w:p>
      <w:pPr>
        <w:pStyle w:val="ListBullet"/>
        <w:spacing w:after="80" w:line="280" w:lineRule="auto"/>
        <w:ind w:left="720" w:hanging="360"/>
      </w:pPr>
      <w:r>
        <w:t>1990-2000年代，公司从 PC 扩展到服务器、存储、服务和企业 IT，形成端到端硬件组合。</w:t>
      </w:r>
    </w:p>
    <w:p>
      <w:pPr>
        <w:pStyle w:val="ListBullet"/>
        <w:spacing w:after="80" w:line="280" w:lineRule="auto"/>
        <w:ind w:left="720" w:hanging="360"/>
      </w:pPr>
      <w:r>
        <w:t>2013年，公司私有化，降低短期资本市场压力，推动企业级业务转型。</w:t>
      </w:r>
    </w:p>
    <w:p>
      <w:pPr>
        <w:pStyle w:val="ListBullet"/>
        <w:spacing w:after="80" w:line="280" w:lineRule="auto"/>
        <w:ind w:left="720" w:hanging="360"/>
      </w:pPr>
      <w:r>
        <w:t>2016年，Dell 完成 EMC 收购，获得存储、数据中心和 VMware 生态资产，构建企业 IT 基础设施底盘。</w:t>
      </w:r>
    </w:p>
    <w:p>
      <w:pPr>
        <w:pStyle w:val="ListBullet"/>
        <w:spacing w:after="80" w:line="280" w:lineRule="auto"/>
        <w:ind w:left="720" w:hanging="360"/>
      </w:pPr>
      <w:r>
        <w:t>2021年，VMware 分拆后，Dell 的投资叙事回归硬件、基础设施、服务、财务去杠杆和股东回报。</w:t>
      </w:r>
    </w:p>
    <w:p>
      <w:pPr>
        <w:pStyle w:val="ListBullet"/>
        <w:spacing w:after="80" w:line="280" w:lineRule="auto"/>
        <w:ind w:left="720" w:hanging="360"/>
      </w:pPr>
      <w:r>
        <w:t>2023-2026年，生成式 AI 服务器需求爆发，Dell 通过 AI-optimized servers、企业渠道和供应链执行成为 AI 基础设施重要受益者。</w:t>
      </w:r>
    </w:p>
    <w:p>
      <w:pPr>
        <w:pStyle w:val="Heading2"/>
      </w:pPr>
      <w:r>
        <w:t>2.2 战略演进</w:t>
      </w:r>
    </w:p>
    <w:tbl>
      <w:tblPr>
        <w:tblStyle w:val="TableGrid"/>
        <w:tblW w:type="dxa" w:w="9360"/>
        <w:jc w:val="center"/>
        <w:tblLook w:firstColumn="1" w:firstRow="1" w:lastColumn="0" w:lastRow="0" w:noHBand="0" w:noVBand="1" w:val="04A0"/>
        <w:tblInd w:w="120" w:type="dxa"/>
      </w:tblPr>
      <w:tblGrid>
        <w:gridCol w:w="1900"/>
        <w:gridCol w:w="3200"/>
        <w:gridCol w:w="4260"/>
      </w:tblGrid>
      <w:tr>
        <w:trPr>
          <w:tblHeader w:val="true"/>
        </w:trPr>
        <w:tc>
          <w:tcPr>
            <w:tcW w:type="dxa" w:w="1900"/>
            <w:shd w:fill="E8EEF5"/>
            <w:tcMar>
              <w:top w:w="80" w:type="dxa"/>
              <w:bottom w:w="80" w:type="dxa"/>
              <w:start w:w="120" w:type="dxa"/>
              <w:end w:w="120" w:type="dxa"/>
            </w:tcMar>
            <w:vAlign w:val="center"/>
          </w:tcPr>
          <w:p>
            <w:pPr>
              <w:jc w:val="center"/>
            </w:pPr>
            <w:r>
              <w:rPr>
                <w:b/>
                <w:sz w:val="19"/>
              </w:rPr>
              <w:t>阶段</w:t>
            </w:r>
          </w:p>
        </w:tc>
        <w:tc>
          <w:tcPr>
            <w:tcW w:type="dxa" w:w="3200"/>
            <w:shd w:fill="E8EEF5"/>
            <w:tcMar>
              <w:top w:w="80" w:type="dxa"/>
              <w:bottom w:w="80" w:type="dxa"/>
              <w:start w:w="120" w:type="dxa"/>
              <w:end w:w="120" w:type="dxa"/>
            </w:tcMar>
            <w:vAlign w:val="center"/>
          </w:tcPr>
          <w:p>
            <w:pPr>
              <w:jc w:val="center"/>
            </w:pPr>
            <w:r>
              <w:rPr>
                <w:b/>
                <w:sz w:val="19"/>
              </w:rPr>
              <w:t>核心战略</w:t>
            </w:r>
          </w:p>
        </w:tc>
        <w:tc>
          <w:tcPr>
            <w:tcW w:type="dxa" w:w="4260"/>
            <w:shd w:fill="E8EEF5"/>
            <w:tcMar>
              <w:top w:w="80" w:type="dxa"/>
              <w:bottom w:w="80" w:type="dxa"/>
              <w:start w:w="120" w:type="dxa"/>
              <w:end w:w="120" w:type="dxa"/>
            </w:tcMar>
            <w:vAlign w:val="center"/>
          </w:tcPr>
          <w:p>
            <w:pPr>
              <w:jc w:val="center"/>
            </w:pPr>
            <w:r>
              <w:rPr>
                <w:b/>
                <w:sz w:val="19"/>
              </w:rPr>
              <w:t>研究含义</w:t>
            </w:r>
          </w:p>
        </w:tc>
      </w:tr>
      <w:tr>
        <w:tc>
          <w:tcPr>
            <w:tcW w:type="dxa" w:w="1900"/>
            <w:tcMar>
              <w:top w:w="80" w:type="dxa"/>
              <w:bottom w:w="80" w:type="dxa"/>
              <w:start w:w="120" w:type="dxa"/>
              <w:end w:w="120" w:type="dxa"/>
            </w:tcMar>
            <w:vAlign w:val="center"/>
          </w:tcPr>
          <w:p>
            <w:pPr>
              <w:jc w:val="center"/>
            </w:pPr>
            <w:r>
              <w:rPr>
                <w:sz w:val="19"/>
              </w:rPr>
              <w:t>PC 直销阶段</w:t>
            </w:r>
          </w:p>
        </w:tc>
        <w:tc>
          <w:tcPr>
            <w:tcW w:type="dxa" w:w="3200"/>
            <w:tcMar>
              <w:top w:w="80" w:type="dxa"/>
              <w:bottom w:w="80" w:type="dxa"/>
              <w:start w:w="120" w:type="dxa"/>
              <w:end w:w="120" w:type="dxa"/>
            </w:tcMar>
            <w:vAlign w:val="center"/>
          </w:tcPr>
          <w:p>
            <w:pPr>
              <w:jc w:val="left"/>
            </w:pPr>
            <w:r>
              <w:rPr>
                <w:sz w:val="19"/>
              </w:rPr>
              <w:t>按需配置、库存周转、供应链效率</w:t>
            </w:r>
          </w:p>
        </w:tc>
        <w:tc>
          <w:tcPr>
            <w:tcW w:type="dxa" w:w="4260"/>
            <w:tcMar>
              <w:top w:w="80" w:type="dxa"/>
              <w:bottom w:w="80" w:type="dxa"/>
              <w:start w:w="120" w:type="dxa"/>
              <w:end w:w="120" w:type="dxa"/>
            </w:tcMar>
            <w:vAlign w:val="center"/>
          </w:tcPr>
          <w:p>
            <w:pPr>
              <w:jc w:val="left"/>
            </w:pPr>
            <w:r>
              <w:rPr>
                <w:sz w:val="19"/>
              </w:rPr>
              <w:t>奠定硬件规模化交付和低成本运营基因</w:t>
            </w:r>
          </w:p>
        </w:tc>
      </w:tr>
      <w:tr>
        <w:tc>
          <w:tcPr>
            <w:tcW w:type="dxa" w:w="1900"/>
            <w:tcMar>
              <w:top w:w="80" w:type="dxa"/>
              <w:bottom w:w="80" w:type="dxa"/>
              <w:start w:w="120" w:type="dxa"/>
              <w:end w:w="120" w:type="dxa"/>
            </w:tcMar>
            <w:vAlign w:val="center"/>
          </w:tcPr>
          <w:p>
            <w:pPr>
              <w:jc w:val="center"/>
            </w:pPr>
            <w:r>
              <w:rPr>
                <w:sz w:val="19"/>
              </w:rPr>
              <w:t>企业 IT 阶段</w:t>
            </w:r>
          </w:p>
        </w:tc>
        <w:tc>
          <w:tcPr>
            <w:tcW w:type="dxa" w:w="3200"/>
            <w:tcMar>
              <w:top w:w="80" w:type="dxa"/>
              <w:bottom w:w="80" w:type="dxa"/>
              <w:start w:w="120" w:type="dxa"/>
              <w:end w:w="120" w:type="dxa"/>
            </w:tcMar>
            <w:vAlign w:val="center"/>
          </w:tcPr>
          <w:p>
            <w:pPr>
              <w:jc w:val="left"/>
            </w:pPr>
            <w:r>
              <w:rPr>
                <w:sz w:val="19"/>
              </w:rPr>
              <w:t>服务器、存储、服务和融资</w:t>
            </w:r>
          </w:p>
        </w:tc>
        <w:tc>
          <w:tcPr>
            <w:tcW w:type="dxa" w:w="4260"/>
            <w:tcMar>
              <w:top w:w="80" w:type="dxa"/>
              <w:bottom w:w="80" w:type="dxa"/>
              <w:start w:w="120" w:type="dxa"/>
              <w:end w:w="120" w:type="dxa"/>
            </w:tcMar>
            <w:vAlign w:val="center"/>
          </w:tcPr>
          <w:p>
            <w:pPr>
              <w:jc w:val="left"/>
            </w:pPr>
            <w:r>
              <w:rPr>
                <w:sz w:val="19"/>
              </w:rPr>
              <w:t>从消费 PC 向企业基础设施扩张，提高客户粘性</w:t>
            </w:r>
          </w:p>
        </w:tc>
      </w:tr>
      <w:tr>
        <w:tc>
          <w:tcPr>
            <w:tcW w:type="dxa" w:w="1900"/>
            <w:tcMar>
              <w:top w:w="80" w:type="dxa"/>
              <w:bottom w:w="80" w:type="dxa"/>
              <w:start w:w="120" w:type="dxa"/>
              <w:end w:w="120" w:type="dxa"/>
            </w:tcMar>
            <w:vAlign w:val="center"/>
          </w:tcPr>
          <w:p>
            <w:pPr>
              <w:jc w:val="center"/>
            </w:pPr>
            <w:r>
              <w:rPr>
                <w:sz w:val="19"/>
              </w:rPr>
              <w:t>EMC 整合阶段</w:t>
            </w:r>
          </w:p>
        </w:tc>
        <w:tc>
          <w:tcPr>
            <w:tcW w:type="dxa" w:w="3200"/>
            <w:tcMar>
              <w:top w:w="80" w:type="dxa"/>
              <w:bottom w:w="80" w:type="dxa"/>
              <w:start w:w="120" w:type="dxa"/>
              <w:end w:w="120" w:type="dxa"/>
            </w:tcMar>
            <w:vAlign w:val="center"/>
          </w:tcPr>
          <w:p>
            <w:pPr>
              <w:jc w:val="left"/>
            </w:pPr>
            <w:r>
              <w:rPr>
                <w:sz w:val="19"/>
              </w:rPr>
              <w:t>存储、数据中心和 VMware 生态</w:t>
            </w:r>
          </w:p>
        </w:tc>
        <w:tc>
          <w:tcPr>
            <w:tcW w:type="dxa" w:w="4260"/>
            <w:tcMar>
              <w:top w:w="80" w:type="dxa"/>
              <w:bottom w:w="80" w:type="dxa"/>
              <w:start w:w="120" w:type="dxa"/>
              <w:end w:w="120" w:type="dxa"/>
            </w:tcMar>
            <w:vAlign w:val="center"/>
          </w:tcPr>
          <w:p>
            <w:pPr>
              <w:jc w:val="left"/>
            </w:pPr>
            <w:r>
              <w:rPr>
                <w:sz w:val="19"/>
              </w:rPr>
              <w:t>增强企业级资产，但也带来高债务和复杂资本结构</w:t>
            </w:r>
          </w:p>
        </w:tc>
      </w:tr>
      <w:tr>
        <w:tc>
          <w:tcPr>
            <w:tcW w:type="dxa" w:w="1900"/>
            <w:tcMar>
              <w:top w:w="80" w:type="dxa"/>
              <w:bottom w:w="80" w:type="dxa"/>
              <w:start w:w="120" w:type="dxa"/>
              <w:end w:w="120" w:type="dxa"/>
            </w:tcMar>
            <w:vAlign w:val="center"/>
          </w:tcPr>
          <w:p>
            <w:pPr>
              <w:jc w:val="center"/>
            </w:pPr>
            <w:r>
              <w:rPr>
                <w:sz w:val="19"/>
              </w:rPr>
              <w:t>去杠杆与回购阶段</w:t>
            </w:r>
          </w:p>
        </w:tc>
        <w:tc>
          <w:tcPr>
            <w:tcW w:type="dxa" w:w="3200"/>
            <w:tcMar>
              <w:top w:w="80" w:type="dxa"/>
              <w:bottom w:w="80" w:type="dxa"/>
              <w:start w:w="120" w:type="dxa"/>
              <w:end w:w="120" w:type="dxa"/>
            </w:tcMar>
            <w:vAlign w:val="center"/>
          </w:tcPr>
          <w:p>
            <w:pPr>
              <w:jc w:val="left"/>
            </w:pPr>
            <w:r>
              <w:rPr>
                <w:sz w:val="19"/>
              </w:rPr>
              <w:t>VMware 分拆、降低债务、提升股东回报</w:t>
            </w:r>
          </w:p>
        </w:tc>
        <w:tc>
          <w:tcPr>
            <w:tcW w:type="dxa" w:w="4260"/>
            <w:tcMar>
              <w:top w:w="80" w:type="dxa"/>
              <w:bottom w:w="80" w:type="dxa"/>
              <w:start w:w="120" w:type="dxa"/>
              <w:end w:w="120" w:type="dxa"/>
            </w:tcMar>
            <w:vAlign w:val="center"/>
          </w:tcPr>
          <w:p>
            <w:pPr>
              <w:jc w:val="left"/>
            </w:pPr>
            <w:r>
              <w:rPr>
                <w:sz w:val="19"/>
              </w:rPr>
              <w:t>EPS 和资本回报成为估值重估的重要驱动</w:t>
            </w:r>
          </w:p>
        </w:tc>
      </w:tr>
      <w:tr>
        <w:tc>
          <w:tcPr>
            <w:tcW w:type="dxa" w:w="1900"/>
            <w:tcMar>
              <w:top w:w="80" w:type="dxa"/>
              <w:bottom w:w="80" w:type="dxa"/>
              <w:start w:w="120" w:type="dxa"/>
              <w:end w:w="120" w:type="dxa"/>
            </w:tcMar>
            <w:vAlign w:val="center"/>
          </w:tcPr>
          <w:p>
            <w:pPr>
              <w:jc w:val="center"/>
            </w:pPr>
            <w:r>
              <w:rPr>
                <w:sz w:val="19"/>
              </w:rPr>
              <w:t>AI 工厂阶段</w:t>
            </w:r>
          </w:p>
        </w:tc>
        <w:tc>
          <w:tcPr>
            <w:tcW w:type="dxa" w:w="3200"/>
            <w:tcMar>
              <w:top w:w="80" w:type="dxa"/>
              <w:bottom w:w="80" w:type="dxa"/>
              <w:start w:w="120" w:type="dxa"/>
              <w:end w:w="120" w:type="dxa"/>
            </w:tcMar>
            <w:vAlign w:val="center"/>
          </w:tcPr>
          <w:p>
            <w:pPr>
              <w:jc w:val="left"/>
            </w:pPr>
            <w:r>
              <w:rPr>
                <w:sz w:val="19"/>
              </w:rPr>
              <w:t>AI 服务器、机柜级系统、存储和服务</w:t>
            </w:r>
          </w:p>
        </w:tc>
        <w:tc>
          <w:tcPr>
            <w:tcW w:type="dxa" w:w="4260"/>
            <w:tcMar>
              <w:top w:w="80" w:type="dxa"/>
              <w:bottom w:w="80" w:type="dxa"/>
              <w:start w:w="120" w:type="dxa"/>
              <w:end w:w="120" w:type="dxa"/>
            </w:tcMar>
            <w:vAlign w:val="center"/>
          </w:tcPr>
          <w:p>
            <w:pPr>
              <w:jc w:val="left"/>
            </w:pPr>
            <w:r>
              <w:rPr>
                <w:sz w:val="19"/>
              </w:rPr>
              <w:t>收入规模快速抬升，但毛利率和营运资本成为核心约束</w:t>
            </w:r>
          </w:p>
        </w:tc>
      </w:tr>
    </w:tbl>
    <w:p/>
    <w:p>
      <w:pPr>
        <w:pStyle w:val="Heading1"/>
      </w:pPr>
      <w:r>
        <w:t>三、业务和技术体系</w:t>
      </w:r>
    </w:p>
    <w:p>
      <w:pPr>
        <w:pStyle w:val="Heading2"/>
      </w:pPr>
      <w:r>
        <w:t>3.1 产品体系</w:t>
      </w:r>
    </w:p>
    <w:tbl>
      <w:tblPr>
        <w:tblStyle w:val="TableGrid"/>
        <w:tblW w:type="dxa" w:w="9360"/>
        <w:jc w:val="center"/>
        <w:tblLook w:firstColumn="1" w:firstRow="1" w:lastColumn="0" w:lastRow="0" w:noHBand="0" w:noVBand="1" w:val="04A0"/>
        <w:tblInd w:w="120" w:type="dxa"/>
      </w:tblPr>
      <w:tblGrid>
        <w:gridCol w:w="1900"/>
        <w:gridCol w:w="3700"/>
        <w:gridCol w:w="3760"/>
      </w:tblGrid>
      <w:tr>
        <w:trPr>
          <w:tblHeader w:val="true"/>
        </w:trPr>
        <w:tc>
          <w:tcPr>
            <w:tcW w:type="dxa" w:w="1900"/>
            <w:shd w:fill="F2F4F7"/>
            <w:tcMar>
              <w:top w:w="80" w:type="dxa"/>
              <w:bottom w:w="80" w:type="dxa"/>
              <w:start w:w="120" w:type="dxa"/>
              <w:end w:w="120" w:type="dxa"/>
            </w:tcMar>
            <w:vAlign w:val="center"/>
          </w:tcPr>
          <w:p>
            <w:pPr>
              <w:jc w:val="center"/>
            </w:pPr>
            <w:r>
              <w:rPr>
                <w:b/>
                <w:sz w:val="19"/>
              </w:rPr>
              <w:t>产品/平台</w:t>
            </w:r>
          </w:p>
        </w:tc>
        <w:tc>
          <w:tcPr>
            <w:tcW w:type="dxa" w:w="3700"/>
            <w:shd w:fill="F2F4F7"/>
            <w:tcMar>
              <w:top w:w="80" w:type="dxa"/>
              <w:bottom w:w="80" w:type="dxa"/>
              <w:start w:w="120" w:type="dxa"/>
              <w:end w:w="120" w:type="dxa"/>
            </w:tcMar>
            <w:vAlign w:val="center"/>
          </w:tcPr>
          <w:p>
            <w:pPr>
              <w:jc w:val="center"/>
            </w:pPr>
            <w:r>
              <w:rPr>
                <w:b/>
                <w:sz w:val="19"/>
              </w:rPr>
              <w:t>主要内容</w:t>
            </w:r>
          </w:p>
        </w:tc>
        <w:tc>
          <w:tcPr>
            <w:tcW w:type="dxa" w:w="3760"/>
            <w:shd w:fill="F2F4F7"/>
            <w:tcMar>
              <w:top w:w="80" w:type="dxa"/>
              <w:bottom w:w="80" w:type="dxa"/>
              <w:start w:w="120" w:type="dxa"/>
              <w:end w:w="120" w:type="dxa"/>
            </w:tcMar>
            <w:vAlign w:val="center"/>
          </w:tcPr>
          <w:p>
            <w:pPr>
              <w:jc w:val="center"/>
            </w:pPr>
            <w:r>
              <w:rPr>
                <w:b/>
                <w:sz w:val="19"/>
              </w:rPr>
              <w:t>投资含义</w:t>
            </w:r>
          </w:p>
        </w:tc>
      </w:tr>
      <w:tr>
        <w:tc>
          <w:tcPr>
            <w:tcW w:type="dxa" w:w="1900"/>
            <w:tcMar>
              <w:top w:w="80" w:type="dxa"/>
              <w:bottom w:w="80" w:type="dxa"/>
              <w:start w:w="120" w:type="dxa"/>
              <w:end w:w="120" w:type="dxa"/>
            </w:tcMar>
            <w:vAlign w:val="center"/>
          </w:tcPr>
          <w:p>
            <w:pPr>
              <w:jc w:val="center"/>
            </w:pPr>
            <w:r>
              <w:rPr>
                <w:sz w:val="19"/>
              </w:rPr>
              <w:t>AI-optimized servers</w:t>
            </w:r>
          </w:p>
        </w:tc>
        <w:tc>
          <w:tcPr>
            <w:tcW w:type="dxa" w:w="3700"/>
            <w:tcMar>
              <w:top w:w="80" w:type="dxa"/>
              <w:bottom w:w="80" w:type="dxa"/>
              <w:start w:w="120" w:type="dxa"/>
              <w:end w:w="120" w:type="dxa"/>
            </w:tcMar>
            <w:vAlign w:val="center"/>
          </w:tcPr>
          <w:p>
            <w:pPr>
              <w:jc w:val="left"/>
            </w:pPr>
            <w:r>
              <w:rPr>
                <w:sz w:val="19"/>
              </w:rPr>
              <w:t>搭载 NVIDIA/AMD 等加速器的 AI 训练与推理服务器、机柜和相关系统</w:t>
            </w:r>
          </w:p>
        </w:tc>
        <w:tc>
          <w:tcPr>
            <w:tcW w:type="dxa" w:w="3760"/>
            <w:tcMar>
              <w:top w:w="80" w:type="dxa"/>
              <w:bottom w:w="80" w:type="dxa"/>
              <w:start w:w="120" w:type="dxa"/>
              <w:end w:w="120" w:type="dxa"/>
            </w:tcMar>
            <w:vAlign w:val="center"/>
          </w:tcPr>
          <w:p>
            <w:pPr>
              <w:jc w:val="left"/>
            </w:pPr>
            <w:r>
              <w:rPr>
                <w:sz w:val="19"/>
              </w:rPr>
              <w:t>当前最大增量，FY2027 Q1 收入 161.32 亿美元，同比增长 757%</w:t>
            </w:r>
          </w:p>
        </w:tc>
      </w:tr>
      <w:tr>
        <w:tc>
          <w:tcPr>
            <w:tcW w:type="dxa" w:w="1900"/>
            <w:tcMar>
              <w:top w:w="80" w:type="dxa"/>
              <w:bottom w:w="80" w:type="dxa"/>
              <w:start w:w="120" w:type="dxa"/>
              <w:end w:w="120" w:type="dxa"/>
            </w:tcMar>
            <w:vAlign w:val="center"/>
          </w:tcPr>
          <w:p>
            <w:pPr>
              <w:jc w:val="center"/>
            </w:pPr>
            <w:r>
              <w:rPr>
                <w:sz w:val="19"/>
              </w:rPr>
              <w:t>Traditional servers and networking</w:t>
            </w:r>
          </w:p>
        </w:tc>
        <w:tc>
          <w:tcPr>
            <w:tcW w:type="dxa" w:w="3700"/>
            <w:tcMar>
              <w:top w:w="80" w:type="dxa"/>
              <w:bottom w:w="80" w:type="dxa"/>
              <w:start w:w="120" w:type="dxa"/>
              <w:end w:w="120" w:type="dxa"/>
            </w:tcMar>
            <w:vAlign w:val="center"/>
          </w:tcPr>
          <w:p>
            <w:pPr>
              <w:jc w:val="left"/>
            </w:pPr>
            <w:r>
              <w:rPr>
                <w:sz w:val="19"/>
              </w:rPr>
              <w:t>传统企业服务器、通用计算、网络和数据中心基础设施</w:t>
            </w:r>
          </w:p>
        </w:tc>
        <w:tc>
          <w:tcPr>
            <w:tcW w:type="dxa" w:w="3760"/>
            <w:tcMar>
              <w:top w:w="80" w:type="dxa"/>
              <w:bottom w:w="80" w:type="dxa"/>
              <w:start w:w="120" w:type="dxa"/>
              <w:end w:w="120" w:type="dxa"/>
            </w:tcMar>
            <w:vAlign w:val="center"/>
          </w:tcPr>
          <w:p>
            <w:pPr>
              <w:jc w:val="left"/>
            </w:pPr>
            <w:r>
              <w:rPr>
                <w:sz w:val="19"/>
              </w:rPr>
              <w:t>受 AI 拉动和企业更新共同驱动，FY2027 Q1 同比增长 92%</w:t>
            </w:r>
          </w:p>
        </w:tc>
      </w:tr>
      <w:tr>
        <w:tc>
          <w:tcPr>
            <w:tcW w:type="dxa" w:w="1900"/>
            <w:tcMar>
              <w:top w:w="80" w:type="dxa"/>
              <w:bottom w:w="80" w:type="dxa"/>
              <w:start w:w="120" w:type="dxa"/>
              <w:end w:w="120" w:type="dxa"/>
            </w:tcMar>
            <w:vAlign w:val="center"/>
          </w:tcPr>
          <w:p>
            <w:pPr>
              <w:jc w:val="center"/>
            </w:pPr>
            <w:r>
              <w:rPr>
                <w:sz w:val="19"/>
              </w:rPr>
              <w:t>Storage</w:t>
            </w:r>
          </w:p>
        </w:tc>
        <w:tc>
          <w:tcPr>
            <w:tcW w:type="dxa" w:w="3700"/>
            <w:tcMar>
              <w:top w:w="80" w:type="dxa"/>
              <w:bottom w:w="80" w:type="dxa"/>
              <w:start w:w="120" w:type="dxa"/>
              <w:end w:w="120" w:type="dxa"/>
            </w:tcMar>
            <w:vAlign w:val="center"/>
          </w:tcPr>
          <w:p>
            <w:pPr>
              <w:jc w:val="left"/>
            </w:pPr>
            <w:r>
              <w:rPr>
                <w:sz w:val="19"/>
              </w:rPr>
              <w:t>PowerScale、PowerStore、PowerMax、ObjectScale 等企业存储</w:t>
            </w:r>
          </w:p>
        </w:tc>
        <w:tc>
          <w:tcPr>
            <w:tcW w:type="dxa" w:w="3760"/>
            <w:tcMar>
              <w:top w:w="80" w:type="dxa"/>
              <w:bottom w:w="80" w:type="dxa"/>
              <w:start w:w="120" w:type="dxa"/>
              <w:end w:w="120" w:type="dxa"/>
            </w:tcMar>
            <w:vAlign w:val="center"/>
          </w:tcPr>
          <w:p>
            <w:pPr>
              <w:jc w:val="left"/>
            </w:pPr>
            <w:r>
              <w:rPr>
                <w:sz w:val="19"/>
              </w:rPr>
              <w:t>毛利和粘性通常好于服务器，是 AI 数据管线的重要配套</w:t>
            </w:r>
          </w:p>
        </w:tc>
      </w:tr>
      <w:tr>
        <w:tc>
          <w:tcPr>
            <w:tcW w:type="dxa" w:w="1900"/>
            <w:tcMar>
              <w:top w:w="80" w:type="dxa"/>
              <w:bottom w:w="80" w:type="dxa"/>
              <w:start w:w="120" w:type="dxa"/>
              <w:end w:w="120" w:type="dxa"/>
            </w:tcMar>
            <w:vAlign w:val="center"/>
          </w:tcPr>
          <w:p>
            <w:pPr>
              <w:jc w:val="center"/>
            </w:pPr>
            <w:r>
              <w:rPr>
                <w:sz w:val="19"/>
              </w:rPr>
              <w:t>Commercial Client</w:t>
            </w:r>
          </w:p>
        </w:tc>
        <w:tc>
          <w:tcPr>
            <w:tcW w:type="dxa" w:w="3700"/>
            <w:tcMar>
              <w:top w:w="80" w:type="dxa"/>
              <w:bottom w:w="80" w:type="dxa"/>
              <w:start w:w="120" w:type="dxa"/>
              <w:end w:w="120" w:type="dxa"/>
            </w:tcMar>
            <w:vAlign w:val="center"/>
          </w:tcPr>
          <w:p>
            <w:pPr>
              <w:jc w:val="left"/>
            </w:pPr>
            <w:r>
              <w:rPr>
                <w:sz w:val="19"/>
              </w:rPr>
              <w:t>商用 PC、工作站、终端管理和企业设备</w:t>
            </w:r>
          </w:p>
        </w:tc>
        <w:tc>
          <w:tcPr>
            <w:tcW w:type="dxa" w:w="3760"/>
            <w:tcMar>
              <w:top w:w="80" w:type="dxa"/>
              <w:bottom w:w="80" w:type="dxa"/>
              <w:start w:w="120" w:type="dxa"/>
              <w:end w:w="120" w:type="dxa"/>
            </w:tcMar>
            <w:vAlign w:val="center"/>
          </w:tcPr>
          <w:p>
            <w:pPr>
              <w:jc w:val="left"/>
            </w:pPr>
            <w:r>
              <w:rPr>
                <w:sz w:val="19"/>
              </w:rPr>
              <w:t>CSG 核心利润池，FY2027 Q1 收入 130.20 亿美元，同比增长 18%</w:t>
            </w:r>
          </w:p>
        </w:tc>
      </w:tr>
      <w:tr>
        <w:tc>
          <w:tcPr>
            <w:tcW w:type="dxa" w:w="1900"/>
            <w:tcMar>
              <w:top w:w="80" w:type="dxa"/>
              <w:bottom w:w="80" w:type="dxa"/>
              <w:start w:w="120" w:type="dxa"/>
              <w:end w:w="120" w:type="dxa"/>
            </w:tcMar>
            <w:vAlign w:val="center"/>
          </w:tcPr>
          <w:p>
            <w:pPr>
              <w:jc w:val="center"/>
            </w:pPr>
            <w:r>
              <w:rPr>
                <w:sz w:val="19"/>
              </w:rPr>
              <w:t>Consumer Client</w:t>
            </w:r>
          </w:p>
        </w:tc>
        <w:tc>
          <w:tcPr>
            <w:tcW w:type="dxa" w:w="3700"/>
            <w:tcMar>
              <w:top w:w="80" w:type="dxa"/>
              <w:bottom w:w="80" w:type="dxa"/>
              <w:start w:w="120" w:type="dxa"/>
              <w:end w:w="120" w:type="dxa"/>
            </w:tcMar>
            <w:vAlign w:val="center"/>
          </w:tcPr>
          <w:p>
            <w:pPr>
              <w:jc w:val="left"/>
            </w:pPr>
            <w:r>
              <w:rPr>
                <w:sz w:val="19"/>
              </w:rPr>
              <w:t>消费 PC、外设和相关设备</w:t>
            </w:r>
          </w:p>
        </w:tc>
        <w:tc>
          <w:tcPr>
            <w:tcW w:type="dxa" w:w="3760"/>
            <w:tcMar>
              <w:top w:w="80" w:type="dxa"/>
              <w:bottom w:w="80" w:type="dxa"/>
              <w:start w:w="120" w:type="dxa"/>
              <w:end w:w="120" w:type="dxa"/>
            </w:tcMar>
            <w:vAlign w:val="center"/>
          </w:tcPr>
          <w:p>
            <w:pPr>
              <w:jc w:val="left"/>
            </w:pPr>
            <w:r>
              <w:rPr>
                <w:sz w:val="19"/>
              </w:rPr>
              <w:t>规模较小、波动较大，不是当前主要估值锚</w:t>
            </w:r>
          </w:p>
        </w:tc>
      </w:tr>
      <w:tr>
        <w:tc>
          <w:tcPr>
            <w:tcW w:type="dxa" w:w="1900"/>
            <w:tcMar>
              <w:top w:w="80" w:type="dxa"/>
              <w:bottom w:w="80" w:type="dxa"/>
              <w:start w:w="120" w:type="dxa"/>
              <w:end w:w="120" w:type="dxa"/>
            </w:tcMar>
            <w:vAlign w:val="center"/>
          </w:tcPr>
          <w:p>
            <w:pPr>
              <w:jc w:val="center"/>
            </w:pPr>
            <w:r>
              <w:rPr>
                <w:sz w:val="19"/>
              </w:rPr>
              <w:t>Services / Support / DFS</w:t>
            </w:r>
          </w:p>
        </w:tc>
        <w:tc>
          <w:tcPr>
            <w:tcW w:type="dxa" w:w="3700"/>
            <w:tcMar>
              <w:top w:w="80" w:type="dxa"/>
              <w:bottom w:w="80" w:type="dxa"/>
              <w:start w:w="120" w:type="dxa"/>
              <w:end w:w="120" w:type="dxa"/>
            </w:tcMar>
            <w:vAlign w:val="center"/>
          </w:tcPr>
          <w:p>
            <w:pPr>
              <w:jc w:val="left"/>
            </w:pPr>
            <w:r>
              <w:rPr>
                <w:sz w:val="19"/>
              </w:rPr>
              <w:t>支持服务、保修、部署、生命周期管理和 Dell Financial Services</w:t>
            </w:r>
          </w:p>
        </w:tc>
        <w:tc>
          <w:tcPr>
            <w:tcW w:type="dxa" w:w="3760"/>
            <w:tcMar>
              <w:top w:w="80" w:type="dxa"/>
              <w:bottom w:w="80" w:type="dxa"/>
              <w:start w:w="120" w:type="dxa"/>
              <w:end w:w="120" w:type="dxa"/>
            </w:tcMar>
            <w:vAlign w:val="center"/>
          </w:tcPr>
          <w:p>
            <w:pPr>
              <w:jc w:val="left"/>
            </w:pPr>
            <w:r>
              <w:rPr>
                <w:sz w:val="19"/>
              </w:rPr>
              <w:t>增强客户粘性和现金流，但也带来融资资产、信用和资本占用</w:t>
            </w:r>
          </w:p>
        </w:tc>
      </w:tr>
    </w:tbl>
    <w:p/>
    <w:p>
      <w:pPr>
        <w:pStyle w:val="Heading2"/>
      </w:pPr>
      <w:r>
        <w:t>3.2 AI 基础设施能力</w:t>
      </w:r>
    </w:p>
    <w:p>
      <w:pPr>
        <w:spacing w:after="120" w:line="264" w:lineRule="auto"/>
      </w:pPr>
      <w:r>
        <w:rPr>
          <w:sz w:val="22"/>
        </w:rPr>
        <w:t>AI 服务器不是简单把 GPU 插进服务器。客户需要 GPU/CPU/内存/网络/存储/电源/液冷/机柜/软件/服务协同，且交付需要供应链采购、验证、装配、测试、全球部署和售后能力。Dell 的差异化在于以工程和供应链方式把上游 GPU 与下游企业需求连接起来。</w:t>
      </w:r>
    </w:p>
    <w:p>
      <w:pPr>
        <w:spacing w:after="120" w:line="264" w:lineRule="auto"/>
      </w:pPr>
      <w:r>
        <w:rPr>
          <w:sz w:val="22"/>
        </w:rPr>
        <w:t>在 AI Agent 生态中，Dell 不是模型公司，也不是 GPU 龙头，而是企业和云客户建设 AI 工厂时的“总装、集成和交付层”。当推理负载进入企业私有数据、主权 AI 和行业场景时，Dell 的企业客户覆盖、存储和服务能力有望提高其在 AI 基础设施预算中的份额。</w:t>
      </w:r>
    </w:p>
    <w:p>
      <w:pPr>
        <w:pStyle w:val="Heading2"/>
      </w:pPr>
      <w:r>
        <w:t>3.3 技术与运营护城河</w:t>
      </w:r>
    </w:p>
    <w:p>
      <w:pPr>
        <w:pStyle w:val="ListBullet"/>
        <w:spacing w:after="80" w:line="280" w:lineRule="auto"/>
        <w:ind w:left="720" w:hanging="360"/>
      </w:pPr>
      <w:r>
        <w:t>供应链规模：Dell 能够组织 GPU、CPU、内存、SSD、网络、电源、散热和机柜供应，承接大额 AI 订单。</w:t>
      </w:r>
    </w:p>
    <w:p>
      <w:pPr>
        <w:pStyle w:val="ListBullet"/>
        <w:spacing w:after="80" w:line="280" w:lineRule="auto"/>
        <w:ind w:left="720" w:hanging="360"/>
      </w:pPr>
      <w:r>
        <w:t>企业客户关系：大型企业和政府客户通常重视可验证交付、保修、全球服务和融资，而不仅是最低硬件价格。</w:t>
      </w:r>
    </w:p>
    <w:p>
      <w:pPr>
        <w:pStyle w:val="ListBullet"/>
        <w:spacing w:after="80" w:line="280" w:lineRule="auto"/>
        <w:ind w:left="720" w:hanging="360"/>
      </w:pPr>
      <w:r>
        <w:t>存储和数据管理：AI 训练和推理需要高吞吐数据管线，Dell 的存储组合为服务器收入提供配套机会。</w:t>
      </w:r>
    </w:p>
    <w:p>
      <w:pPr>
        <w:pStyle w:val="ListBullet"/>
        <w:spacing w:after="80" w:line="280" w:lineRule="auto"/>
        <w:ind w:left="720" w:hanging="360"/>
      </w:pPr>
      <w:r>
        <w:t>渠道和服务：直销、合作伙伴和服务团队让 Dell 能覆盖从云厂商到企业端的多层客户。</w:t>
      </w:r>
    </w:p>
    <w:p>
      <w:pPr>
        <w:pStyle w:val="ListBullet"/>
        <w:spacing w:after="80" w:line="280" w:lineRule="auto"/>
        <w:ind w:left="720" w:hanging="360"/>
      </w:pPr>
      <w:r>
        <w:t>融资与生命周期管理：DFS 和 APEX 等模式有助于客户平滑资本开支，但也会增加 Dell 的资产负债表复杂度。</w:t>
      </w:r>
    </w:p>
    <w:p>
      <w:pPr>
        <w:pStyle w:val="Heading1"/>
      </w:pPr>
      <w:r>
        <w:t>四、AI 服务器生态链与商业模式</w:t>
      </w:r>
    </w:p>
    <w:p>
      <w:pPr>
        <w:pStyle w:val="Heading2"/>
      </w:pPr>
      <w:r>
        <w:t>4.1 产业链映射</w:t>
      </w:r>
    </w:p>
    <w:tbl>
      <w:tblPr>
        <w:tblStyle w:val="TableGrid"/>
        <w:tblW w:type="dxa" w:w="9360"/>
        <w:jc w:val="center"/>
        <w:tblLook w:firstColumn="1" w:firstRow="1" w:lastColumn="0" w:lastRow="0" w:noHBand="0" w:noVBand="1" w:val="04A0"/>
        <w:tblInd w:w="120" w:type="dxa"/>
      </w:tblPr>
      <w:tblGrid>
        <w:gridCol w:w="1600"/>
        <w:gridCol w:w="2600"/>
        <w:gridCol w:w="3200"/>
        <w:gridCol w:w="1960"/>
      </w:tblGrid>
      <w:tr>
        <w:trPr>
          <w:tblHeader w:val="true"/>
        </w:trPr>
        <w:tc>
          <w:tcPr>
            <w:tcW w:type="dxa" w:w="1600"/>
            <w:shd w:fill="E8EEF5"/>
            <w:tcMar>
              <w:top w:w="80" w:type="dxa"/>
              <w:bottom w:w="80" w:type="dxa"/>
              <w:start w:w="120" w:type="dxa"/>
              <w:end w:w="120" w:type="dxa"/>
            </w:tcMar>
            <w:vAlign w:val="center"/>
          </w:tcPr>
          <w:p>
            <w:pPr>
              <w:jc w:val="center"/>
            </w:pPr>
            <w:r>
              <w:rPr>
                <w:b/>
                <w:sz w:val="19"/>
              </w:rPr>
              <w:t>生态环节</w:t>
            </w:r>
          </w:p>
        </w:tc>
        <w:tc>
          <w:tcPr>
            <w:tcW w:type="dxa" w:w="2600"/>
            <w:shd w:fill="E8EEF5"/>
            <w:tcMar>
              <w:top w:w="80" w:type="dxa"/>
              <w:bottom w:w="80" w:type="dxa"/>
              <w:start w:w="120" w:type="dxa"/>
              <w:end w:w="120" w:type="dxa"/>
            </w:tcMar>
            <w:vAlign w:val="center"/>
          </w:tcPr>
          <w:p>
            <w:pPr>
              <w:jc w:val="center"/>
            </w:pPr>
            <w:r>
              <w:rPr>
                <w:b/>
                <w:sz w:val="19"/>
              </w:rPr>
              <w:t>Dell 卡位</w:t>
            </w:r>
          </w:p>
        </w:tc>
        <w:tc>
          <w:tcPr>
            <w:tcW w:type="dxa" w:w="3200"/>
            <w:shd w:fill="E8EEF5"/>
            <w:tcMar>
              <w:top w:w="80" w:type="dxa"/>
              <w:bottom w:w="80" w:type="dxa"/>
              <w:start w:w="120" w:type="dxa"/>
              <w:end w:w="120" w:type="dxa"/>
            </w:tcMar>
            <w:vAlign w:val="center"/>
          </w:tcPr>
          <w:p>
            <w:pPr>
              <w:jc w:val="center"/>
            </w:pPr>
            <w:r>
              <w:rPr>
                <w:b/>
                <w:sz w:val="19"/>
              </w:rPr>
              <w:t>受益逻辑</w:t>
            </w:r>
          </w:p>
        </w:tc>
        <w:tc>
          <w:tcPr>
            <w:tcW w:type="dxa" w:w="1960"/>
            <w:shd w:fill="E8EEF5"/>
            <w:tcMar>
              <w:top w:w="80" w:type="dxa"/>
              <w:bottom w:w="80" w:type="dxa"/>
              <w:start w:w="120" w:type="dxa"/>
              <w:end w:w="120" w:type="dxa"/>
            </w:tcMar>
            <w:vAlign w:val="center"/>
          </w:tcPr>
          <w:p>
            <w:pPr>
              <w:jc w:val="center"/>
            </w:pPr>
            <w:r>
              <w:rPr>
                <w:b/>
                <w:sz w:val="19"/>
              </w:rPr>
              <w:t>主要约束</w:t>
            </w:r>
          </w:p>
        </w:tc>
      </w:tr>
      <w:tr>
        <w:tc>
          <w:tcPr>
            <w:tcW w:type="dxa" w:w="1600"/>
            <w:tcMar>
              <w:top w:w="80" w:type="dxa"/>
              <w:bottom w:w="80" w:type="dxa"/>
              <w:start w:w="120" w:type="dxa"/>
              <w:end w:w="120" w:type="dxa"/>
            </w:tcMar>
            <w:vAlign w:val="center"/>
          </w:tcPr>
          <w:p>
            <w:pPr>
              <w:jc w:val="center"/>
            </w:pPr>
            <w:r>
              <w:rPr>
                <w:sz w:val="19"/>
              </w:rPr>
              <w:t>GPU/加速器供给</w:t>
            </w:r>
          </w:p>
        </w:tc>
        <w:tc>
          <w:tcPr>
            <w:tcW w:type="dxa" w:w="2600"/>
            <w:tcMar>
              <w:top w:w="80" w:type="dxa"/>
              <w:bottom w:w="80" w:type="dxa"/>
              <w:start w:w="120" w:type="dxa"/>
              <w:end w:w="120" w:type="dxa"/>
            </w:tcMar>
            <w:vAlign w:val="center"/>
          </w:tcPr>
          <w:p>
            <w:pPr>
              <w:jc w:val="left"/>
            </w:pPr>
            <w:r>
              <w:rPr>
                <w:sz w:val="19"/>
              </w:rPr>
              <w:t>与 NVIDIA、AMD 等上游平台协同</w:t>
            </w:r>
          </w:p>
        </w:tc>
        <w:tc>
          <w:tcPr>
            <w:tcW w:type="dxa" w:w="3200"/>
            <w:tcMar>
              <w:top w:w="80" w:type="dxa"/>
              <w:bottom w:w="80" w:type="dxa"/>
              <w:start w:w="120" w:type="dxa"/>
              <w:end w:w="120" w:type="dxa"/>
            </w:tcMar>
            <w:vAlign w:val="center"/>
          </w:tcPr>
          <w:p>
            <w:pPr>
              <w:jc w:val="left"/>
            </w:pPr>
            <w:r>
              <w:rPr>
                <w:sz w:val="19"/>
              </w:rPr>
              <w:t>GPU 供给释放带动 AI 服务器出货</w:t>
            </w:r>
          </w:p>
        </w:tc>
        <w:tc>
          <w:tcPr>
            <w:tcW w:type="dxa" w:w="1960"/>
            <w:tcMar>
              <w:top w:w="80" w:type="dxa"/>
              <w:bottom w:w="80" w:type="dxa"/>
              <w:start w:w="120" w:type="dxa"/>
              <w:end w:w="120" w:type="dxa"/>
            </w:tcMar>
            <w:vAlign w:val="center"/>
          </w:tcPr>
          <w:p>
            <w:pPr>
              <w:jc w:val="left"/>
            </w:pPr>
            <w:r>
              <w:rPr>
                <w:sz w:val="19"/>
              </w:rPr>
              <w:t>议价权主要在芯片平台方，硬件毛利率受压</w:t>
            </w:r>
          </w:p>
        </w:tc>
      </w:tr>
      <w:tr>
        <w:tc>
          <w:tcPr>
            <w:tcW w:type="dxa" w:w="1600"/>
            <w:tcMar>
              <w:top w:w="80" w:type="dxa"/>
              <w:bottom w:w="80" w:type="dxa"/>
              <w:start w:w="120" w:type="dxa"/>
              <w:end w:w="120" w:type="dxa"/>
            </w:tcMar>
            <w:vAlign w:val="center"/>
          </w:tcPr>
          <w:p>
            <w:pPr>
              <w:jc w:val="center"/>
            </w:pPr>
            <w:r>
              <w:rPr>
                <w:sz w:val="19"/>
              </w:rPr>
              <w:t>服务器与机柜</w:t>
            </w:r>
          </w:p>
        </w:tc>
        <w:tc>
          <w:tcPr>
            <w:tcW w:type="dxa" w:w="2600"/>
            <w:tcMar>
              <w:top w:w="80" w:type="dxa"/>
              <w:bottom w:w="80" w:type="dxa"/>
              <w:start w:w="120" w:type="dxa"/>
              <w:end w:w="120" w:type="dxa"/>
            </w:tcMar>
            <w:vAlign w:val="center"/>
          </w:tcPr>
          <w:p>
            <w:pPr>
              <w:jc w:val="left"/>
            </w:pPr>
            <w:r>
              <w:rPr>
                <w:sz w:val="19"/>
              </w:rPr>
              <w:t>PowerEdge AI servers、机柜级集成、液冷/电源/网络</w:t>
            </w:r>
          </w:p>
        </w:tc>
        <w:tc>
          <w:tcPr>
            <w:tcW w:type="dxa" w:w="3200"/>
            <w:tcMar>
              <w:top w:w="80" w:type="dxa"/>
              <w:bottom w:w="80" w:type="dxa"/>
              <w:start w:w="120" w:type="dxa"/>
              <w:end w:w="120" w:type="dxa"/>
            </w:tcMar>
            <w:vAlign w:val="center"/>
          </w:tcPr>
          <w:p>
            <w:pPr>
              <w:jc w:val="left"/>
            </w:pPr>
            <w:r>
              <w:rPr>
                <w:sz w:val="19"/>
              </w:rPr>
              <w:t>客户需要可交付的整套系统，而非单颗芯片</w:t>
            </w:r>
          </w:p>
        </w:tc>
        <w:tc>
          <w:tcPr>
            <w:tcW w:type="dxa" w:w="1960"/>
            <w:tcMar>
              <w:top w:w="80" w:type="dxa"/>
              <w:bottom w:w="80" w:type="dxa"/>
              <w:start w:w="120" w:type="dxa"/>
              <w:end w:w="120" w:type="dxa"/>
            </w:tcMar>
            <w:vAlign w:val="center"/>
          </w:tcPr>
          <w:p>
            <w:pPr>
              <w:jc w:val="left"/>
            </w:pPr>
            <w:r>
              <w:rPr>
                <w:sz w:val="19"/>
              </w:rPr>
              <w:t>交付速度、质量和供应链周转决定现金流</w:t>
            </w:r>
          </w:p>
        </w:tc>
      </w:tr>
      <w:tr>
        <w:tc>
          <w:tcPr>
            <w:tcW w:type="dxa" w:w="1600"/>
            <w:tcMar>
              <w:top w:w="80" w:type="dxa"/>
              <w:bottom w:w="80" w:type="dxa"/>
              <w:start w:w="120" w:type="dxa"/>
              <w:end w:w="120" w:type="dxa"/>
            </w:tcMar>
            <w:vAlign w:val="center"/>
          </w:tcPr>
          <w:p>
            <w:pPr>
              <w:jc w:val="center"/>
            </w:pPr>
            <w:r>
              <w:rPr>
                <w:sz w:val="19"/>
              </w:rPr>
              <w:t>存储与数据管线</w:t>
            </w:r>
          </w:p>
        </w:tc>
        <w:tc>
          <w:tcPr>
            <w:tcW w:type="dxa" w:w="2600"/>
            <w:tcMar>
              <w:top w:w="80" w:type="dxa"/>
              <w:bottom w:w="80" w:type="dxa"/>
              <w:start w:w="120" w:type="dxa"/>
              <w:end w:w="120" w:type="dxa"/>
            </w:tcMar>
            <w:vAlign w:val="center"/>
          </w:tcPr>
          <w:p>
            <w:pPr>
              <w:jc w:val="left"/>
            </w:pPr>
            <w:r>
              <w:rPr>
                <w:sz w:val="19"/>
              </w:rPr>
              <w:t>PowerScale、PowerStore、对象存储和数据服务</w:t>
            </w:r>
          </w:p>
        </w:tc>
        <w:tc>
          <w:tcPr>
            <w:tcW w:type="dxa" w:w="3200"/>
            <w:tcMar>
              <w:top w:w="80" w:type="dxa"/>
              <w:bottom w:w="80" w:type="dxa"/>
              <w:start w:w="120" w:type="dxa"/>
              <w:end w:w="120" w:type="dxa"/>
            </w:tcMar>
            <w:vAlign w:val="center"/>
          </w:tcPr>
          <w:p>
            <w:pPr>
              <w:jc w:val="left"/>
            </w:pPr>
            <w:r>
              <w:rPr>
                <w:sz w:val="19"/>
              </w:rPr>
              <w:t>AI 工作负载需要海量数据读取、训练集管理和推理数据闭环</w:t>
            </w:r>
          </w:p>
        </w:tc>
        <w:tc>
          <w:tcPr>
            <w:tcW w:type="dxa" w:w="1960"/>
            <w:tcMar>
              <w:top w:w="80" w:type="dxa"/>
              <w:bottom w:w="80" w:type="dxa"/>
              <w:start w:w="120" w:type="dxa"/>
              <w:end w:w="120" w:type="dxa"/>
            </w:tcMar>
            <w:vAlign w:val="center"/>
          </w:tcPr>
          <w:p>
            <w:pPr>
              <w:jc w:val="left"/>
            </w:pPr>
            <w:r>
              <w:rPr>
                <w:sz w:val="19"/>
              </w:rPr>
              <w:t>存储增长若弱于服务器，会拖累整体利润质量</w:t>
            </w:r>
          </w:p>
        </w:tc>
      </w:tr>
      <w:tr>
        <w:tc>
          <w:tcPr>
            <w:tcW w:type="dxa" w:w="1600"/>
            <w:tcMar>
              <w:top w:w="80" w:type="dxa"/>
              <w:bottom w:w="80" w:type="dxa"/>
              <w:start w:w="120" w:type="dxa"/>
              <w:end w:w="120" w:type="dxa"/>
            </w:tcMar>
            <w:vAlign w:val="center"/>
          </w:tcPr>
          <w:p>
            <w:pPr>
              <w:jc w:val="center"/>
            </w:pPr>
            <w:r>
              <w:rPr>
                <w:sz w:val="19"/>
              </w:rPr>
              <w:t>企业部署服务</w:t>
            </w:r>
          </w:p>
        </w:tc>
        <w:tc>
          <w:tcPr>
            <w:tcW w:type="dxa" w:w="2600"/>
            <w:tcMar>
              <w:top w:w="80" w:type="dxa"/>
              <w:bottom w:w="80" w:type="dxa"/>
              <w:start w:w="120" w:type="dxa"/>
              <w:end w:w="120" w:type="dxa"/>
            </w:tcMar>
            <w:vAlign w:val="center"/>
          </w:tcPr>
          <w:p>
            <w:pPr>
              <w:jc w:val="left"/>
            </w:pPr>
            <w:r>
              <w:rPr>
                <w:sz w:val="19"/>
              </w:rPr>
              <w:t>咨询、部署、保修、支持和生命周期管理</w:t>
            </w:r>
          </w:p>
        </w:tc>
        <w:tc>
          <w:tcPr>
            <w:tcW w:type="dxa" w:w="3200"/>
            <w:tcMar>
              <w:top w:w="80" w:type="dxa"/>
              <w:bottom w:w="80" w:type="dxa"/>
              <w:start w:w="120" w:type="dxa"/>
              <w:end w:w="120" w:type="dxa"/>
            </w:tcMar>
            <w:vAlign w:val="center"/>
          </w:tcPr>
          <w:p>
            <w:pPr>
              <w:jc w:val="left"/>
            </w:pPr>
            <w:r>
              <w:rPr>
                <w:sz w:val="19"/>
              </w:rPr>
              <w:t>提升客户粘性和经常性服务收入</w:t>
            </w:r>
          </w:p>
        </w:tc>
        <w:tc>
          <w:tcPr>
            <w:tcW w:type="dxa" w:w="1960"/>
            <w:tcMar>
              <w:top w:w="80" w:type="dxa"/>
              <w:bottom w:w="80" w:type="dxa"/>
              <w:start w:w="120" w:type="dxa"/>
              <w:end w:w="120" w:type="dxa"/>
            </w:tcMar>
            <w:vAlign w:val="center"/>
          </w:tcPr>
          <w:p>
            <w:pPr>
              <w:jc w:val="left"/>
            </w:pPr>
            <w:r>
              <w:rPr>
                <w:sz w:val="19"/>
              </w:rPr>
              <w:t>服务能力需要随 AI 规模同步扩张</w:t>
            </w:r>
          </w:p>
        </w:tc>
      </w:tr>
      <w:tr>
        <w:tc>
          <w:tcPr>
            <w:tcW w:type="dxa" w:w="1600"/>
            <w:tcMar>
              <w:top w:w="80" w:type="dxa"/>
              <w:bottom w:w="80" w:type="dxa"/>
              <w:start w:w="120" w:type="dxa"/>
              <w:end w:w="120" w:type="dxa"/>
            </w:tcMar>
            <w:vAlign w:val="center"/>
          </w:tcPr>
          <w:p>
            <w:pPr>
              <w:jc w:val="center"/>
            </w:pPr>
            <w:r>
              <w:rPr>
                <w:sz w:val="19"/>
              </w:rPr>
              <w:t>融资与消费模式</w:t>
            </w:r>
          </w:p>
        </w:tc>
        <w:tc>
          <w:tcPr>
            <w:tcW w:type="dxa" w:w="2600"/>
            <w:tcMar>
              <w:top w:w="80" w:type="dxa"/>
              <w:bottom w:w="80" w:type="dxa"/>
              <w:start w:w="120" w:type="dxa"/>
              <w:end w:w="120" w:type="dxa"/>
            </w:tcMar>
            <w:vAlign w:val="center"/>
          </w:tcPr>
          <w:p>
            <w:pPr>
              <w:jc w:val="left"/>
            </w:pPr>
            <w:r>
              <w:rPr>
                <w:sz w:val="19"/>
              </w:rPr>
              <w:t>DFS、APEX、租赁和灵活消费</w:t>
            </w:r>
          </w:p>
        </w:tc>
        <w:tc>
          <w:tcPr>
            <w:tcW w:type="dxa" w:w="3200"/>
            <w:tcMar>
              <w:top w:w="80" w:type="dxa"/>
              <w:bottom w:w="80" w:type="dxa"/>
              <w:start w:w="120" w:type="dxa"/>
              <w:end w:w="120" w:type="dxa"/>
            </w:tcMar>
            <w:vAlign w:val="center"/>
          </w:tcPr>
          <w:p>
            <w:pPr>
              <w:jc w:val="left"/>
            </w:pPr>
            <w:r>
              <w:rPr>
                <w:sz w:val="19"/>
              </w:rPr>
              <w:t>帮助客户消化高额 AI 资本开支</w:t>
            </w:r>
          </w:p>
        </w:tc>
        <w:tc>
          <w:tcPr>
            <w:tcW w:type="dxa" w:w="1960"/>
            <w:tcMar>
              <w:top w:w="80" w:type="dxa"/>
              <w:bottom w:w="80" w:type="dxa"/>
              <w:start w:w="120" w:type="dxa"/>
              <w:end w:w="120" w:type="dxa"/>
            </w:tcMar>
            <w:vAlign w:val="center"/>
          </w:tcPr>
          <w:p>
            <w:pPr>
              <w:jc w:val="left"/>
            </w:pPr>
            <w:r>
              <w:rPr>
                <w:sz w:val="19"/>
              </w:rPr>
              <w:t>形成融资资产和信用风险，拉长现金回收周期</w:t>
            </w:r>
          </w:p>
        </w:tc>
      </w:tr>
    </w:tbl>
    <w:p/>
    <w:p>
      <w:pPr>
        <w:pStyle w:val="Heading2"/>
      </w:pPr>
      <w:r>
        <w:t>4.2 商业模式详解</w:t>
      </w:r>
    </w:p>
    <w:p>
      <w:pPr>
        <w:spacing w:after="120" w:line="264" w:lineRule="auto"/>
      </w:pPr>
      <w:r>
        <w:rPr>
          <w:sz w:val="22"/>
        </w:rPr>
        <w:t>Dell 的商业模式由三层组成：第一层是硬件销售，主要包括 AI 服务器、传统服务器、存储和 PC；第二层是服务和支持，包括部署、保修、维护、生命周期管理和企业客户服务；第三层是融资与消费模式，包括 Dell Financial Services 和 APEX。AI 周期强化了第一层收入弹性，但要提高估值质量，必须带动第二层服务和第三层长期客户关系。</w:t>
      </w:r>
    </w:p>
    <w:p>
      <w:pPr>
        <w:spacing w:after="120" w:line="264" w:lineRule="auto"/>
      </w:pPr>
      <w:r>
        <w:rPr>
          <w:sz w:val="22"/>
        </w:rPr>
        <w:t>AI 服务器业务的特点是订单额巨大、收入确认快、供应链资金占用高、毛利率相对低。Dell 通过规模、采购、工程、库存和应付账款管理赚取系统集成利润；但如果客户集中、GPU 供应变化或价格竞争加剧，收入高增并不必然等于利润率高增。</w:t>
      </w:r>
    </w:p>
    <w:tbl>
      <w:tblPr>
        <w:tblStyle w:val="TableGrid"/>
        <w:tblW w:type="dxa" w:w="9360"/>
        <w:jc w:val="center"/>
        <w:tblLook w:firstColumn="1" w:firstRow="1" w:lastColumn="0" w:lastRow="0" w:noHBand="0" w:noVBand="1" w:val="04A0"/>
        <w:tblInd w:w="120" w:type="dxa"/>
      </w:tblPr>
      <w:tblGrid>
        <w:gridCol w:w="1800"/>
        <w:gridCol w:w="3800"/>
        <w:gridCol w:w="3760"/>
      </w:tblGrid>
      <w:tr>
        <w:trPr>
          <w:tblHeader w:val="true"/>
        </w:trPr>
        <w:tc>
          <w:tcPr>
            <w:tcW w:type="dxa" w:w="1800"/>
            <w:shd w:fill="F2F4F7"/>
            <w:tcMar>
              <w:top w:w="80" w:type="dxa"/>
              <w:bottom w:w="80" w:type="dxa"/>
              <w:start w:w="120" w:type="dxa"/>
              <w:end w:w="120" w:type="dxa"/>
            </w:tcMar>
            <w:vAlign w:val="center"/>
          </w:tcPr>
          <w:p>
            <w:pPr>
              <w:jc w:val="center"/>
            </w:pPr>
            <w:r>
              <w:rPr>
                <w:b/>
                <w:sz w:val="19"/>
              </w:rPr>
              <w:t>收入池</w:t>
            </w:r>
          </w:p>
        </w:tc>
        <w:tc>
          <w:tcPr>
            <w:tcW w:type="dxa" w:w="3800"/>
            <w:shd w:fill="F2F4F7"/>
            <w:tcMar>
              <w:top w:w="80" w:type="dxa"/>
              <w:bottom w:w="80" w:type="dxa"/>
              <w:start w:w="120" w:type="dxa"/>
              <w:end w:w="120" w:type="dxa"/>
            </w:tcMar>
            <w:vAlign w:val="center"/>
          </w:tcPr>
          <w:p>
            <w:pPr>
              <w:jc w:val="center"/>
            </w:pPr>
            <w:r>
              <w:rPr>
                <w:b/>
                <w:sz w:val="19"/>
              </w:rPr>
              <w:t>价值来源</w:t>
            </w:r>
          </w:p>
        </w:tc>
        <w:tc>
          <w:tcPr>
            <w:tcW w:type="dxa" w:w="3760"/>
            <w:shd w:fill="F2F4F7"/>
            <w:tcMar>
              <w:top w:w="80" w:type="dxa"/>
              <w:bottom w:w="80" w:type="dxa"/>
              <w:start w:w="120" w:type="dxa"/>
              <w:end w:w="120" w:type="dxa"/>
            </w:tcMar>
            <w:vAlign w:val="center"/>
          </w:tcPr>
          <w:p>
            <w:pPr>
              <w:jc w:val="center"/>
            </w:pPr>
            <w:r>
              <w:rPr>
                <w:b/>
                <w:sz w:val="19"/>
              </w:rPr>
              <w:t>利润/现金流特征</w:t>
            </w:r>
          </w:p>
        </w:tc>
      </w:tr>
      <w:tr>
        <w:tc>
          <w:tcPr>
            <w:tcW w:type="dxa" w:w="1800"/>
            <w:tcMar>
              <w:top w:w="80" w:type="dxa"/>
              <w:bottom w:w="80" w:type="dxa"/>
              <w:start w:w="120" w:type="dxa"/>
              <w:end w:w="120" w:type="dxa"/>
            </w:tcMar>
            <w:vAlign w:val="center"/>
          </w:tcPr>
          <w:p>
            <w:pPr>
              <w:jc w:val="center"/>
            </w:pPr>
            <w:r>
              <w:rPr>
                <w:sz w:val="19"/>
              </w:rPr>
              <w:t>AI 服务器</w:t>
            </w:r>
          </w:p>
        </w:tc>
        <w:tc>
          <w:tcPr>
            <w:tcW w:type="dxa" w:w="3800"/>
            <w:tcMar>
              <w:top w:w="80" w:type="dxa"/>
              <w:bottom w:w="80" w:type="dxa"/>
              <w:start w:w="120" w:type="dxa"/>
              <w:end w:w="120" w:type="dxa"/>
            </w:tcMar>
            <w:vAlign w:val="center"/>
          </w:tcPr>
          <w:p>
            <w:pPr>
              <w:jc w:val="left"/>
            </w:pPr>
            <w:r>
              <w:rPr>
                <w:sz w:val="19"/>
              </w:rPr>
              <w:t>GPU 稀缺供给、机柜集成、快速交付</w:t>
            </w:r>
          </w:p>
        </w:tc>
        <w:tc>
          <w:tcPr>
            <w:tcW w:type="dxa" w:w="3760"/>
            <w:tcMar>
              <w:top w:w="80" w:type="dxa"/>
              <w:bottom w:w="80" w:type="dxa"/>
              <w:start w:w="120" w:type="dxa"/>
              <w:end w:w="120" w:type="dxa"/>
            </w:tcMar>
            <w:vAlign w:val="center"/>
          </w:tcPr>
          <w:p>
            <w:pPr>
              <w:jc w:val="left"/>
            </w:pPr>
            <w:r>
              <w:rPr>
                <w:sz w:val="19"/>
              </w:rPr>
              <w:t>收入弹性最大，毛利率偏低，营运资本压力高</w:t>
            </w:r>
          </w:p>
        </w:tc>
      </w:tr>
      <w:tr>
        <w:tc>
          <w:tcPr>
            <w:tcW w:type="dxa" w:w="1800"/>
            <w:tcMar>
              <w:top w:w="80" w:type="dxa"/>
              <w:bottom w:w="80" w:type="dxa"/>
              <w:start w:w="120" w:type="dxa"/>
              <w:end w:w="120" w:type="dxa"/>
            </w:tcMar>
            <w:vAlign w:val="center"/>
          </w:tcPr>
          <w:p>
            <w:pPr>
              <w:jc w:val="center"/>
            </w:pPr>
            <w:r>
              <w:rPr>
                <w:sz w:val="19"/>
              </w:rPr>
              <w:t>传统服务器/网络</w:t>
            </w:r>
          </w:p>
        </w:tc>
        <w:tc>
          <w:tcPr>
            <w:tcW w:type="dxa" w:w="3800"/>
            <w:tcMar>
              <w:top w:w="80" w:type="dxa"/>
              <w:bottom w:w="80" w:type="dxa"/>
              <w:start w:w="120" w:type="dxa"/>
              <w:end w:w="120" w:type="dxa"/>
            </w:tcMar>
            <w:vAlign w:val="center"/>
          </w:tcPr>
          <w:p>
            <w:pPr>
              <w:jc w:val="left"/>
            </w:pPr>
            <w:r>
              <w:rPr>
                <w:sz w:val="19"/>
              </w:rPr>
              <w:t>企业 IT 更新、数据中心通用计算、网络配套</w:t>
            </w:r>
          </w:p>
        </w:tc>
        <w:tc>
          <w:tcPr>
            <w:tcW w:type="dxa" w:w="3760"/>
            <w:tcMar>
              <w:top w:w="80" w:type="dxa"/>
              <w:bottom w:w="80" w:type="dxa"/>
              <w:start w:w="120" w:type="dxa"/>
              <w:end w:w="120" w:type="dxa"/>
            </w:tcMar>
            <w:vAlign w:val="center"/>
          </w:tcPr>
          <w:p>
            <w:pPr>
              <w:jc w:val="left"/>
            </w:pPr>
            <w:r>
              <w:rPr>
                <w:sz w:val="19"/>
              </w:rPr>
              <w:t>增长弹性中等，和 AI 基础设施有交叉拉动</w:t>
            </w:r>
          </w:p>
        </w:tc>
      </w:tr>
      <w:tr>
        <w:tc>
          <w:tcPr>
            <w:tcW w:type="dxa" w:w="1800"/>
            <w:tcMar>
              <w:top w:w="80" w:type="dxa"/>
              <w:bottom w:w="80" w:type="dxa"/>
              <w:start w:w="120" w:type="dxa"/>
              <w:end w:w="120" w:type="dxa"/>
            </w:tcMar>
            <w:vAlign w:val="center"/>
          </w:tcPr>
          <w:p>
            <w:pPr>
              <w:jc w:val="center"/>
            </w:pPr>
            <w:r>
              <w:rPr>
                <w:sz w:val="19"/>
              </w:rPr>
              <w:t>存储</w:t>
            </w:r>
          </w:p>
        </w:tc>
        <w:tc>
          <w:tcPr>
            <w:tcW w:type="dxa" w:w="3800"/>
            <w:tcMar>
              <w:top w:w="80" w:type="dxa"/>
              <w:bottom w:w="80" w:type="dxa"/>
              <w:start w:w="120" w:type="dxa"/>
              <w:end w:w="120" w:type="dxa"/>
            </w:tcMar>
            <w:vAlign w:val="center"/>
          </w:tcPr>
          <w:p>
            <w:pPr>
              <w:jc w:val="left"/>
            </w:pPr>
            <w:r>
              <w:rPr>
                <w:sz w:val="19"/>
              </w:rPr>
              <w:t>AI 数据管线、企业数据管理、备份和高性能文件系统</w:t>
            </w:r>
          </w:p>
        </w:tc>
        <w:tc>
          <w:tcPr>
            <w:tcW w:type="dxa" w:w="3760"/>
            <w:tcMar>
              <w:top w:w="80" w:type="dxa"/>
              <w:bottom w:w="80" w:type="dxa"/>
              <w:start w:w="120" w:type="dxa"/>
              <w:end w:w="120" w:type="dxa"/>
            </w:tcMar>
            <w:vAlign w:val="center"/>
          </w:tcPr>
          <w:p>
            <w:pPr>
              <w:jc w:val="left"/>
            </w:pPr>
            <w:r>
              <w:rPr>
                <w:sz w:val="19"/>
              </w:rPr>
              <w:t>利润质量通常优于服务器，决定 AI 收入的含金量</w:t>
            </w:r>
          </w:p>
        </w:tc>
      </w:tr>
      <w:tr>
        <w:tc>
          <w:tcPr>
            <w:tcW w:type="dxa" w:w="1800"/>
            <w:tcMar>
              <w:top w:w="80" w:type="dxa"/>
              <w:bottom w:w="80" w:type="dxa"/>
              <w:start w:w="120" w:type="dxa"/>
              <w:end w:w="120" w:type="dxa"/>
            </w:tcMar>
            <w:vAlign w:val="center"/>
          </w:tcPr>
          <w:p>
            <w:pPr>
              <w:jc w:val="center"/>
            </w:pPr>
            <w:r>
              <w:rPr>
                <w:sz w:val="19"/>
              </w:rPr>
              <w:t>商用 PC</w:t>
            </w:r>
          </w:p>
        </w:tc>
        <w:tc>
          <w:tcPr>
            <w:tcW w:type="dxa" w:w="3800"/>
            <w:tcMar>
              <w:top w:w="80" w:type="dxa"/>
              <w:bottom w:w="80" w:type="dxa"/>
              <w:start w:w="120" w:type="dxa"/>
              <w:end w:w="120" w:type="dxa"/>
            </w:tcMar>
            <w:vAlign w:val="center"/>
          </w:tcPr>
          <w:p>
            <w:pPr>
              <w:jc w:val="left"/>
            </w:pPr>
            <w:r>
              <w:rPr>
                <w:sz w:val="19"/>
              </w:rPr>
              <w:t>企业设备更新、Windows 周期、AI PC 试点</w:t>
            </w:r>
          </w:p>
        </w:tc>
        <w:tc>
          <w:tcPr>
            <w:tcW w:type="dxa" w:w="3760"/>
            <w:tcMar>
              <w:top w:w="80" w:type="dxa"/>
              <w:bottom w:w="80" w:type="dxa"/>
              <w:start w:w="120" w:type="dxa"/>
              <w:end w:w="120" w:type="dxa"/>
            </w:tcMar>
            <w:vAlign w:val="center"/>
          </w:tcPr>
          <w:p>
            <w:pPr>
              <w:jc w:val="left"/>
            </w:pPr>
            <w:r>
              <w:rPr>
                <w:sz w:val="19"/>
              </w:rPr>
              <w:t>现金流相对稳定，是周期底盘</w:t>
            </w:r>
          </w:p>
        </w:tc>
      </w:tr>
      <w:tr>
        <w:tc>
          <w:tcPr>
            <w:tcW w:type="dxa" w:w="1800"/>
            <w:tcMar>
              <w:top w:w="80" w:type="dxa"/>
              <w:bottom w:w="80" w:type="dxa"/>
              <w:start w:w="120" w:type="dxa"/>
              <w:end w:w="120" w:type="dxa"/>
            </w:tcMar>
            <w:vAlign w:val="center"/>
          </w:tcPr>
          <w:p>
            <w:pPr>
              <w:jc w:val="center"/>
            </w:pPr>
            <w:r>
              <w:rPr>
                <w:sz w:val="19"/>
              </w:rPr>
              <w:t>服务/融资</w:t>
            </w:r>
          </w:p>
        </w:tc>
        <w:tc>
          <w:tcPr>
            <w:tcW w:type="dxa" w:w="3800"/>
            <w:tcMar>
              <w:top w:w="80" w:type="dxa"/>
              <w:bottom w:w="80" w:type="dxa"/>
              <w:start w:w="120" w:type="dxa"/>
              <w:end w:w="120" w:type="dxa"/>
            </w:tcMar>
            <w:vAlign w:val="center"/>
          </w:tcPr>
          <w:p>
            <w:pPr>
              <w:jc w:val="left"/>
            </w:pPr>
            <w:r>
              <w:rPr>
                <w:sz w:val="19"/>
              </w:rPr>
              <w:t>部署、维护、生命周期和资金方案</w:t>
            </w:r>
          </w:p>
        </w:tc>
        <w:tc>
          <w:tcPr>
            <w:tcW w:type="dxa" w:w="3760"/>
            <w:tcMar>
              <w:top w:w="80" w:type="dxa"/>
              <w:bottom w:w="80" w:type="dxa"/>
              <w:start w:w="120" w:type="dxa"/>
              <w:end w:w="120" w:type="dxa"/>
            </w:tcMar>
            <w:vAlign w:val="center"/>
          </w:tcPr>
          <w:p>
            <w:pPr>
              <w:jc w:val="left"/>
            </w:pPr>
            <w:r>
              <w:rPr>
                <w:sz w:val="19"/>
              </w:rPr>
              <w:t>增强粘性，但带来信用和资产负债表占用</w:t>
            </w:r>
          </w:p>
        </w:tc>
      </w:tr>
    </w:tbl>
    <w:p/>
    <w:p>
      <w:pPr>
        <w:pStyle w:val="Heading2"/>
      </w:pPr>
      <w:r>
        <w:t>4.3 客户结构</w:t>
      </w:r>
    </w:p>
    <w:p>
      <w:pPr>
        <w:spacing w:after="120" w:line="264" w:lineRule="auto"/>
      </w:pPr>
      <w:r>
        <w:rPr>
          <w:sz w:val="22"/>
        </w:rPr>
        <w:t>Dell 客户覆盖大型云服务商、AI 模型公司、主权 AI 项目、企业数据中心、政府、教育、医疗、金融、制造以及中小企业。AI 服务器阶段，大订单可能来自少数超大客户，收入集中度和交付节奏会放大季度波动；而企业 AI 和存储/服务扩散，则是中长期利润质量提升的关键。</w:t>
      </w:r>
    </w:p>
    <w:p>
      <w:pPr>
        <w:pStyle w:val="Heading1"/>
      </w:pPr>
      <w:r>
        <w:t>五、行业竞争格局</w:t>
      </w:r>
    </w:p>
    <w:p>
      <w:pPr>
        <w:pStyle w:val="Heading2"/>
      </w:pPr>
      <w:r>
        <w:t>5.1 竞争者矩阵</w:t>
      </w:r>
    </w:p>
    <w:tbl>
      <w:tblPr>
        <w:tblStyle w:val="TableGrid"/>
        <w:tblW w:type="dxa" w:w="9360"/>
        <w:jc w:val="center"/>
        <w:tblLook w:firstColumn="1" w:firstRow="1" w:lastColumn="0" w:lastRow="0" w:noHBand="0" w:noVBand="1" w:val="04A0"/>
        <w:tblInd w:w="120" w:type="dxa"/>
      </w:tblPr>
      <w:tblGrid>
        <w:gridCol w:w="1600"/>
        <w:gridCol w:w="2500"/>
        <w:gridCol w:w="3000"/>
        <w:gridCol w:w="2260"/>
      </w:tblGrid>
      <w:tr>
        <w:trPr>
          <w:tblHeader w:val="true"/>
        </w:trPr>
        <w:tc>
          <w:tcPr>
            <w:tcW w:type="dxa" w:w="1600"/>
            <w:shd w:fill="F2F4F7"/>
            <w:tcMar>
              <w:top w:w="80" w:type="dxa"/>
              <w:bottom w:w="80" w:type="dxa"/>
              <w:start w:w="120" w:type="dxa"/>
              <w:end w:w="120" w:type="dxa"/>
            </w:tcMar>
            <w:vAlign w:val="center"/>
          </w:tcPr>
          <w:p>
            <w:pPr>
              <w:jc w:val="center"/>
            </w:pPr>
            <w:r>
              <w:rPr>
                <w:b/>
                <w:sz w:val="19"/>
              </w:rPr>
              <w:t>领域</w:t>
            </w:r>
          </w:p>
        </w:tc>
        <w:tc>
          <w:tcPr>
            <w:tcW w:type="dxa" w:w="2500"/>
            <w:shd w:fill="F2F4F7"/>
            <w:tcMar>
              <w:top w:w="80" w:type="dxa"/>
              <w:bottom w:w="80" w:type="dxa"/>
              <w:start w:w="120" w:type="dxa"/>
              <w:end w:w="120" w:type="dxa"/>
            </w:tcMar>
            <w:vAlign w:val="center"/>
          </w:tcPr>
          <w:p>
            <w:pPr>
              <w:jc w:val="center"/>
            </w:pPr>
            <w:r>
              <w:rPr>
                <w:b/>
                <w:sz w:val="19"/>
              </w:rPr>
              <w:t>主要竞争者</w:t>
            </w:r>
          </w:p>
        </w:tc>
        <w:tc>
          <w:tcPr>
            <w:tcW w:type="dxa" w:w="3000"/>
            <w:shd w:fill="F2F4F7"/>
            <w:tcMar>
              <w:top w:w="80" w:type="dxa"/>
              <w:bottom w:w="80" w:type="dxa"/>
              <w:start w:w="120" w:type="dxa"/>
              <w:end w:w="120" w:type="dxa"/>
            </w:tcMar>
            <w:vAlign w:val="center"/>
          </w:tcPr>
          <w:p>
            <w:pPr>
              <w:jc w:val="center"/>
            </w:pPr>
            <w:r>
              <w:rPr>
                <w:b/>
                <w:sz w:val="19"/>
              </w:rPr>
              <w:t>Dell 优势</w:t>
            </w:r>
          </w:p>
        </w:tc>
        <w:tc>
          <w:tcPr>
            <w:tcW w:type="dxa" w:w="2260"/>
            <w:shd w:fill="F2F4F7"/>
            <w:tcMar>
              <w:top w:w="80" w:type="dxa"/>
              <w:bottom w:w="80" w:type="dxa"/>
              <w:start w:w="120" w:type="dxa"/>
              <w:end w:w="120" w:type="dxa"/>
            </w:tcMar>
            <w:vAlign w:val="center"/>
          </w:tcPr>
          <w:p>
            <w:pPr>
              <w:jc w:val="center"/>
            </w:pPr>
            <w:r>
              <w:rPr>
                <w:b/>
                <w:sz w:val="19"/>
              </w:rPr>
              <w:t>主要压力</w:t>
            </w:r>
          </w:p>
        </w:tc>
      </w:tr>
      <w:tr>
        <w:tc>
          <w:tcPr>
            <w:tcW w:type="dxa" w:w="1600"/>
            <w:tcMar>
              <w:top w:w="80" w:type="dxa"/>
              <w:bottom w:w="80" w:type="dxa"/>
              <w:start w:w="120" w:type="dxa"/>
              <w:end w:w="120" w:type="dxa"/>
            </w:tcMar>
            <w:vAlign w:val="center"/>
          </w:tcPr>
          <w:p>
            <w:pPr>
              <w:jc w:val="center"/>
            </w:pPr>
            <w:r>
              <w:rPr>
                <w:sz w:val="19"/>
              </w:rPr>
              <w:t>AI 服务器</w:t>
            </w:r>
          </w:p>
        </w:tc>
        <w:tc>
          <w:tcPr>
            <w:tcW w:type="dxa" w:w="2500"/>
            <w:tcMar>
              <w:top w:w="80" w:type="dxa"/>
              <w:bottom w:w="80" w:type="dxa"/>
              <w:start w:w="120" w:type="dxa"/>
              <w:end w:w="120" w:type="dxa"/>
            </w:tcMar>
            <w:vAlign w:val="center"/>
          </w:tcPr>
          <w:p>
            <w:pPr>
              <w:jc w:val="left"/>
            </w:pPr>
            <w:r>
              <w:rPr>
                <w:sz w:val="19"/>
              </w:rPr>
              <w:t>Supermicro、HPE、Lenovo、ODM、云厂商自研</w:t>
            </w:r>
          </w:p>
        </w:tc>
        <w:tc>
          <w:tcPr>
            <w:tcW w:type="dxa" w:w="3000"/>
            <w:tcMar>
              <w:top w:w="80" w:type="dxa"/>
              <w:bottom w:w="80" w:type="dxa"/>
              <w:start w:w="120" w:type="dxa"/>
              <w:end w:w="120" w:type="dxa"/>
            </w:tcMar>
            <w:vAlign w:val="center"/>
          </w:tcPr>
          <w:p>
            <w:pPr>
              <w:jc w:val="left"/>
            </w:pPr>
            <w:r>
              <w:rPr>
                <w:sz w:val="19"/>
              </w:rPr>
              <w:t>全球供应链、企业客户、服务和资产负债表承载力</w:t>
            </w:r>
          </w:p>
        </w:tc>
        <w:tc>
          <w:tcPr>
            <w:tcW w:type="dxa" w:w="2260"/>
            <w:tcMar>
              <w:top w:w="80" w:type="dxa"/>
              <w:bottom w:w="80" w:type="dxa"/>
              <w:start w:w="120" w:type="dxa"/>
              <w:end w:w="120" w:type="dxa"/>
            </w:tcMar>
            <w:vAlign w:val="center"/>
          </w:tcPr>
          <w:p>
            <w:pPr>
              <w:jc w:val="left"/>
            </w:pPr>
            <w:r>
              <w:rPr>
                <w:sz w:val="19"/>
              </w:rPr>
              <w:t>硬件同质化、毛利率低、GPU 供给受上游控制</w:t>
            </w:r>
          </w:p>
        </w:tc>
      </w:tr>
      <w:tr>
        <w:tc>
          <w:tcPr>
            <w:tcW w:type="dxa" w:w="1600"/>
            <w:tcMar>
              <w:top w:w="80" w:type="dxa"/>
              <w:bottom w:w="80" w:type="dxa"/>
              <w:start w:w="120" w:type="dxa"/>
              <w:end w:w="120" w:type="dxa"/>
            </w:tcMar>
            <w:vAlign w:val="center"/>
          </w:tcPr>
          <w:p>
            <w:pPr>
              <w:jc w:val="center"/>
            </w:pPr>
            <w:r>
              <w:rPr>
                <w:sz w:val="19"/>
              </w:rPr>
              <w:t>企业服务器</w:t>
            </w:r>
          </w:p>
        </w:tc>
        <w:tc>
          <w:tcPr>
            <w:tcW w:type="dxa" w:w="2500"/>
            <w:tcMar>
              <w:top w:w="80" w:type="dxa"/>
              <w:bottom w:w="80" w:type="dxa"/>
              <w:start w:w="120" w:type="dxa"/>
              <w:end w:w="120" w:type="dxa"/>
            </w:tcMar>
            <w:vAlign w:val="center"/>
          </w:tcPr>
          <w:p>
            <w:pPr>
              <w:jc w:val="left"/>
            </w:pPr>
            <w:r>
              <w:rPr>
                <w:sz w:val="19"/>
              </w:rPr>
              <w:t>HPE、Lenovo、Cisco、ODM</w:t>
            </w:r>
          </w:p>
        </w:tc>
        <w:tc>
          <w:tcPr>
            <w:tcW w:type="dxa" w:w="3000"/>
            <w:tcMar>
              <w:top w:w="80" w:type="dxa"/>
              <w:bottom w:w="80" w:type="dxa"/>
              <w:start w:w="120" w:type="dxa"/>
              <w:end w:w="120" w:type="dxa"/>
            </w:tcMar>
            <w:vAlign w:val="center"/>
          </w:tcPr>
          <w:p>
            <w:pPr>
              <w:jc w:val="left"/>
            </w:pPr>
            <w:r>
              <w:rPr>
                <w:sz w:val="19"/>
              </w:rPr>
              <w:t>PowerEdge 品牌、渠道和全球支持</w:t>
            </w:r>
          </w:p>
        </w:tc>
        <w:tc>
          <w:tcPr>
            <w:tcW w:type="dxa" w:w="2260"/>
            <w:tcMar>
              <w:top w:w="80" w:type="dxa"/>
              <w:bottom w:w="80" w:type="dxa"/>
              <w:start w:w="120" w:type="dxa"/>
              <w:end w:w="120" w:type="dxa"/>
            </w:tcMar>
            <w:vAlign w:val="center"/>
          </w:tcPr>
          <w:p>
            <w:pPr>
              <w:jc w:val="left"/>
            </w:pPr>
            <w:r>
              <w:rPr>
                <w:sz w:val="19"/>
              </w:rPr>
              <w:t>企业 IT 周期和价格竞争</w:t>
            </w:r>
          </w:p>
        </w:tc>
      </w:tr>
      <w:tr>
        <w:tc>
          <w:tcPr>
            <w:tcW w:type="dxa" w:w="1600"/>
            <w:tcMar>
              <w:top w:w="80" w:type="dxa"/>
              <w:bottom w:w="80" w:type="dxa"/>
              <w:start w:w="120" w:type="dxa"/>
              <w:end w:w="120" w:type="dxa"/>
            </w:tcMar>
            <w:vAlign w:val="center"/>
          </w:tcPr>
          <w:p>
            <w:pPr>
              <w:jc w:val="center"/>
            </w:pPr>
            <w:r>
              <w:rPr>
                <w:sz w:val="19"/>
              </w:rPr>
              <w:t>存储</w:t>
            </w:r>
          </w:p>
        </w:tc>
        <w:tc>
          <w:tcPr>
            <w:tcW w:type="dxa" w:w="2500"/>
            <w:tcMar>
              <w:top w:w="80" w:type="dxa"/>
              <w:bottom w:w="80" w:type="dxa"/>
              <w:start w:w="120" w:type="dxa"/>
              <w:end w:w="120" w:type="dxa"/>
            </w:tcMar>
            <w:vAlign w:val="center"/>
          </w:tcPr>
          <w:p>
            <w:pPr>
              <w:jc w:val="left"/>
            </w:pPr>
            <w:r>
              <w:rPr>
                <w:sz w:val="19"/>
              </w:rPr>
              <w:t>NetApp、Pure Storage、HPE、IBM、云存储</w:t>
            </w:r>
          </w:p>
        </w:tc>
        <w:tc>
          <w:tcPr>
            <w:tcW w:type="dxa" w:w="3000"/>
            <w:tcMar>
              <w:top w:w="80" w:type="dxa"/>
              <w:bottom w:w="80" w:type="dxa"/>
              <w:start w:w="120" w:type="dxa"/>
              <w:end w:w="120" w:type="dxa"/>
            </w:tcMar>
            <w:vAlign w:val="center"/>
          </w:tcPr>
          <w:p>
            <w:pPr>
              <w:jc w:val="left"/>
            </w:pPr>
            <w:r>
              <w:rPr>
                <w:sz w:val="19"/>
              </w:rPr>
              <w:t>EMC 资产、全栈组合和大客户基础</w:t>
            </w:r>
          </w:p>
        </w:tc>
        <w:tc>
          <w:tcPr>
            <w:tcW w:type="dxa" w:w="2260"/>
            <w:tcMar>
              <w:top w:w="80" w:type="dxa"/>
              <w:bottom w:w="80" w:type="dxa"/>
              <w:start w:w="120" w:type="dxa"/>
              <w:end w:w="120" w:type="dxa"/>
            </w:tcMar>
            <w:vAlign w:val="center"/>
          </w:tcPr>
          <w:p>
            <w:pPr>
              <w:jc w:val="left"/>
            </w:pPr>
            <w:r>
              <w:rPr>
                <w:sz w:val="19"/>
              </w:rPr>
              <w:t>云迁移、软件定义存储和新兴全闪存竞争</w:t>
            </w:r>
          </w:p>
        </w:tc>
      </w:tr>
      <w:tr>
        <w:tc>
          <w:tcPr>
            <w:tcW w:type="dxa" w:w="1600"/>
            <w:tcMar>
              <w:top w:w="80" w:type="dxa"/>
              <w:bottom w:w="80" w:type="dxa"/>
              <w:start w:w="120" w:type="dxa"/>
              <w:end w:w="120" w:type="dxa"/>
            </w:tcMar>
            <w:vAlign w:val="center"/>
          </w:tcPr>
          <w:p>
            <w:pPr>
              <w:jc w:val="center"/>
            </w:pPr>
            <w:r>
              <w:rPr>
                <w:sz w:val="19"/>
              </w:rPr>
              <w:t>商用 PC</w:t>
            </w:r>
          </w:p>
        </w:tc>
        <w:tc>
          <w:tcPr>
            <w:tcW w:type="dxa" w:w="2500"/>
            <w:tcMar>
              <w:top w:w="80" w:type="dxa"/>
              <w:bottom w:w="80" w:type="dxa"/>
              <w:start w:w="120" w:type="dxa"/>
              <w:end w:w="120" w:type="dxa"/>
            </w:tcMar>
            <w:vAlign w:val="center"/>
          </w:tcPr>
          <w:p>
            <w:pPr>
              <w:jc w:val="left"/>
            </w:pPr>
            <w:r>
              <w:rPr>
                <w:sz w:val="19"/>
              </w:rPr>
              <w:t>HP、Lenovo、Apple、ASUS、Acer</w:t>
            </w:r>
          </w:p>
        </w:tc>
        <w:tc>
          <w:tcPr>
            <w:tcW w:type="dxa" w:w="3000"/>
            <w:tcMar>
              <w:top w:w="80" w:type="dxa"/>
              <w:bottom w:w="80" w:type="dxa"/>
              <w:start w:w="120" w:type="dxa"/>
              <w:end w:w="120" w:type="dxa"/>
            </w:tcMar>
            <w:vAlign w:val="center"/>
          </w:tcPr>
          <w:p>
            <w:pPr>
              <w:jc w:val="left"/>
            </w:pPr>
            <w:r>
              <w:rPr>
                <w:sz w:val="19"/>
              </w:rPr>
              <w:t>商用客户、供应链和企业管理能力</w:t>
            </w:r>
          </w:p>
        </w:tc>
        <w:tc>
          <w:tcPr>
            <w:tcW w:type="dxa" w:w="2260"/>
            <w:tcMar>
              <w:top w:w="80" w:type="dxa"/>
              <w:bottom w:w="80" w:type="dxa"/>
              <w:start w:w="120" w:type="dxa"/>
              <w:end w:w="120" w:type="dxa"/>
            </w:tcMar>
            <w:vAlign w:val="center"/>
          </w:tcPr>
          <w:p>
            <w:pPr>
              <w:jc w:val="left"/>
            </w:pPr>
            <w:r>
              <w:rPr>
                <w:sz w:val="19"/>
              </w:rPr>
              <w:t>PC 周期、价格竞争和 Windows 换机节奏</w:t>
            </w:r>
          </w:p>
        </w:tc>
      </w:tr>
      <w:tr>
        <w:tc>
          <w:tcPr>
            <w:tcW w:type="dxa" w:w="1600"/>
            <w:tcMar>
              <w:top w:w="80" w:type="dxa"/>
              <w:bottom w:w="80" w:type="dxa"/>
              <w:start w:w="120" w:type="dxa"/>
              <w:end w:w="120" w:type="dxa"/>
            </w:tcMar>
            <w:vAlign w:val="center"/>
          </w:tcPr>
          <w:p>
            <w:pPr>
              <w:jc w:val="center"/>
            </w:pPr>
            <w:r>
              <w:rPr>
                <w:sz w:val="19"/>
              </w:rPr>
              <w:t>服务/消费模式</w:t>
            </w:r>
          </w:p>
        </w:tc>
        <w:tc>
          <w:tcPr>
            <w:tcW w:type="dxa" w:w="2500"/>
            <w:tcMar>
              <w:top w:w="80" w:type="dxa"/>
              <w:bottom w:w="80" w:type="dxa"/>
              <w:start w:w="120" w:type="dxa"/>
              <w:end w:w="120" w:type="dxa"/>
            </w:tcMar>
            <w:vAlign w:val="center"/>
          </w:tcPr>
          <w:p>
            <w:pPr>
              <w:jc w:val="left"/>
            </w:pPr>
            <w:r>
              <w:rPr>
                <w:sz w:val="19"/>
              </w:rPr>
              <w:t>HPE GreenLake、云厂商、系统集成商</w:t>
            </w:r>
          </w:p>
        </w:tc>
        <w:tc>
          <w:tcPr>
            <w:tcW w:type="dxa" w:w="3000"/>
            <w:tcMar>
              <w:top w:w="80" w:type="dxa"/>
              <w:bottom w:w="80" w:type="dxa"/>
              <w:start w:w="120" w:type="dxa"/>
              <w:end w:w="120" w:type="dxa"/>
            </w:tcMar>
            <w:vAlign w:val="center"/>
          </w:tcPr>
          <w:p>
            <w:pPr>
              <w:jc w:val="left"/>
            </w:pPr>
            <w:r>
              <w:rPr>
                <w:sz w:val="19"/>
              </w:rPr>
              <w:t>硬件+服务+融资一体化</w:t>
            </w:r>
          </w:p>
        </w:tc>
        <w:tc>
          <w:tcPr>
            <w:tcW w:type="dxa" w:w="2260"/>
            <w:tcMar>
              <w:top w:w="80" w:type="dxa"/>
              <w:bottom w:w="80" w:type="dxa"/>
              <w:start w:w="120" w:type="dxa"/>
              <w:end w:w="120" w:type="dxa"/>
            </w:tcMar>
            <w:vAlign w:val="center"/>
          </w:tcPr>
          <w:p>
            <w:pPr>
              <w:jc w:val="left"/>
            </w:pPr>
            <w:r>
              <w:rPr>
                <w:sz w:val="19"/>
              </w:rPr>
              <w:t>云原生方案和服务毛利扩张难度</w:t>
            </w:r>
          </w:p>
        </w:tc>
      </w:tr>
    </w:tbl>
    <w:p/>
    <w:p>
      <w:pPr>
        <w:pStyle w:val="Heading2"/>
      </w:pPr>
      <w:r>
        <w:t>5.2 Dell 与 Supermicro / HPE / Lenovo 对比</w:t>
      </w:r>
    </w:p>
    <w:tbl>
      <w:tblPr>
        <w:tblStyle w:val="TableGrid"/>
        <w:tblW w:type="dxa" w:w="9360"/>
        <w:jc w:val="center"/>
        <w:tblLook w:firstColumn="1" w:firstRow="1" w:lastColumn="0" w:lastRow="0" w:noHBand="0" w:noVBand="1" w:val="04A0"/>
        <w:tblInd w:w="120" w:type="dxa"/>
      </w:tblPr>
      <w:tblGrid>
        <w:gridCol w:w="1500"/>
        <w:gridCol w:w="3100"/>
        <w:gridCol w:w="2800"/>
        <w:gridCol w:w="1960"/>
      </w:tblGrid>
      <w:tr>
        <w:trPr>
          <w:tblHeader w:val="true"/>
        </w:trPr>
        <w:tc>
          <w:tcPr>
            <w:tcW w:type="dxa" w:w="1500"/>
            <w:shd w:fill="E8EEF5"/>
            <w:tcMar>
              <w:top w:w="80" w:type="dxa"/>
              <w:bottom w:w="80" w:type="dxa"/>
              <w:start w:w="120" w:type="dxa"/>
              <w:end w:w="120" w:type="dxa"/>
            </w:tcMar>
            <w:vAlign w:val="center"/>
          </w:tcPr>
          <w:p>
            <w:pPr>
              <w:jc w:val="center"/>
            </w:pPr>
            <w:r>
              <w:rPr>
                <w:b/>
                <w:sz w:val="19"/>
              </w:rPr>
              <w:t>公司</w:t>
            </w:r>
          </w:p>
        </w:tc>
        <w:tc>
          <w:tcPr>
            <w:tcW w:type="dxa" w:w="3100"/>
            <w:shd w:fill="E8EEF5"/>
            <w:tcMar>
              <w:top w:w="80" w:type="dxa"/>
              <w:bottom w:w="80" w:type="dxa"/>
              <w:start w:w="120" w:type="dxa"/>
              <w:end w:w="120" w:type="dxa"/>
            </w:tcMar>
            <w:vAlign w:val="center"/>
          </w:tcPr>
          <w:p>
            <w:pPr>
              <w:jc w:val="center"/>
            </w:pPr>
            <w:r>
              <w:rPr>
                <w:b/>
                <w:sz w:val="19"/>
              </w:rPr>
              <w:t>核心优势</w:t>
            </w:r>
          </w:p>
        </w:tc>
        <w:tc>
          <w:tcPr>
            <w:tcW w:type="dxa" w:w="2800"/>
            <w:shd w:fill="E8EEF5"/>
            <w:tcMar>
              <w:top w:w="80" w:type="dxa"/>
              <w:bottom w:w="80" w:type="dxa"/>
              <w:start w:w="120" w:type="dxa"/>
              <w:end w:w="120" w:type="dxa"/>
            </w:tcMar>
            <w:vAlign w:val="center"/>
          </w:tcPr>
          <w:p>
            <w:pPr>
              <w:jc w:val="center"/>
            </w:pPr>
            <w:r>
              <w:rPr>
                <w:b/>
                <w:sz w:val="19"/>
              </w:rPr>
              <w:t>短板</w:t>
            </w:r>
          </w:p>
        </w:tc>
        <w:tc>
          <w:tcPr>
            <w:tcW w:type="dxa" w:w="1960"/>
            <w:shd w:fill="E8EEF5"/>
            <w:tcMar>
              <w:top w:w="80" w:type="dxa"/>
              <w:bottom w:w="80" w:type="dxa"/>
              <w:start w:w="120" w:type="dxa"/>
              <w:end w:w="120" w:type="dxa"/>
            </w:tcMar>
            <w:vAlign w:val="center"/>
          </w:tcPr>
          <w:p>
            <w:pPr>
              <w:jc w:val="center"/>
            </w:pPr>
            <w:r>
              <w:rPr>
                <w:b/>
                <w:sz w:val="19"/>
              </w:rPr>
              <w:t>投资属性</w:t>
            </w:r>
          </w:p>
        </w:tc>
      </w:tr>
      <w:tr>
        <w:tc>
          <w:tcPr>
            <w:tcW w:type="dxa" w:w="1500"/>
            <w:tcMar>
              <w:top w:w="80" w:type="dxa"/>
              <w:bottom w:w="80" w:type="dxa"/>
              <w:start w:w="120" w:type="dxa"/>
              <w:end w:w="120" w:type="dxa"/>
            </w:tcMar>
            <w:vAlign w:val="center"/>
          </w:tcPr>
          <w:p>
            <w:pPr>
              <w:jc w:val="center"/>
            </w:pPr>
            <w:r>
              <w:rPr>
                <w:sz w:val="19"/>
              </w:rPr>
              <w:t>Dell</w:t>
            </w:r>
          </w:p>
        </w:tc>
        <w:tc>
          <w:tcPr>
            <w:tcW w:type="dxa" w:w="3100"/>
            <w:tcMar>
              <w:top w:w="80" w:type="dxa"/>
              <w:bottom w:w="80" w:type="dxa"/>
              <w:start w:w="120" w:type="dxa"/>
              <w:end w:w="120" w:type="dxa"/>
            </w:tcMar>
            <w:vAlign w:val="center"/>
          </w:tcPr>
          <w:p>
            <w:pPr>
              <w:jc w:val="left"/>
            </w:pPr>
            <w:r>
              <w:rPr>
                <w:sz w:val="19"/>
              </w:rPr>
              <w:t>规模、企业客户、存储、全球服务、回购和现金流</w:t>
            </w:r>
          </w:p>
        </w:tc>
        <w:tc>
          <w:tcPr>
            <w:tcW w:type="dxa" w:w="2800"/>
            <w:tcMar>
              <w:top w:w="80" w:type="dxa"/>
              <w:bottom w:w="80" w:type="dxa"/>
              <w:start w:w="120" w:type="dxa"/>
              <w:end w:w="120" w:type="dxa"/>
            </w:tcMar>
            <w:vAlign w:val="center"/>
          </w:tcPr>
          <w:p>
            <w:pPr>
              <w:jc w:val="left"/>
            </w:pPr>
            <w:r>
              <w:rPr>
                <w:sz w:val="19"/>
              </w:rPr>
              <w:t>AI 服务器毛利率和营运资本压力</w:t>
            </w:r>
          </w:p>
        </w:tc>
        <w:tc>
          <w:tcPr>
            <w:tcW w:type="dxa" w:w="1960"/>
            <w:tcMar>
              <w:top w:w="80" w:type="dxa"/>
              <w:bottom w:w="80" w:type="dxa"/>
              <w:start w:w="120" w:type="dxa"/>
              <w:end w:w="120" w:type="dxa"/>
            </w:tcMar>
            <w:vAlign w:val="center"/>
          </w:tcPr>
          <w:p>
            <w:pPr>
              <w:jc w:val="left"/>
            </w:pPr>
            <w:r>
              <w:rPr>
                <w:sz w:val="19"/>
              </w:rPr>
              <w:t>AI 服务器兑现 + 企业 IT 底盘</w:t>
            </w:r>
          </w:p>
        </w:tc>
      </w:tr>
      <w:tr>
        <w:tc>
          <w:tcPr>
            <w:tcW w:type="dxa" w:w="1500"/>
            <w:tcMar>
              <w:top w:w="80" w:type="dxa"/>
              <w:bottom w:w="80" w:type="dxa"/>
              <w:start w:w="120" w:type="dxa"/>
              <w:end w:w="120" w:type="dxa"/>
            </w:tcMar>
            <w:vAlign w:val="center"/>
          </w:tcPr>
          <w:p>
            <w:pPr>
              <w:jc w:val="center"/>
            </w:pPr>
            <w:r>
              <w:rPr>
                <w:sz w:val="19"/>
              </w:rPr>
              <w:t>Supermicro</w:t>
            </w:r>
          </w:p>
        </w:tc>
        <w:tc>
          <w:tcPr>
            <w:tcW w:type="dxa" w:w="3100"/>
            <w:tcMar>
              <w:top w:w="80" w:type="dxa"/>
              <w:bottom w:w="80" w:type="dxa"/>
              <w:start w:w="120" w:type="dxa"/>
              <w:end w:w="120" w:type="dxa"/>
            </w:tcMar>
            <w:vAlign w:val="center"/>
          </w:tcPr>
          <w:p>
            <w:pPr>
              <w:jc w:val="left"/>
            </w:pPr>
            <w:r>
              <w:rPr>
                <w:sz w:val="19"/>
              </w:rPr>
              <w:t>产品迭代快、液冷和定制化灵活</w:t>
            </w:r>
          </w:p>
        </w:tc>
        <w:tc>
          <w:tcPr>
            <w:tcW w:type="dxa" w:w="2800"/>
            <w:tcMar>
              <w:top w:w="80" w:type="dxa"/>
              <w:bottom w:w="80" w:type="dxa"/>
              <w:start w:w="120" w:type="dxa"/>
              <w:end w:w="120" w:type="dxa"/>
            </w:tcMar>
            <w:vAlign w:val="center"/>
          </w:tcPr>
          <w:p>
            <w:pPr>
              <w:jc w:val="left"/>
            </w:pPr>
            <w:r>
              <w:rPr>
                <w:sz w:val="19"/>
              </w:rPr>
              <w:t>内控、规模管理和客户集中风险更高</w:t>
            </w:r>
          </w:p>
        </w:tc>
        <w:tc>
          <w:tcPr>
            <w:tcW w:type="dxa" w:w="1960"/>
            <w:tcMar>
              <w:top w:w="80" w:type="dxa"/>
              <w:bottom w:w="80" w:type="dxa"/>
              <w:start w:w="120" w:type="dxa"/>
              <w:end w:w="120" w:type="dxa"/>
            </w:tcMar>
            <w:vAlign w:val="center"/>
          </w:tcPr>
          <w:p>
            <w:pPr>
              <w:jc w:val="left"/>
            </w:pPr>
            <w:r>
              <w:rPr>
                <w:sz w:val="19"/>
              </w:rPr>
              <w:t>高 beta AI 服务器弹性</w:t>
            </w:r>
          </w:p>
        </w:tc>
      </w:tr>
      <w:tr>
        <w:tc>
          <w:tcPr>
            <w:tcW w:type="dxa" w:w="1500"/>
            <w:tcMar>
              <w:top w:w="80" w:type="dxa"/>
              <w:bottom w:w="80" w:type="dxa"/>
              <w:start w:w="120" w:type="dxa"/>
              <w:end w:w="120" w:type="dxa"/>
            </w:tcMar>
            <w:vAlign w:val="center"/>
          </w:tcPr>
          <w:p>
            <w:pPr>
              <w:jc w:val="center"/>
            </w:pPr>
            <w:r>
              <w:rPr>
                <w:sz w:val="19"/>
              </w:rPr>
              <w:t>HPE</w:t>
            </w:r>
          </w:p>
        </w:tc>
        <w:tc>
          <w:tcPr>
            <w:tcW w:type="dxa" w:w="3100"/>
            <w:tcMar>
              <w:top w:w="80" w:type="dxa"/>
              <w:bottom w:w="80" w:type="dxa"/>
              <w:start w:w="120" w:type="dxa"/>
              <w:end w:w="120" w:type="dxa"/>
            </w:tcMar>
            <w:vAlign w:val="center"/>
          </w:tcPr>
          <w:p>
            <w:pPr>
              <w:jc w:val="left"/>
            </w:pPr>
            <w:r>
              <w:rPr>
                <w:sz w:val="19"/>
              </w:rPr>
              <w:t>企业服务器、网络和 GreenLake 服务化</w:t>
            </w:r>
          </w:p>
        </w:tc>
        <w:tc>
          <w:tcPr>
            <w:tcW w:type="dxa" w:w="2800"/>
            <w:tcMar>
              <w:top w:w="80" w:type="dxa"/>
              <w:bottom w:w="80" w:type="dxa"/>
              <w:start w:w="120" w:type="dxa"/>
              <w:end w:w="120" w:type="dxa"/>
            </w:tcMar>
            <w:vAlign w:val="center"/>
          </w:tcPr>
          <w:p>
            <w:pPr>
              <w:jc w:val="left"/>
            </w:pPr>
            <w:r>
              <w:rPr>
                <w:sz w:val="19"/>
              </w:rPr>
              <w:t>AI 服务器爆发性较弱，整合难度高</w:t>
            </w:r>
          </w:p>
        </w:tc>
        <w:tc>
          <w:tcPr>
            <w:tcW w:type="dxa" w:w="1960"/>
            <w:tcMar>
              <w:top w:w="80" w:type="dxa"/>
              <w:bottom w:w="80" w:type="dxa"/>
              <w:start w:w="120" w:type="dxa"/>
              <w:end w:w="120" w:type="dxa"/>
            </w:tcMar>
            <w:vAlign w:val="center"/>
          </w:tcPr>
          <w:p>
            <w:pPr>
              <w:jc w:val="left"/>
            </w:pPr>
            <w:r>
              <w:rPr>
                <w:sz w:val="19"/>
              </w:rPr>
              <w:t>较稳健的企业 IT 基础设施股</w:t>
            </w:r>
          </w:p>
        </w:tc>
      </w:tr>
      <w:tr>
        <w:tc>
          <w:tcPr>
            <w:tcW w:type="dxa" w:w="1500"/>
            <w:tcMar>
              <w:top w:w="80" w:type="dxa"/>
              <w:bottom w:w="80" w:type="dxa"/>
              <w:start w:w="120" w:type="dxa"/>
              <w:end w:w="120" w:type="dxa"/>
            </w:tcMar>
            <w:vAlign w:val="center"/>
          </w:tcPr>
          <w:p>
            <w:pPr>
              <w:jc w:val="center"/>
            </w:pPr>
            <w:r>
              <w:rPr>
                <w:sz w:val="19"/>
              </w:rPr>
              <w:t>Lenovo</w:t>
            </w:r>
          </w:p>
        </w:tc>
        <w:tc>
          <w:tcPr>
            <w:tcW w:type="dxa" w:w="3100"/>
            <w:tcMar>
              <w:top w:w="80" w:type="dxa"/>
              <w:bottom w:w="80" w:type="dxa"/>
              <w:start w:w="120" w:type="dxa"/>
              <w:end w:w="120" w:type="dxa"/>
            </w:tcMar>
            <w:vAlign w:val="center"/>
          </w:tcPr>
          <w:p>
            <w:pPr>
              <w:jc w:val="left"/>
            </w:pPr>
            <w:r>
              <w:rPr>
                <w:sz w:val="19"/>
              </w:rPr>
              <w:t>全球 PC 和服务器规模、成本控制</w:t>
            </w:r>
          </w:p>
        </w:tc>
        <w:tc>
          <w:tcPr>
            <w:tcW w:type="dxa" w:w="2800"/>
            <w:tcMar>
              <w:top w:w="80" w:type="dxa"/>
              <w:bottom w:w="80" w:type="dxa"/>
              <w:start w:w="120" w:type="dxa"/>
              <w:end w:w="120" w:type="dxa"/>
            </w:tcMar>
            <w:vAlign w:val="center"/>
          </w:tcPr>
          <w:p>
            <w:pPr>
              <w:jc w:val="left"/>
            </w:pPr>
            <w:r>
              <w:rPr>
                <w:sz w:val="19"/>
              </w:rPr>
              <w:t>北美 AI 基础设施定价和客户心智弱于 Dell</w:t>
            </w:r>
          </w:p>
        </w:tc>
        <w:tc>
          <w:tcPr>
            <w:tcW w:type="dxa" w:w="1960"/>
            <w:tcMar>
              <w:top w:w="80" w:type="dxa"/>
              <w:bottom w:w="80" w:type="dxa"/>
              <w:start w:w="120" w:type="dxa"/>
              <w:end w:w="120" w:type="dxa"/>
            </w:tcMar>
            <w:vAlign w:val="center"/>
          </w:tcPr>
          <w:p>
            <w:pPr>
              <w:jc w:val="left"/>
            </w:pPr>
            <w:r>
              <w:rPr>
                <w:sz w:val="19"/>
              </w:rPr>
              <w:t>低估值硬件周期股</w:t>
            </w:r>
          </w:p>
        </w:tc>
      </w:tr>
    </w:tbl>
    <w:p/>
    <w:p>
      <w:pPr>
        <w:pStyle w:val="Heading2"/>
      </w:pPr>
      <w:r>
        <w:t>5.3 竞争格局判断</w:t>
      </w:r>
    </w:p>
    <w:p>
      <w:pPr>
        <w:spacing w:after="120" w:line="264" w:lineRule="auto"/>
      </w:pPr>
      <w:r>
        <w:rPr>
          <w:sz w:val="22"/>
        </w:rPr>
        <w:t>Dell 当前最强的不是单点技术领先，而是规模化 AI 服务器交付能力。AI 工厂的真正瓶颈往往在 GPU 供给、机柜级系统、液冷/供电、数据中心部署、验收和售后。Dell 的机会在于把 AI 资本开支从芯片预算转化为可交付系统预算，但长期毛利率仍受硬件竞争和上游平台议价压制。</w:t>
      </w:r>
    </w:p>
    <w:p>
      <w:pPr>
        <w:pStyle w:val="Heading1"/>
      </w:pPr>
      <w:r>
        <w:t>六、管理层与治理结构</w:t>
      </w:r>
    </w:p>
    <w:p>
      <w:pPr>
        <w:pStyle w:val="Heading2"/>
      </w:pPr>
      <w:r>
        <w:t>6.1 核心管理层</w:t>
      </w:r>
    </w:p>
    <w:tbl>
      <w:tblPr>
        <w:tblStyle w:val="TableGrid"/>
        <w:tblW w:type="dxa" w:w="9360"/>
        <w:jc w:val="center"/>
        <w:tblLook w:firstColumn="1" w:firstRow="1" w:lastColumn="0" w:lastRow="0" w:noHBand="0" w:noVBand="1" w:val="04A0"/>
        <w:tblInd w:w="120" w:type="dxa"/>
      </w:tblPr>
      <w:tblGrid>
        <w:gridCol w:w="2300"/>
        <w:gridCol w:w="2700"/>
        <w:gridCol w:w="4360"/>
      </w:tblGrid>
      <w:tr>
        <w:trPr>
          <w:tblHeader w:val="true"/>
        </w:trPr>
        <w:tc>
          <w:tcPr>
            <w:tcW w:type="dxa" w:w="2300"/>
            <w:shd w:fill="E8EEF5"/>
            <w:tcMar>
              <w:top w:w="80" w:type="dxa"/>
              <w:bottom w:w="80" w:type="dxa"/>
              <w:start w:w="120" w:type="dxa"/>
              <w:end w:w="120" w:type="dxa"/>
            </w:tcMar>
            <w:vAlign w:val="center"/>
          </w:tcPr>
          <w:p>
            <w:pPr>
              <w:jc w:val="center"/>
            </w:pPr>
            <w:r>
              <w:rPr>
                <w:b/>
                <w:sz w:val="19"/>
              </w:rPr>
              <w:t>人员</w:t>
            </w:r>
          </w:p>
        </w:tc>
        <w:tc>
          <w:tcPr>
            <w:tcW w:type="dxa" w:w="2700"/>
            <w:shd w:fill="E8EEF5"/>
            <w:tcMar>
              <w:top w:w="80" w:type="dxa"/>
              <w:bottom w:w="80" w:type="dxa"/>
              <w:start w:w="120" w:type="dxa"/>
              <w:end w:w="120" w:type="dxa"/>
            </w:tcMar>
            <w:vAlign w:val="center"/>
          </w:tcPr>
          <w:p>
            <w:pPr>
              <w:jc w:val="center"/>
            </w:pPr>
            <w:r>
              <w:rPr>
                <w:b/>
                <w:sz w:val="19"/>
              </w:rPr>
              <w:t>职务</w:t>
            </w:r>
          </w:p>
        </w:tc>
        <w:tc>
          <w:tcPr>
            <w:tcW w:type="dxa" w:w="4360"/>
            <w:shd w:fill="E8EEF5"/>
            <w:tcMar>
              <w:top w:w="80" w:type="dxa"/>
              <w:bottom w:w="80" w:type="dxa"/>
              <w:start w:w="120" w:type="dxa"/>
              <w:end w:w="120" w:type="dxa"/>
            </w:tcMar>
            <w:vAlign w:val="center"/>
          </w:tcPr>
          <w:p>
            <w:pPr>
              <w:jc w:val="center"/>
            </w:pPr>
            <w:r>
              <w:rPr>
                <w:b/>
                <w:sz w:val="19"/>
              </w:rPr>
              <w:t>研究关注点</w:t>
            </w:r>
          </w:p>
        </w:tc>
      </w:tr>
      <w:tr>
        <w:tc>
          <w:tcPr>
            <w:tcW w:type="dxa" w:w="2300"/>
            <w:tcMar>
              <w:top w:w="80" w:type="dxa"/>
              <w:bottom w:w="80" w:type="dxa"/>
              <w:start w:w="120" w:type="dxa"/>
              <w:end w:w="120" w:type="dxa"/>
            </w:tcMar>
            <w:vAlign w:val="center"/>
          </w:tcPr>
          <w:p>
            <w:pPr>
              <w:jc w:val="center"/>
            </w:pPr>
            <w:r>
              <w:rPr>
                <w:sz w:val="19"/>
              </w:rPr>
              <w:t>Michael Dell</w:t>
            </w:r>
          </w:p>
        </w:tc>
        <w:tc>
          <w:tcPr>
            <w:tcW w:type="dxa" w:w="2700"/>
            <w:tcMar>
              <w:top w:w="80" w:type="dxa"/>
              <w:bottom w:w="80" w:type="dxa"/>
              <w:start w:w="120" w:type="dxa"/>
              <w:end w:w="120" w:type="dxa"/>
            </w:tcMar>
            <w:vAlign w:val="center"/>
          </w:tcPr>
          <w:p>
            <w:pPr>
              <w:jc w:val="left"/>
            </w:pPr>
            <w:r>
              <w:rPr>
                <w:sz w:val="19"/>
              </w:rPr>
              <w:t>Chairman and Chief Executive Officer</w:t>
            </w:r>
          </w:p>
        </w:tc>
        <w:tc>
          <w:tcPr>
            <w:tcW w:type="dxa" w:w="4360"/>
            <w:tcMar>
              <w:top w:w="80" w:type="dxa"/>
              <w:bottom w:w="80" w:type="dxa"/>
              <w:start w:w="120" w:type="dxa"/>
              <w:end w:w="120" w:type="dxa"/>
            </w:tcMar>
            <w:vAlign w:val="center"/>
          </w:tcPr>
          <w:p>
            <w:pPr>
              <w:jc w:val="left"/>
            </w:pPr>
            <w:r>
              <w:rPr>
                <w:sz w:val="19"/>
              </w:rPr>
              <w:t>长期战略、资本配置、AI 基础设施方向和大客户关系</w:t>
            </w:r>
          </w:p>
        </w:tc>
      </w:tr>
      <w:tr>
        <w:tc>
          <w:tcPr>
            <w:tcW w:type="dxa" w:w="2300"/>
            <w:tcMar>
              <w:top w:w="80" w:type="dxa"/>
              <w:bottom w:w="80" w:type="dxa"/>
              <w:start w:w="120" w:type="dxa"/>
              <w:end w:w="120" w:type="dxa"/>
            </w:tcMar>
            <w:vAlign w:val="center"/>
          </w:tcPr>
          <w:p>
            <w:pPr>
              <w:jc w:val="center"/>
            </w:pPr>
            <w:r>
              <w:rPr>
                <w:sz w:val="19"/>
              </w:rPr>
              <w:t>Jeff Clarke</w:t>
            </w:r>
          </w:p>
        </w:tc>
        <w:tc>
          <w:tcPr>
            <w:tcW w:type="dxa" w:w="2700"/>
            <w:tcMar>
              <w:top w:w="80" w:type="dxa"/>
              <w:bottom w:w="80" w:type="dxa"/>
              <w:start w:w="120" w:type="dxa"/>
              <w:end w:w="120" w:type="dxa"/>
            </w:tcMar>
            <w:vAlign w:val="center"/>
          </w:tcPr>
          <w:p>
            <w:pPr>
              <w:jc w:val="left"/>
            </w:pPr>
            <w:r>
              <w:rPr>
                <w:sz w:val="19"/>
              </w:rPr>
              <w:t>Vice Chairman and Chief Operating Officer</w:t>
            </w:r>
          </w:p>
        </w:tc>
        <w:tc>
          <w:tcPr>
            <w:tcW w:type="dxa" w:w="4360"/>
            <w:tcMar>
              <w:top w:w="80" w:type="dxa"/>
              <w:bottom w:w="80" w:type="dxa"/>
              <w:start w:w="120" w:type="dxa"/>
              <w:end w:w="120" w:type="dxa"/>
            </w:tcMar>
            <w:vAlign w:val="center"/>
          </w:tcPr>
          <w:p>
            <w:pPr>
              <w:jc w:val="left"/>
            </w:pPr>
            <w:r>
              <w:rPr>
                <w:sz w:val="19"/>
              </w:rPr>
              <w:t>产品组合、供应链执行、AI 服务器交付和运营效率</w:t>
            </w:r>
          </w:p>
        </w:tc>
      </w:tr>
      <w:tr>
        <w:tc>
          <w:tcPr>
            <w:tcW w:type="dxa" w:w="2300"/>
            <w:tcMar>
              <w:top w:w="80" w:type="dxa"/>
              <w:bottom w:w="80" w:type="dxa"/>
              <w:start w:w="120" w:type="dxa"/>
              <w:end w:w="120" w:type="dxa"/>
            </w:tcMar>
            <w:vAlign w:val="center"/>
          </w:tcPr>
          <w:p>
            <w:pPr>
              <w:jc w:val="center"/>
            </w:pPr>
            <w:r>
              <w:rPr>
                <w:sz w:val="19"/>
              </w:rPr>
              <w:t>David Kennedy</w:t>
            </w:r>
          </w:p>
        </w:tc>
        <w:tc>
          <w:tcPr>
            <w:tcW w:type="dxa" w:w="2700"/>
            <w:tcMar>
              <w:top w:w="80" w:type="dxa"/>
              <w:bottom w:w="80" w:type="dxa"/>
              <w:start w:w="120" w:type="dxa"/>
              <w:end w:w="120" w:type="dxa"/>
            </w:tcMar>
            <w:vAlign w:val="center"/>
          </w:tcPr>
          <w:p>
            <w:pPr>
              <w:jc w:val="left"/>
            </w:pPr>
            <w:r>
              <w:rPr>
                <w:sz w:val="19"/>
              </w:rPr>
              <w:t>Chief Financial Officer</w:t>
            </w:r>
          </w:p>
        </w:tc>
        <w:tc>
          <w:tcPr>
            <w:tcW w:type="dxa" w:w="4360"/>
            <w:tcMar>
              <w:top w:w="80" w:type="dxa"/>
              <w:bottom w:w="80" w:type="dxa"/>
              <w:start w:w="120" w:type="dxa"/>
              <w:end w:w="120" w:type="dxa"/>
            </w:tcMar>
            <w:vAlign w:val="center"/>
          </w:tcPr>
          <w:p>
            <w:pPr>
              <w:jc w:val="left"/>
            </w:pPr>
            <w:r>
              <w:rPr>
                <w:sz w:val="19"/>
              </w:rPr>
              <w:t>财务杠杆、自由现金流、回购、股息和 FY2027 指引执行</w:t>
            </w:r>
          </w:p>
        </w:tc>
      </w:tr>
      <w:tr>
        <w:tc>
          <w:tcPr>
            <w:tcW w:type="dxa" w:w="2300"/>
            <w:tcMar>
              <w:top w:w="80" w:type="dxa"/>
              <w:bottom w:w="80" w:type="dxa"/>
              <w:start w:w="120" w:type="dxa"/>
              <w:end w:w="120" w:type="dxa"/>
            </w:tcMar>
            <w:vAlign w:val="center"/>
          </w:tcPr>
          <w:p>
            <w:pPr>
              <w:jc w:val="center"/>
            </w:pPr>
            <w:r>
              <w:rPr>
                <w:sz w:val="19"/>
              </w:rPr>
              <w:t>Yvonne McGill</w:t>
            </w:r>
          </w:p>
        </w:tc>
        <w:tc>
          <w:tcPr>
            <w:tcW w:type="dxa" w:w="2700"/>
            <w:tcMar>
              <w:top w:w="80" w:type="dxa"/>
              <w:bottom w:w="80" w:type="dxa"/>
              <w:start w:w="120" w:type="dxa"/>
              <w:end w:w="120" w:type="dxa"/>
            </w:tcMar>
            <w:vAlign w:val="center"/>
          </w:tcPr>
          <w:p>
            <w:pPr>
              <w:jc w:val="left"/>
            </w:pPr>
            <w:r>
              <w:rPr>
                <w:sz w:val="19"/>
              </w:rPr>
              <w:t>Former CFO / Strategic financial leadership context</w:t>
            </w:r>
          </w:p>
        </w:tc>
        <w:tc>
          <w:tcPr>
            <w:tcW w:type="dxa" w:w="4360"/>
            <w:tcMar>
              <w:top w:w="80" w:type="dxa"/>
              <w:bottom w:w="80" w:type="dxa"/>
              <w:start w:w="120" w:type="dxa"/>
              <w:end w:w="120" w:type="dxa"/>
            </w:tcMar>
            <w:vAlign w:val="center"/>
          </w:tcPr>
          <w:p>
            <w:pPr>
              <w:jc w:val="left"/>
            </w:pPr>
            <w:r>
              <w:rPr>
                <w:sz w:val="19"/>
              </w:rPr>
              <w:t>历史去杠杆和资本回报框架延续</w:t>
            </w:r>
          </w:p>
        </w:tc>
      </w:tr>
    </w:tbl>
    <w:p/>
    <w:p>
      <w:pPr>
        <w:pStyle w:val="Heading2"/>
      </w:pPr>
      <w:r>
        <w:t>6.2 股东回报与治理特点</w:t>
      </w:r>
    </w:p>
    <w:p>
      <w:pPr>
        <w:spacing w:after="120" w:line="264" w:lineRule="auto"/>
      </w:pPr>
      <w:r>
        <w:rPr>
          <w:sz w:val="22"/>
        </w:rPr>
        <w:t>Dell 的治理特征是创始人影响力强、资本配置集中、回购和分红意愿明确。FY2026 公司向股东返还 75 亿美元，回购约 5400 万股；FY2027 Q1 又返还 21 亿美元。强回购提升 EPS 弹性，但在 AI 服务器营运资本快速扩张时，也要求公司维持足够现金和债务弹性。</w:t>
      </w:r>
    </w:p>
    <w:p>
      <w:pPr>
        <w:pStyle w:val="Heading1"/>
      </w:pPr>
      <w:r>
        <w:t>七、财务会计信息</w:t>
      </w:r>
    </w:p>
    <w:p>
      <w:pPr>
        <w:pStyle w:val="Heading2"/>
      </w:pPr>
      <w:r>
        <w:t>7.1 FY2027 Q1 最新季度财务</w:t>
      </w:r>
    </w:p>
    <w:p>
      <w:pPr>
        <w:spacing w:after="80"/>
      </w:pPr>
      <w:r>
        <w:rPr>
          <w:color w:val="585858"/>
          <w:sz w:val="18"/>
        </w:rPr>
        <w:t>数据来源：Dell FY2027 Q1 earnings release，季度截至 2026年5月1日。金额单位：亿美元，EPS 为美元。</w:t>
      </w:r>
    </w:p>
    <w:tbl>
      <w:tblPr>
        <w:tblStyle w:val="TableGrid"/>
        <w:tblW w:type="dxa" w:w="9360"/>
        <w:jc w:val="center"/>
        <w:tblLook w:firstColumn="1" w:firstRow="1" w:lastColumn="0" w:lastRow="0" w:noHBand="0" w:noVBand="1" w:val="04A0"/>
        <w:tblInd w:w="120" w:type="dxa"/>
      </w:tblPr>
      <w:tblGrid>
        <w:gridCol w:w="1800"/>
        <w:gridCol w:w="1700"/>
        <w:gridCol w:w="1400"/>
        <w:gridCol w:w="4460"/>
      </w:tblGrid>
      <w:tr>
        <w:trPr>
          <w:tblHeader w:val="true"/>
        </w:trPr>
        <w:tc>
          <w:tcPr>
            <w:tcW w:type="dxa" w:w="1800"/>
            <w:shd w:fill="E8EEF5"/>
            <w:tcMar>
              <w:top w:w="80" w:type="dxa"/>
              <w:bottom w:w="80" w:type="dxa"/>
              <w:start w:w="120" w:type="dxa"/>
              <w:end w:w="120" w:type="dxa"/>
            </w:tcMar>
            <w:vAlign w:val="center"/>
          </w:tcPr>
          <w:p>
            <w:pPr>
              <w:jc w:val="center"/>
            </w:pPr>
            <w:r>
              <w:rPr>
                <w:b/>
                <w:sz w:val="19"/>
              </w:rPr>
              <w:t>指标</w:t>
            </w:r>
          </w:p>
        </w:tc>
        <w:tc>
          <w:tcPr>
            <w:tcW w:type="dxa" w:w="1700"/>
            <w:shd w:fill="E8EEF5"/>
            <w:tcMar>
              <w:top w:w="80" w:type="dxa"/>
              <w:bottom w:w="80" w:type="dxa"/>
              <w:start w:w="120" w:type="dxa"/>
              <w:end w:w="120" w:type="dxa"/>
            </w:tcMar>
            <w:vAlign w:val="center"/>
          </w:tcPr>
          <w:p>
            <w:pPr>
              <w:jc w:val="center"/>
            </w:pPr>
            <w:r>
              <w:rPr>
                <w:b/>
                <w:sz w:val="19"/>
              </w:rPr>
              <w:t>FY2027 Q1</w:t>
            </w:r>
          </w:p>
        </w:tc>
        <w:tc>
          <w:tcPr>
            <w:tcW w:type="dxa" w:w="1400"/>
            <w:shd w:fill="E8EEF5"/>
            <w:tcMar>
              <w:top w:w="80" w:type="dxa"/>
              <w:bottom w:w="80" w:type="dxa"/>
              <w:start w:w="120" w:type="dxa"/>
              <w:end w:w="120" w:type="dxa"/>
            </w:tcMar>
            <w:vAlign w:val="center"/>
          </w:tcPr>
          <w:p>
            <w:pPr>
              <w:jc w:val="center"/>
            </w:pPr>
            <w:r>
              <w:rPr>
                <w:b/>
                <w:sz w:val="19"/>
              </w:rPr>
              <w:t>同比变化</w:t>
            </w:r>
          </w:p>
        </w:tc>
        <w:tc>
          <w:tcPr>
            <w:tcW w:type="dxa" w:w="4460"/>
            <w:shd w:fill="E8EEF5"/>
            <w:tcMar>
              <w:top w:w="80" w:type="dxa"/>
              <w:bottom w:w="80" w:type="dxa"/>
              <w:start w:w="120" w:type="dxa"/>
              <w:end w:w="120" w:type="dxa"/>
            </w:tcMar>
            <w:vAlign w:val="center"/>
          </w:tcPr>
          <w:p>
            <w:pPr>
              <w:jc w:val="center"/>
            </w:pPr>
            <w:r>
              <w:rPr>
                <w:b/>
                <w:sz w:val="19"/>
              </w:rPr>
              <w:t>研究解读</w:t>
            </w:r>
          </w:p>
        </w:tc>
      </w:tr>
      <w:tr>
        <w:tc>
          <w:tcPr>
            <w:tcW w:type="dxa" w:w="1800"/>
            <w:tcMar>
              <w:top w:w="80" w:type="dxa"/>
              <w:bottom w:w="80" w:type="dxa"/>
              <w:start w:w="120" w:type="dxa"/>
              <w:end w:w="120" w:type="dxa"/>
            </w:tcMar>
            <w:vAlign w:val="center"/>
          </w:tcPr>
          <w:p>
            <w:pPr>
              <w:jc w:val="center"/>
            </w:pPr>
            <w:r>
              <w:rPr>
                <w:sz w:val="19"/>
              </w:rPr>
              <w:t>总收入</w:t>
            </w:r>
          </w:p>
        </w:tc>
        <w:tc>
          <w:tcPr>
            <w:tcW w:type="dxa" w:w="1700"/>
            <w:tcMar>
              <w:top w:w="80" w:type="dxa"/>
              <w:bottom w:w="80" w:type="dxa"/>
              <w:start w:w="120" w:type="dxa"/>
              <w:end w:w="120" w:type="dxa"/>
            </w:tcMar>
            <w:vAlign w:val="center"/>
          </w:tcPr>
          <w:p>
            <w:pPr>
              <w:jc w:val="left"/>
            </w:pPr>
            <w:r>
              <w:rPr>
                <w:sz w:val="19"/>
              </w:rPr>
              <w:t>438.42</w:t>
            </w:r>
          </w:p>
        </w:tc>
        <w:tc>
          <w:tcPr>
            <w:tcW w:type="dxa" w:w="1400"/>
            <w:tcMar>
              <w:top w:w="80" w:type="dxa"/>
              <w:bottom w:w="80" w:type="dxa"/>
              <w:start w:w="120" w:type="dxa"/>
              <w:end w:w="120" w:type="dxa"/>
            </w:tcMar>
            <w:vAlign w:val="center"/>
          </w:tcPr>
          <w:p>
            <w:pPr>
              <w:jc w:val="left"/>
            </w:pPr>
            <w:r>
              <w:rPr>
                <w:sz w:val="19"/>
              </w:rPr>
              <w:t>+88%</w:t>
            </w:r>
          </w:p>
        </w:tc>
        <w:tc>
          <w:tcPr>
            <w:tcW w:type="dxa" w:w="4460"/>
            <w:tcMar>
              <w:top w:w="80" w:type="dxa"/>
              <w:bottom w:w="80" w:type="dxa"/>
              <w:start w:w="120" w:type="dxa"/>
              <w:end w:w="120" w:type="dxa"/>
            </w:tcMar>
            <w:vAlign w:val="center"/>
          </w:tcPr>
          <w:p>
            <w:pPr>
              <w:jc w:val="left"/>
            </w:pPr>
            <w:r>
              <w:rPr>
                <w:sz w:val="19"/>
              </w:rPr>
              <w:t>AI 服务器收入爆发，是最核心增量</w:t>
            </w:r>
          </w:p>
        </w:tc>
      </w:tr>
      <w:tr>
        <w:tc>
          <w:tcPr>
            <w:tcW w:type="dxa" w:w="1800"/>
            <w:tcMar>
              <w:top w:w="80" w:type="dxa"/>
              <w:bottom w:w="80" w:type="dxa"/>
              <w:start w:w="120" w:type="dxa"/>
              <w:end w:w="120" w:type="dxa"/>
            </w:tcMar>
            <w:vAlign w:val="center"/>
          </w:tcPr>
          <w:p>
            <w:pPr>
              <w:jc w:val="center"/>
            </w:pPr>
            <w:r>
              <w:rPr>
                <w:sz w:val="19"/>
              </w:rPr>
              <w:t>GAAP 营业利润</w:t>
            </w:r>
          </w:p>
        </w:tc>
        <w:tc>
          <w:tcPr>
            <w:tcW w:type="dxa" w:w="1700"/>
            <w:tcMar>
              <w:top w:w="80" w:type="dxa"/>
              <w:bottom w:w="80" w:type="dxa"/>
              <w:start w:w="120" w:type="dxa"/>
              <w:end w:w="120" w:type="dxa"/>
            </w:tcMar>
            <w:vAlign w:val="center"/>
          </w:tcPr>
          <w:p>
            <w:pPr>
              <w:jc w:val="left"/>
            </w:pPr>
            <w:r>
              <w:rPr>
                <w:sz w:val="19"/>
              </w:rPr>
              <w:t>36.56</w:t>
            </w:r>
          </w:p>
        </w:tc>
        <w:tc>
          <w:tcPr>
            <w:tcW w:type="dxa" w:w="1400"/>
            <w:tcMar>
              <w:top w:w="80" w:type="dxa"/>
              <w:bottom w:w="80" w:type="dxa"/>
              <w:start w:w="120" w:type="dxa"/>
              <w:end w:w="120" w:type="dxa"/>
            </w:tcMar>
            <w:vAlign w:val="center"/>
          </w:tcPr>
          <w:p>
            <w:pPr>
              <w:jc w:val="left"/>
            </w:pPr>
            <w:r>
              <w:rPr>
                <w:sz w:val="19"/>
              </w:rPr>
              <w:t>+214%</w:t>
            </w:r>
          </w:p>
        </w:tc>
        <w:tc>
          <w:tcPr>
            <w:tcW w:type="dxa" w:w="4460"/>
            <w:tcMar>
              <w:top w:w="80" w:type="dxa"/>
              <w:bottom w:w="80" w:type="dxa"/>
              <w:start w:w="120" w:type="dxa"/>
              <w:end w:w="120" w:type="dxa"/>
            </w:tcMar>
            <w:vAlign w:val="center"/>
          </w:tcPr>
          <w:p>
            <w:pPr>
              <w:jc w:val="left"/>
            </w:pPr>
            <w:r>
              <w:rPr>
                <w:sz w:val="19"/>
              </w:rPr>
              <w:t>收入规模放大带来显著经营杠杆</w:t>
            </w:r>
          </w:p>
        </w:tc>
      </w:tr>
      <w:tr>
        <w:tc>
          <w:tcPr>
            <w:tcW w:type="dxa" w:w="1800"/>
            <w:tcMar>
              <w:top w:w="80" w:type="dxa"/>
              <w:bottom w:w="80" w:type="dxa"/>
              <w:start w:w="120" w:type="dxa"/>
              <w:end w:w="120" w:type="dxa"/>
            </w:tcMar>
            <w:vAlign w:val="center"/>
          </w:tcPr>
          <w:p>
            <w:pPr>
              <w:jc w:val="center"/>
            </w:pPr>
            <w:r>
              <w:rPr>
                <w:sz w:val="19"/>
              </w:rPr>
              <w:t>GAAP 净利润</w:t>
            </w:r>
          </w:p>
        </w:tc>
        <w:tc>
          <w:tcPr>
            <w:tcW w:type="dxa" w:w="1700"/>
            <w:tcMar>
              <w:top w:w="80" w:type="dxa"/>
              <w:bottom w:w="80" w:type="dxa"/>
              <w:start w:w="120" w:type="dxa"/>
              <w:end w:w="120" w:type="dxa"/>
            </w:tcMar>
            <w:vAlign w:val="center"/>
          </w:tcPr>
          <w:p>
            <w:pPr>
              <w:jc w:val="left"/>
            </w:pPr>
            <w:r>
              <w:rPr>
                <w:sz w:val="19"/>
              </w:rPr>
              <w:t>34.38</w:t>
            </w:r>
          </w:p>
        </w:tc>
        <w:tc>
          <w:tcPr>
            <w:tcW w:type="dxa" w:w="1400"/>
            <w:tcMar>
              <w:top w:w="80" w:type="dxa"/>
              <w:bottom w:w="80" w:type="dxa"/>
              <w:start w:w="120" w:type="dxa"/>
              <w:end w:w="120" w:type="dxa"/>
            </w:tcMar>
            <w:vAlign w:val="center"/>
          </w:tcPr>
          <w:p>
            <w:pPr>
              <w:jc w:val="left"/>
            </w:pPr>
            <w:r>
              <w:rPr>
                <w:sz w:val="19"/>
              </w:rPr>
              <w:t>+256%</w:t>
            </w:r>
          </w:p>
        </w:tc>
        <w:tc>
          <w:tcPr>
            <w:tcW w:type="dxa" w:w="4460"/>
            <w:tcMar>
              <w:top w:w="80" w:type="dxa"/>
              <w:bottom w:w="80" w:type="dxa"/>
              <w:start w:w="120" w:type="dxa"/>
              <w:end w:w="120" w:type="dxa"/>
            </w:tcMar>
            <w:vAlign w:val="center"/>
          </w:tcPr>
          <w:p>
            <w:pPr>
              <w:jc w:val="left"/>
            </w:pPr>
            <w:r>
              <w:rPr>
                <w:sz w:val="19"/>
              </w:rPr>
              <w:t>受营业利润和非经营项目共同推动</w:t>
            </w:r>
          </w:p>
        </w:tc>
      </w:tr>
      <w:tr>
        <w:tc>
          <w:tcPr>
            <w:tcW w:type="dxa" w:w="1800"/>
            <w:tcMar>
              <w:top w:w="80" w:type="dxa"/>
              <w:bottom w:w="80" w:type="dxa"/>
              <w:start w:w="120" w:type="dxa"/>
              <w:end w:w="120" w:type="dxa"/>
            </w:tcMar>
            <w:vAlign w:val="center"/>
          </w:tcPr>
          <w:p>
            <w:pPr>
              <w:jc w:val="center"/>
            </w:pPr>
            <w:r>
              <w:rPr>
                <w:sz w:val="19"/>
              </w:rPr>
              <w:t>经营现金流</w:t>
            </w:r>
          </w:p>
        </w:tc>
        <w:tc>
          <w:tcPr>
            <w:tcW w:type="dxa" w:w="1700"/>
            <w:tcMar>
              <w:top w:w="80" w:type="dxa"/>
              <w:bottom w:w="80" w:type="dxa"/>
              <w:start w:w="120" w:type="dxa"/>
              <w:end w:w="120" w:type="dxa"/>
            </w:tcMar>
            <w:vAlign w:val="center"/>
          </w:tcPr>
          <w:p>
            <w:pPr>
              <w:jc w:val="left"/>
            </w:pPr>
            <w:r>
              <w:rPr>
                <w:sz w:val="19"/>
              </w:rPr>
              <w:t>40.81</w:t>
            </w:r>
          </w:p>
        </w:tc>
        <w:tc>
          <w:tcPr>
            <w:tcW w:type="dxa" w:w="1400"/>
            <w:tcMar>
              <w:top w:w="80" w:type="dxa"/>
              <w:bottom w:w="80" w:type="dxa"/>
              <w:start w:w="120" w:type="dxa"/>
              <w:end w:w="120" w:type="dxa"/>
            </w:tcMar>
            <w:vAlign w:val="center"/>
          </w:tcPr>
          <w:p>
            <w:pPr>
              <w:jc w:val="left"/>
            </w:pPr>
            <w:r>
              <w:rPr>
                <w:sz w:val="19"/>
              </w:rPr>
              <w:t>+46%</w:t>
            </w:r>
          </w:p>
        </w:tc>
        <w:tc>
          <w:tcPr>
            <w:tcW w:type="dxa" w:w="4460"/>
            <w:tcMar>
              <w:top w:w="80" w:type="dxa"/>
              <w:bottom w:w="80" w:type="dxa"/>
              <w:start w:w="120" w:type="dxa"/>
              <w:end w:w="120" w:type="dxa"/>
            </w:tcMar>
            <w:vAlign w:val="center"/>
          </w:tcPr>
          <w:p>
            <w:pPr>
              <w:jc w:val="left"/>
            </w:pPr>
            <w:r>
              <w:rPr>
                <w:sz w:val="19"/>
              </w:rPr>
              <w:t>现金流仍强，但低于收入和利润增速，需关注营运资本</w:t>
            </w:r>
          </w:p>
        </w:tc>
      </w:tr>
      <w:tr>
        <w:tc>
          <w:tcPr>
            <w:tcW w:type="dxa" w:w="1800"/>
            <w:tcMar>
              <w:top w:w="80" w:type="dxa"/>
              <w:bottom w:w="80" w:type="dxa"/>
              <w:start w:w="120" w:type="dxa"/>
              <w:end w:w="120" w:type="dxa"/>
            </w:tcMar>
            <w:vAlign w:val="center"/>
          </w:tcPr>
          <w:p>
            <w:pPr>
              <w:jc w:val="center"/>
            </w:pPr>
            <w:r>
              <w:rPr>
                <w:sz w:val="19"/>
              </w:rPr>
              <w:t>GAAP EPS</w:t>
            </w:r>
          </w:p>
        </w:tc>
        <w:tc>
          <w:tcPr>
            <w:tcW w:type="dxa" w:w="1700"/>
            <w:tcMar>
              <w:top w:w="80" w:type="dxa"/>
              <w:bottom w:w="80" w:type="dxa"/>
              <w:start w:w="120" w:type="dxa"/>
              <w:end w:w="120" w:type="dxa"/>
            </w:tcMar>
            <w:vAlign w:val="center"/>
          </w:tcPr>
          <w:p>
            <w:pPr>
              <w:jc w:val="left"/>
            </w:pPr>
            <w:r>
              <w:rPr>
                <w:sz w:val="19"/>
              </w:rPr>
              <w:t>5.24</w:t>
            </w:r>
          </w:p>
        </w:tc>
        <w:tc>
          <w:tcPr>
            <w:tcW w:type="dxa" w:w="1400"/>
            <w:tcMar>
              <w:top w:w="80" w:type="dxa"/>
              <w:bottom w:w="80" w:type="dxa"/>
              <w:start w:w="120" w:type="dxa"/>
              <w:end w:w="120" w:type="dxa"/>
            </w:tcMar>
            <w:vAlign w:val="center"/>
          </w:tcPr>
          <w:p>
            <w:pPr>
              <w:jc w:val="left"/>
            </w:pPr>
            <w:r>
              <w:rPr>
                <w:sz w:val="19"/>
              </w:rPr>
              <w:t>+282%</w:t>
            </w:r>
          </w:p>
        </w:tc>
        <w:tc>
          <w:tcPr>
            <w:tcW w:type="dxa" w:w="4460"/>
            <w:tcMar>
              <w:top w:w="80" w:type="dxa"/>
              <w:bottom w:w="80" w:type="dxa"/>
              <w:start w:w="120" w:type="dxa"/>
              <w:end w:w="120" w:type="dxa"/>
            </w:tcMar>
            <w:vAlign w:val="center"/>
          </w:tcPr>
          <w:p>
            <w:pPr>
              <w:jc w:val="left"/>
            </w:pPr>
            <w:r>
              <w:rPr>
                <w:sz w:val="19"/>
              </w:rPr>
              <w:t>利润增长叠加回购减少股本</w:t>
            </w:r>
          </w:p>
        </w:tc>
      </w:tr>
      <w:tr>
        <w:tc>
          <w:tcPr>
            <w:tcW w:type="dxa" w:w="1800"/>
            <w:tcMar>
              <w:top w:w="80" w:type="dxa"/>
              <w:bottom w:w="80" w:type="dxa"/>
              <w:start w:w="120" w:type="dxa"/>
              <w:end w:w="120" w:type="dxa"/>
            </w:tcMar>
            <w:vAlign w:val="center"/>
          </w:tcPr>
          <w:p>
            <w:pPr>
              <w:jc w:val="center"/>
            </w:pPr>
            <w:r>
              <w:rPr>
                <w:sz w:val="19"/>
              </w:rPr>
              <w:t>Non-GAAP 营业利润</w:t>
            </w:r>
          </w:p>
        </w:tc>
        <w:tc>
          <w:tcPr>
            <w:tcW w:type="dxa" w:w="1700"/>
            <w:tcMar>
              <w:top w:w="80" w:type="dxa"/>
              <w:bottom w:w="80" w:type="dxa"/>
              <w:start w:w="120" w:type="dxa"/>
              <w:end w:w="120" w:type="dxa"/>
            </w:tcMar>
            <w:vAlign w:val="center"/>
          </w:tcPr>
          <w:p>
            <w:pPr>
              <w:jc w:val="left"/>
            </w:pPr>
            <w:r>
              <w:rPr>
                <w:sz w:val="19"/>
              </w:rPr>
              <w:t>42.35</w:t>
            </w:r>
          </w:p>
        </w:tc>
        <w:tc>
          <w:tcPr>
            <w:tcW w:type="dxa" w:w="1400"/>
            <w:tcMar>
              <w:top w:w="80" w:type="dxa"/>
              <w:bottom w:w="80" w:type="dxa"/>
              <w:start w:w="120" w:type="dxa"/>
              <w:end w:w="120" w:type="dxa"/>
            </w:tcMar>
            <w:vAlign w:val="center"/>
          </w:tcPr>
          <w:p>
            <w:pPr>
              <w:jc w:val="left"/>
            </w:pPr>
            <w:r>
              <w:rPr>
                <w:sz w:val="19"/>
              </w:rPr>
              <w:t>+154%</w:t>
            </w:r>
          </w:p>
        </w:tc>
        <w:tc>
          <w:tcPr>
            <w:tcW w:type="dxa" w:w="4460"/>
            <w:tcMar>
              <w:top w:w="80" w:type="dxa"/>
              <w:bottom w:w="80" w:type="dxa"/>
              <w:start w:w="120" w:type="dxa"/>
              <w:end w:w="120" w:type="dxa"/>
            </w:tcMar>
            <w:vAlign w:val="center"/>
          </w:tcPr>
          <w:p>
            <w:pPr>
              <w:jc w:val="left"/>
            </w:pPr>
            <w:r>
              <w:rPr>
                <w:sz w:val="19"/>
              </w:rPr>
              <w:t>非 GAAP 口径同样显示规模杠杆</w:t>
            </w:r>
          </w:p>
        </w:tc>
      </w:tr>
      <w:tr>
        <w:tc>
          <w:tcPr>
            <w:tcW w:type="dxa" w:w="1800"/>
            <w:tcMar>
              <w:top w:w="80" w:type="dxa"/>
              <w:bottom w:w="80" w:type="dxa"/>
              <w:start w:w="120" w:type="dxa"/>
              <w:end w:w="120" w:type="dxa"/>
            </w:tcMar>
            <w:vAlign w:val="center"/>
          </w:tcPr>
          <w:p>
            <w:pPr>
              <w:jc w:val="center"/>
            </w:pPr>
            <w:r>
              <w:rPr>
                <w:sz w:val="19"/>
              </w:rPr>
              <w:t>Non-GAAP EPS</w:t>
            </w:r>
          </w:p>
        </w:tc>
        <w:tc>
          <w:tcPr>
            <w:tcW w:type="dxa" w:w="1700"/>
            <w:tcMar>
              <w:top w:w="80" w:type="dxa"/>
              <w:bottom w:w="80" w:type="dxa"/>
              <w:start w:w="120" w:type="dxa"/>
              <w:end w:w="120" w:type="dxa"/>
            </w:tcMar>
            <w:vAlign w:val="center"/>
          </w:tcPr>
          <w:p>
            <w:pPr>
              <w:jc w:val="left"/>
            </w:pPr>
            <w:r>
              <w:rPr>
                <w:sz w:val="19"/>
              </w:rPr>
              <w:t>4.86</w:t>
            </w:r>
          </w:p>
        </w:tc>
        <w:tc>
          <w:tcPr>
            <w:tcW w:type="dxa" w:w="1400"/>
            <w:tcMar>
              <w:top w:w="80" w:type="dxa"/>
              <w:bottom w:w="80" w:type="dxa"/>
              <w:start w:w="120" w:type="dxa"/>
              <w:end w:w="120" w:type="dxa"/>
            </w:tcMar>
            <w:vAlign w:val="center"/>
          </w:tcPr>
          <w:p>
            <w:pPr>
              <w:jc w:val="left"/>
            </w:pPr>
            <w:r>
              <w:rPr>
                <w:sz w:val="19"/>
              </w:rPr>
              <w:t>+214%</w:t>
            </w:r>
          </w:p>
        </w:tc>
        <w:tc>
          <w:tcPr>
            <w:tcW w:type="dxa" w:w="4460"/>
            <w:tcMar>
              <w:top w:w="80" w:type="dxa"/>
              <w:bottom w:w="80" w:type="dxa"/>
              <w:start w:w="120" w:type="dxa"/>
              <w:end w:w="120" w:type="dxa"/>
            </w:tcMar>
            <w:vAlign w:val="center"/>
          </w:tcPr>
          <w:p>
            <w:pPr>
              <w:jc w:val="left"/>
            </w:pPr>
            <w:r>
              <w:rPr>
                <w:sz w:val="19"/>
              </w:rPr>
              <w:t>显著高于上年同期，是 FY2027 指引上修基础</w:t>
            </w:r>
          </w:p>
        </w:tc>
      </w:tr>
      <w:tr>
        <w:tc>
          <w:tcPr>
            <w:tcW w:type="dxa" w:w="1800"/>
            <w:tcMar>
              <w:top w:w="80" w:type="dxa"/>
              <w:bottom w:w="80" w:type="dxa"/>
              <w:start w:w="120" w:type="dxa"/>
              <w:end w:w="120" w:type="dxa"/>
            </w:tcMar>
            <w:vAlign w:val="center"/>
          </w:tcPr>
          <w:p>
            <w:pPr>
              <w:jc w:val="center"/>
            </w:pPr>
            <w:r>
              <w:rPr>
                <w:sz w:val="19"/>
              </w:rPr>
              <w:t>调整后自由现金流</w:t>
            </w:r>
          </w:p>
        </w:tc>
        <w:tc>
          <w:tcPr>
            <w:tcW w:type="dxa" w:w="1700"/>
            <w:tcMar>
              <w:top w:w="80" w:type="dxa"/>
              <w:bottom w:w="80" w:type="dxa"/>
              <w:start w:w="120" w:type="dxa"/>
              <w:end w:w="120" w:type="dxa"/>
            </w:tcMar>
            <w:vAlign w:val="center"/>
          </w:tcPr>
          <w:p>
            <w:pPr>
              <w:jc w:val="left"/>
            </w:pPr>
            <w:r>
              <w:rPr>
                <w:sz w:val="19"/>
              </w:rPr>
              <w:t>31.65</w:t>
            </w:r>
          </w:p>
        </w:tc>
        <w:tc>
          <w:tcPr>
            <w:tcW w:type="dxa" w:w="1400"/>
            <w:tcMar>
              <w:top w:w="80" w:type="dxa"/>
              <w:bottom w:w="80" w:type="dxa"/>
              <w:start w:w="120" w:type="dxa"/>
              <w:end w:w="120" w:type="dxa"/>
            </w:tcMar>
            <w:vAlign w:val="center"/>
          </w:tcPr>
          <w:p>
            <w:pPr>
              <w:jc w:val="left"/>
            </w:pPr>
            <w:r>
              <w:rPr>
                <w:sz w:val="19"/>
              </w:rPr>
              <w:t>+42%</w:t>
            </w:r>
          </w:p>
        </w:tc>
        <w:tc>
          <w:tcPr>
            <w:tcW w:type="dxa" w:w="4460"/>
            <w:tcMar>
              <w:top w:w="80" w:type="dxa"/>
              <w:bottom w:w="80" w:type="dxa"/>
              <w:start w:w="120" w:type="dxa"/>
              <w:end w:w="120" w:type="dxa"/>
            </w:tcMar>
            <w:vAlign w:val="center"/>
          </w:tcPr>
          <w:p>
            <w:pPr>
              <w:jc w:val="left"/>
            </w:pPr>
            <w:r>
              <w:rPr>
                <w:sz w:val="19"/>
              </w:rPr>
              <w:t>仍具质量，但 AI 扩张会持续考验现金转换</w:t>
            </w:r>
          </w:p>
        </w:tc>
      </w:tr>
    </w:tbl>
    <w:p/>
    <w:p>
      <w:pPr>
        <w:pStyle w:val="Heading2"/>
      </w:pPr>
      <w:r>
        <w:t>7.2 FY2026 全年财务</w:t>
      </w:r>
    </w:p>
    <w:p>
      <w:pPr>
        <w:spacing w:after="80"/>
      </w:pPr>
      <w:r>
        <w:rPr>
          <w:color w:val="585858"/>
          <w:sz w:val="18"/>
        </w:rPr>
        <w:t>数据来源：Dell FY2026 Q4 and full-year earnings release，财政年度截至 2026年1月30日。金额单位：亿美元。</w:t>
      </w:r>
    </w:p>
    <w:tbl>
      <w:tblPr>
        <w:tblStyle w:val="TableGrid"/>
        <w:tblW w:type="dxa" w:w="9360"/>
        <w:jc w:val="center"/>
        <w:tblLook w:firstColumn="1" w:firstRow="1" w:lastColumn="0" w:lastRow="0" w:noHBand="0" w:noVBand="1" w:val="04A0"/>
        <w:tblInd w:w="120" w:type="dxa"/>
      </w:tblPr>
      <w:tblGrid>
        <w:gridCol w:w="2100"/>
        <w:gridCol w:w="1700"/>
        <w:gridCol w:w="1400"/>
        <w:gridCol w:w="4160"/>
      </w:tblGrid>
      <w:tr>
        <w:trPr>
          <w:tblHeader w:val="true"/>
        </w:trPr>
        <w:tc>
          <w:tcPr>
            <w:tcW w:type="dxa" w:w="2100"/>
            <w:shd w:fill="F2F4F7"/>
            <w:tcMar>
              <w:top w:w="80" w:type="dxa"/>
              <w:bottom w:w="80" w:type="dxa"/>
              <w:start w:w="120" w:type="dxa"/>
              <w:end w:w="120" w:type="dxa"/>
            </w:tcMar>
            <w:vAlign w:val="center"/>
          </w:tcPr>
          <w:p>
            <w:pPr>
              <w:jc w:val="center"/>
            </w:pPr>
            <w:r>
              <w:rPr>
                <w:b/>
                <w:sz w:val="19"/>
              </w:rPr>
              <w:t>指标</w:t>
            </w:r>
          </w:p>
        </w:tc>
        <w:tc>
          <w:tcPr>
            <w:tcW w:type="dxa" w:w="1700"/>
            <w:shd w:fill="F2F4F7"/>
            <w:tcMar>
              <w:top w:w="80" w:type="dxa"/>
              <w:bottom w:w="80" w:type="dxa"/>
              <w:start w:w="120" w:type="dxa"/>
              <w:end w:w="120" w:type="dxa"/>
            </w:tcMar>
            <w:vAlign w:val="center"/>
          </w:tcPr>
          <w:p>
            <w:pPr>
              <w:jc w:val="center"/>
            </w:pPr>
            <w:r>
              <w:rPr>
                <w:b/>
                <w:sz w:val="19"/>
              </w:rPr>
              <w:t>FY2026</w:t>
            </w:r>
          </w:p>
        </w:tc>
        <w:tc>
          <w:tcPr>
            <w:tcW w:type="dxa" w:w="1400"/>
            <w:shd w:fill="F2F4F7"/>
            <w:tcMar>
              <w:top w:w="80" w:type="dxa"/>
              <w:bottom w:w="80" w:type="dxa"/>
              <w:start w:w="120" w:type="dxa"/>
              <w:end w:w="120" w:type="dxa"/>
            </w:tcMar>
            <w:vAlign w:val="center"/>
          </w:tcPr>
          <w:p>
            <w:pPr>
              <w:jc w:val="center"/>
            </w:pPr>
            <w:r>
              <w:rPr>
                <w:b/>
                <w:sz w:val="19"/>
              </w:rPr>
              <w:t>同比变化</w:t>
            </w:r>
          </w:p>
        </w:tc>
        <w:tc>
          <w:tcPr>
            <w:tcW w:type="dxa" w:w="4160"/>
            <w:shd w:fill="F2F4F7"/>
            <w:tcMar>
              <w:top w:w="80" w:type="dxa"/>
              <w:bottom w:w="80" w:type="dxa"/>
              <w:start w:w="120" w:type="dxa"/>
              <w:end w:w="120" w:type="dxa"/>
            </w:tcMar>
            <w:vAlign w:val="center"/>
          </w:tcPr>
          <w:p>
            <w:pPr>
              <w:jc w:val="center"/>
            </w:pPr>
            <w:r>
              <w:rPr>
                <w:b/>
                <w:sz w:val="19"/>
              </w:rPr>
              <w:t>研究解读</w:t>
            </w:r>
          </w:p>
        </w:tc>
      </w:tr>
      <w:tr>
        <w:tc>
          <w:tcPr>
            <w:tcW w:type="dxa" w:w="2100"/>
            <w:tcMar>
              <w:top w:w="80" w:type="dxa"/>
              <w:bottom w:w="80" w:type="dxa"/>
              <w:start w:w="120" w:type="dxa"/>
              <w:end w:w="120" w:type="dxa"/>
            </w:tcMar>
            <w:vAlign w:val="center"/>
          </w:tcPr>
          <w:p>
            <w:pPr>
              <w:jc w:val="center"/>
            </w:pPr>
            <w:r>
              <w:rPr>
                <w:sz w:val="19"/>
              </w:rPr>
              <w:t>总收入</w:t>
            </w:r>
          </w:p>
        </w:tc>
        <w:tc>
          <w:tcPr>
            <w:tcW w:type="dxa" w:w="1700"/>
            <w:tcMar>
              <w:top w:w="80" w:type="dxa"/>
              <w:bottom w:w="80" w:type="dxa"/>
              <w:start w:w="120" w:type="dxa"/>
              <w:end w:w="120" w:type="dxa"/>
            </w:tcMar>
            <w:vAlign w:val="center"/>
          </w:tcPr>
          <w:p>
            <w:pPr>
              <w:jc w:val="left"/>
            </w:pPr>
            <w:r>
              <w:rPr>
                <w:sz w:val="19"/>
              </w:rPr>
              <w:t>1,135.38</w:t>
            </w:r>
          </w:p>
        </w:tc>
        <w:tc>
          <w:tcPr>
            <w:tcW w:type="dxa" w:w="1400"/>
            <w:tcMar>
              <w:top w:w="80" w:type="dxa"/>
              <w:bottom w:w="80" w:type="dxa"/>
              <w:start w:w="120" w:type="dxa"/>
              <w:end w:w="120" w:type="dxa"/>
            </w:tcMar>
            <w:vAlign w:val="center"/>
          </w:tcPr>
          <w:p>
            <w:pPr>
              <w:jc w:val="left"/>
            </w:pPr>
            <w:r>
              <w:rPr>
                <w:sz w:val="19"/>
              </w:rPr>
              <w:t>+19%</w:t>
            </w:r>
          </w:p>
        </w:tc>
        <w:tc>
          <w:tcPr>
            <w:tcW w:type="dxa" w:w="4160"/>
            <w:tcMar>
              <w:top w:w="80" w:type="dxa"/>
              <w:bottom w:w="80" w:type="dxa"/>
              <w:start w:w="120" w:type="dxa"/>
              <w:end w:w="120" w:type="dxa"/>
            </w:tcMar>
            <w:vAlign w:val="center"/>
          </w:tcPr>
          <w:p>
            <w:pPr>
              <w:jc w:val="left"/>
            </w:pPr>
            <w:r>
              <w:rPr>
                <w:sz w:val="19"/>
              </w:rPr>
              <w:t>AI 服务器带动公司恢复高增长</w:t>
            </w:r>
          </w:p>
        </w:tc>
      </w:tr>
      <w:tr>
        <w:tc>
          <w:tcPr>
            <w:tcW w:type="dxa" w:w="2100"/>
            <w:tcMar>
              <w:top w:w="80" w:type="dxa"/>
              <w:bottom w:w="80" w:type="dxa"/>
              <w:start w:w="120" w:type="dxa"/>
              <w:end w:w="120" w:type="dxa"/>
            </w:tcMar>
            <w:vAlign w:val="center"/>
          </w:tcPr>
          <w:p>
            <w:pPr>
              <w:jc w:val="center"/>
            </w:pPr>
            <w:r>
              <w:rPr>
                <w:sz w:val="19"/>
              </w:rPr>
              <w:t>GAAP 营业利润</w:t>
            </w:r>
          </w:p>
        </w:tc>
        <w:tc>
          <w:tcPr>
            <w:tcW w:type="dxa" w:w="1700"/>
            <w:tcMar>
              <w:top w:w="80" w:type="dxa"/>
              <w:bottom w:w="80" w:type="dxa"/>
              <w:start w:w="120" w:type="dxa"/>
              <w:end w:w="120" w:type="dxa"/>
            </w:tcMar>
            <w:vAlign w:val="center"/>
          </w:tcPr>
          <w:p>
            <w:pPr>
              <w:jc w:val="left"/>
            </w:pPr>
            <w:r>
              <w:rPr>
                <w:sz w:val="19"/>
              </w:rPr>
              <w:t>81.49</w:t>
            </w:r>
          </w:p>
        </w:tc>
        <w:tc>
          <w:tcPr>
            <w:tcW w:type="dxa" w:w="1400"/>
            <w:tcMar>
              <w:top w:w="80" w:type="dxa"/>
              <w:bottom w:w="80" w:type="dxa"/>
              <w:start w:w="120" w:type="dxa"/>
              <w:end w:w="120" w:type="dxa"/>
            </w:tcMar>
            <w:vAlign w:val="center"/>
          </w:tcPr>
          <w:p>
            <w:pPr>
              <w:jc w:val="left"/>
            </w:pPr>
            <w:r>
              <w:rPr>
                <w:sz w:val="19"/>
              </w:rPr>
              <w:t>+31%</w:t>
            </w:r>
          </w:p>
        </w:tc>
        <w:tc>
          <w:tcPr>
            <w:tcW w:type="dxa" w:w="4160"/>
            <w:tcMar>
              <w:top w:w="80" w:type="dxa"/>
              <w:bottom w:w="80" w:type="dxa"/>
              <w:start w:w="120" w:type="dxa"/>
              <w:end w:w="120" w:type="dxa"/>
            </w:tcMar>
            <w:vAlign w:val="center"/>
          </w:tcPr>
          <w:p>
            <w:pPr>
              <w:jc w:val="left"/>
            </w:pPr>
            <w:r>
              <w:rPr>
                <w:sz w:val="19"/>
              </w:rPr>
              <w:t>利润增速高于收入，体现费用率下降</w:t>
            </w:r>
          </w:p>
        </w:tc>
      </w:tr>
      <w:tr>
        <w:tc>
          <w:tcPr>
            <w:tcW w:type="dxa" w:w="2100"/>
            <w:tcMar>
              <w:top w:w="80" w:type="dxa"/>
              <w:bottom w:w="80" w:type="dxa"/>
              <w:start w:w="120" w:type="dxa"/>
              <w:end w:w="120" w:type="dxa"/>
            </w:tcMar>
            <w:vAlign w:val="center"/>
          </w:tcPr>
          <w:p>
            <w:pPr>
              <w:jc w:val="center"/>
            </w:pPr>
            <w:r>
              <w:rPr>
                <w:sz w:val="19"/>
              </w:rPr>
              <w:t>GAAP 净利润</w:t>
            </w:r>
          </w:p>
        </w:tc>
        <w:tc>
          <w:tcPr>
            <w:tcW w:type="dxa" w:w="1700"/>
            <w:tcMar>
              <w:top w:w="80" w:type="dxa"/>
              <w:bottom w:w="80" w:type="dxa"/>
              <w:start w:w="120" w:type="dxa"/>
              <w:end w:w="120" w:type="dxa"/>
            </w:tcMar>
            <w:vAlign w:val="center"/>
          </w:tcPr>
          <w:p>
            <w:pPr>
              <w:jc w:val="left"/>
            </w:pPr>
            <w:r>
              <w:rPr>
                <w:sz w:val="19"/>
              </w:rPr>
              <w:t>59.36</w:t>
            </w:r>
          </w:p>
        </w:tc>
        <w:tc>
          <w:tcPr>
            <w:tcW w:type="dxa" w:w="1400"/>
            <w:tcMar>
              <w:top w:w="80" w:type="dxa"/>
              <w:bottom w:w="80" w:type="dxa"/>
              <w:start w:w="120" w:type="dxa"/>
              <w:end w:w="120" w:type="dxa"/>
            </w:tcMar>
            <w:vAlign w:val="center"/>
          </w:tcPr>
          <w:p>
            <w:pPr>
              <w:jc w:val="left"/>
            </w:pPr>
            <w:r>
              <w:rPr>
                <w:sz w:val="19"/>
              </w:rPr>
              <w:t>+30%</w:t>
            </w:r>
          </w:p>
        </w:tc>
        <w:tc>
          <w:tcPr>
            <w:tcW w:type="dxa" w:w="4160"/>
            <w:tcMar>
              <w:top w:w="80" w:type="dxa"/>
              <w:bottom w:w="80" w:type="dxa"/>
              <w:start w:w="120" w:type="dxa"/>
              <w:end w:w="120" w:type="dxa"/>
            </w:tcMar>
            <w:vAlign w:val="center"/>
          </w:tcPr>
          <w:p>
            <w:pPr>
              <w:jc w:val="left"/>
            </w:pPr>
            <w:r>
              <w:rPr>
                <w:sz w:val="19"/>
              </w:rPr>
              <w:t>盈利恢复，但毛利率受 AI 服务器 mix 压制</w:t>
            </w:r>
          </w:p>
        </w:tc>
      </w:tr>
      <w:tr>
        <w:tc>
          <w:tcPr>
            <w:tcW w:type="dxa" w:w="2100"/>
            <w:tcMar>
              <w:top w:w="80" w:type="dxa"/>
              <w:bottom w:w="80" w:type="dxa"/>
              <w:start w:w="120" w:type="dxa"/>
              <w:end w:w="120" w:type="dxa"/>
            </w:tcMar>
            <w:vAlign w:val="center"/>
          </w:tcPr>
          <w:p>
            <w:pPr>
              <w:jc w:val="center"/>
            </w:pPr>
            <w:r>
              <w:rPr>
                <w:sz w:val="19"/>
              </w:rPr>
              <w:t>经营现金流</w:t>
            </w:r>
          </w:p>
        </w:tc>
        <w:tc>
          <w:tcPr>
            <w:tcW w:type="dxa" w:w="1700"/>
            <w:tcMar>
              <w:top w:w="80" w:type="dxa"/>
              <w:bottom w:w="80" w:type="dxa"/>
              <w:start w:w="120" w:type="dxa"/>
              <w:end w:w="120" w:type="dxa"/>
            </w:tcMar>
            <w:vAlign w:val="center"/>
          </w:tcPr>
          <w:p>
            <w:pPr>
              <w:jc w:val="left"/>
            </w:pPr>
            <w:r>
              <w:rPr>
                <w:sz w:val="19"/>
              </w:rPr>
              <w:t>111.85</w:t>
            </w:r>
          </w:p>
        </w:tc>
        <w:tc>
          <w:tcPr>
            <w:tcW w:type="dxa" w:w="1400"/>
            <w:tcMar>
              <w:top w:w="80" w:type="dxa"/>
              <w:bottom w:w="80" w:type="dxa"/>
              <w:start w:w="120" w:type="dxa"/>
              <w:end w:w="120" w:type="dxa"/>
            </w:tcMar>
            <w:vAlign w:val="center"/>
          </w:tcPr>
          <w:p>
            <w:pPr>
              <w:jc w:val="left"/>
            </w:pPr>
            <w:r>
              <w:rPr>
                <w:sz w:val="19"/>
              </w:rPr>
              <w:t>+147%</w:t>
            </w:r>
          </w:p>
        </w:tc>
        <w:tc>
          <w:tcPr>
            <w:tcW w:type="dxa" w:w="4160"/>
            <w:tcMar>
              <w:top w:w="80" w:type="dxa"/>
              <w:bottom w:w="80" w:type="dxa"/>
              <w:start w:w="120" w:type="dxa"/>
              <w:end w:w="120" w:type="dxa"/>
            </w:tcMar>
            <w:vAlign w:val="center"/>
          </w:tcPr>
          <w:p>
            <w:pPr>
              <w:jc w:val="left"/>
            </w:pPr>
            <w:r>
              <w:rPr>
                <w:sz w:val="19"/>
              </w:rPr>
              <w:t>全年现金创造显著改善</w:t>
            </w:r>
          </w:p>
        </w:tc>
      </w:tr>
      <w:tr>
        <w:tc>
          <w:tcPr>
            <w:tcW w:type="dxa" w:w="2100"/>
            <w:tcMar>
              <w:top w:w="80" w:type="dxa"/>
              <w:bottom w:w="80" w:type="dxa"/>
              <w:start w:w="120" w:type="dxa"/>
              <w:end w:w="120" w:type="dxa"/>
            </w:tcMar>
            <w:vAlign w:val="center"/>
          </w:tcPr>
          <w:p>
            <w:pPr>
              <w:jc w:val="center"/>
            </w:pPr>
            <w:r>
              <w:rPr>
                <w:sz w:val="19"/>
              </w:rPr>
              <w:t>调整后自由现金流</w:t>
            </w:r>
          </w:p>
        </w:tc>
        <w:tc>
          <w:tcPr>
            <w:tcW w:type="dxa" w:w="1700"/>
            <w:tcMar>
              <w:top w:w="80" w:type="dxa"/>
              <w:bottom w:w="80" w:type="dxa"/>
              <w:start w:w="120" w:type="dxa"/>
              <w:end w:w="120" w:type="dxa"/>
            </w:tcMar>
            <w:vAlign w:val="center"/>
          </w:tcPr>
          <w:p>
            <w:pPr>
              <w:jc w:val="left"/>
            </w:pPr>
            <w:r>
              <w:rPr>
                <w:sz w:val="19"/>
              </w:rPr>
              <w:t>115.08</w:t>
            </w:r>
          </w:p>
        </w:tc>
        <w:tc>
          <w:tcPr>
            <w:tcW w:type="dxa" w:w="1400"/>
            <w:tcMar>
              <w:top w:w="80" w:type="dxa"/>
              <w:bottom w:w="80" w:type="dxa"/>
              <w:start w:w="120" w:type="dxa"/>
              <w:end w:w="120" w:type="dxa"/>
            </w:tcMar>
            <w:vAlign w:val="center"/>
          </w:tcPr>
          <w:p>
            <w:pPr>
              <w:jc w:val="left"/>
            </w:pPr>
            <w:r>
              <w:rPr>
                <w:sz w:val="19"/>
              </w:rPr>
              <w:t>+272%</w:t>
            </w:r>
          </w:p>
        </w:tc>
        <w:tc>
          <w:tcPr>
            <w:tcW w:type="dxa" w:w="4160"/>
            <w:tcMar>
              <w:top w:w="80" w:type="dxa"/>
              <w:bottom w:w="80" w:type="dxa"/>
              <w:start w:w="120" w:type="dxa"/>
              <w:end w:w="120" w:type="dxa"/>
            </w:tcMar>
            <w:vAlign w:val="center"/>
          </w:tcPr>
          <w:p>
            <w:pPr>
              <w:jc w:val="left"/>
            </w:pPr>
            <w:r>
              <w:rPr>
                <w:sz w:val="19"/>
              </w:rPr>
              <w:t>支持高额回购、股息和债务管理</w:t>
            </w:r>
          </w:p>
        </w:tc>
      </w:tr>
      <w:tr>
        <w:tc>
          <w:tcPr>
            <w:tcW w:type="dxa" w:w="2100"/>
            <w:tcMar>
              <w:top w:w="80" w:type="dxa"/>
              <w:bottom w:w="80" w:type="dxa"/>
              <w:start w:w="120" w:type="dxa"/>
              <w:end w:w="120" w:type="dxa"/>
            </w:tcMar>
            <w:vAlign w:val="center"/>
          </w:tcPr>
          <w:p>
            <w:pPr>
              <w:jc w:val="center"/>
            </w:pPr>
            <w:r>
              <w:rPr>
                <w:sz w:val="19"/>
              </w:rPr>
              <w:t>Non-GAAP EPS</w:t>
            </w:r>
          </w:p>
        </w:tc>
        <w:tc>
          <w:tcPr>
            <w:tcW w:type="dxa" w:w="1700"/>
            <w:tcMar>
              <w:top w:w="80" w:type="dxa"/>
              <w:bottom w:w="80" w:type="dxa"/>
              <w:start w:w="120" w:type="dxa"/>
              <w:end w:w="120" w:type="dxa"/>
            </w:tcMar>
            <w:vAlign w:val="center"/>
          </w:tcPr>
          <w:p>
            <w:pPr>
              <w:jc w:val="left"/>
            </w:pPr>
            <w:r>
              <w:rPr>
                <w:sz w:val="19"/>
              </w:rPr>
              <w:t>10.30</w:t>
            </w:r>
          </w:p>
        </w:tc>
        <w:tc>
          <w:tcPr>
            <w:tcW w:type="dxa" w:w="1400"/>
            <w:tcMar>
              <w:top w:w="80" w:type="dxa"/>
              <w:bottom w:w="80" w:type="dxa"/>
              <w:start w:w="120" w:type="dxa"/>
              <w:end w:w="120" w:type="dxa"/>
            </w:tcMar>
            <w:vAlign w:val="center"/>
          </w:tcPr>
          <w:p>
            <w:pPr>
              <w:jc w:val="left"/>
            </w:pPr>
            <w:r>
              <w:rPr>
                <w:sz w:val="19"/>
              </w:rPr>
              <w:t>+27%</w:t>
            </w:r>
          </w:p>
        </w:tc>
        <w:tc>
          <w:tcPr>
            <w:tcW w:type="dxa" w:w="4160"/>
            <w:tcMar>
              <w:top w:w="80" w:type="dxa"/>
              <w:bottom w:w="80" w:type="dxa"/>
              <w:start w:w="120" w:type="dxa"/>
              <w:end w:w="120" w:type="dxa"/>
            </w:tcMar>
            <w:vAlign w:val="center"/>
          </w:tcPr>
          <w:p>
            <w:pPr>
              <w:jc w:val="left"/>
            </w:pPr>
            <w:r>
              <w:rPr>
                <w:sz w:val="19"/>
              </w:rPr>
              <w:t>股本减少和利润提升共同驱动</w:t>
            </w:r>
          </w:p>
        </w:tc>
      </w:tr>
      <w:tr>
        <w:tc>
          <w:tcPr>
            <w:tcW w:type="dxa" w:w="2100"/>
            <w:tcMar>
              <w:top w:w="80" w:type="dxa"/>
              <w:bottom w:w="80" w:type="dxa"/>
              <w:start w:w="120" w:type="dxa"/>
              <w:end w:w="120" w:type="dxa"/>
            </w:tcMar>
            <w:vAlign w:val="center"/>
          </w:tcPr>
          <w:p>
            <w:pPr>
              <w:jc w:val="center"/>
            </w:pPr>
            <w:r>
              <w:rPr>
                <w:sz w:val="19"/>
              </w:rPr>
              <w:t>资本返还</w:t>
            </w:r>
          </w:p>
        </w:tc>
        <w:tc>
          <w:tcPr>
            <w:tcW w:type="dxa" w:w="1700"/>
            <w:tcMar>
              <w:top w:w="80" w:type="dxa"/>
              <w:bottom w:w="80" w:type="dxa"/>
              <w:start w:w="120" w:type="dxa"/>
              <w:end w:w="120" w:type="dxa"/>
            </w:tcMar>
            <w:vAlign w:val="center"/>
          </w:tcPr>
          <w:p>
            <w:pPr>
              <w:jc w:val="left"/>
            </w:pPr>
            <w:r>
              <w:rPr>
                <w:sz w:val="19"/>
              </w:rPr>
              <w:t>75.00</w:t>
            </w:r>
          </w:p>
        </w:tc>
        <w:tc>
          <w:tcPr>
            <w:tcW w:type="dxa" w:w="1400"/>
            <w:tcMar>
              <w:top w:w="80" w:type="dxa"/>
              <w:bottom w:w="80" w:type="dxa"/>
              <w:start w:w="120" w:type="dxa"/>
              <w:end w:w="120" w:type="dxa"/>
            </w:tcMar>
            <w:vAlign w:val="center"/>
          </w:tcPr>
          <w:p>
            <w:pPr>
              <w:jc w:val="left"/>
            </w:pPr>
            <w:r>
              <w:rPr>
                <w:sz w:val="19"/>
              </w:rPr>
              <w:t>创纪录</w:t>
            </w:r>
          </w:p>
        </w:tc>
        <w:tc>
          <w:tcPr>
            <w:tcW w:type="dxa" w:w="4160"/>
            <w:tcMar>
              <w:top w:w="80" w:type="dxa"/>
              <w:bottom w:w="80" w:type="dxa"/>
              <w:start w:w="120" w:type="dxa"/>
              <w:end w:w="120" w:type="dxa"/>
            </w:tcMar>
            <w:vAlign w:val="center"/>
          </w:tcPr>
          <w:p>
            <w:pPr>
              <w:jc w:val="left"/>
            </w:pPr>
            <w:r>
              <w:rPr>
                <w:sz w:val="19"/>
              </w:rPr>
              <w:t>包括回购和股息，显示管理层回报股东意愿强</w:t>
            </w:r>
          </w:p>
        </w:tc>
      </w:tr>
    </w:tbl>
    <w:p/>
    <w:p>
      <w:pPr>
        <w:pStyle w:val="Heading2"/>
      </w:pPr>
      <w:r>
        <w:t>7.3 毛利率与费用率</w:t>
      </w:r>
    </w:p>
    <w:tbl>
      <w:tblPr>
        <w:tblStyle w:val="TableGrid"/>
        <w:tblW w:type="dxa" w:w="9360"/>
        <w:jc w:val="center"/>
        <w:tblLook w:firstColumn="1" w:firstRow="1" w:lastColumn="0" w:lastRow="0" w:noHBand="0" w:noVBand="1" w:val="04A0"/>
        <w:tblInd w:w="120" w:type="dxa"/>
      </w:tblPr>
      <w:tblGrid>
        <w:gridCol w:w="1900"/>
        <w:gridCol w:w="1700"/>
        <w:gridCol w:w="1700"/>
        <w:gridCol w:w="4060"/>
      </w:tblGrid>
      <w:tr>
        <w:trPr>
          <w:tblHeader w:val="true"/>
        </w:trPr>
        <w:tc>
          <w:tcPr>
            <w:tcW w:type="dxa" w:w="1900"/>
            <w:shd w:fill="E8EEF5"/>
            <w:tcMar>
              <w:top w:w="80" w:type="dxa"/>
              <w:bottom w:w="80" w:type="dxa"/>
              <w:start w:w="120" w:type="dxa"/>
              <w:end w:w="120" w:type="dxa"/>
            </w:tcMar>
            <w:vAlign w:val="center"/>
          </w:tcPr>
          <w:p>
            <w:pPr>
              <w:jc w:val="center"/>
            </w:pPr>
            <w:r>
              <w:rPr>
                <w:b/>
                <w:sz w:val="19"/>
              </w:rPr>
              <w:t>项目</w:t>
            </w:r>
          </w:p>
        </w:tc>
        <w:tc>
          <w:tcPr>
            <w:tcW w:type="dxa" w:w="1700"/>
            <w:shd w:fill="E8EEF5"/>
            <w:tcMar>
              <w:top w:w="80" w:type="dxa"/>
              <w:bottom w:w="80" w:type="dxa"/>
              <w:start w:w="120" w:type="dxa"/>
              <w:end w:w="120" w:type="dxa"/>
            </w:tcMar>
            <w:vAlign w:val="center"/>
          </w:tcPr>
          <w:p>
            <w:pPr>
              <w:jc w:val="center"/>
            </w:pPr>
            <w:r>
              <w:rPr>
                <w:b/>
                <w:sz w:val="19"/>
              </w:rPr>
              <w:t>FY2027 Q1</w:t>
            </w:r>
          </w:p>
        </w:tc>
        <w:tc>
          <w:tcPr>
            <w:tcW w:type="dxa" w:w="1700"/>
            <w:shd w:fill="E8EEF5"/>
            <w:tcMar>
              <w:top w:w="80" w:type="dxa"/>
              <w:bottom w:w="80" w:type="dxa"/>
              <w:start w:w="120" w:type="dxa"/>
              <w:end w:w="120" w:type="dxa"/>
            </w:tcMar>
            <w:vAlign w:val="center"/>
          </w:tcPr>
          <w:p>
            <w:pPr>
              <w:jc w:val="center"/>
            </w:pPr>
            <w:r>
              <w:rPr>
                <w:b/>
                <w:sz w:val="19"/>
              </w:rPr>
              <w:t>FY2026 全年</w:t>
            </w:r>
          </w:p>
        </w:tc>
        <w:tc>
          <w:tcPr>
            <w:tcW w:type="dxa" w:w="4060"/>
            <w:shd w:fill="E8EEF5"/>
            <w:tcMar>
              <w:top w:w="80" w:type="dxa"/>
              <w:bottom w:w="80" w:type="dxa"/>
              <w:start w:w="120" w:type="dxa"/>
              <w:end w:w="120" w:type="dxa"/>
            </w:tcMar>
            <w:vAlign w:val="center"/>
          </w:tcPr>
          <w:p>
            <w:pPr>
              <w:jc w:val="center"/>
            </w:pPr>
            <w:r>
              <w:rPr>
                <w:b/>
                <w:sz w:val="19"/>
              </w:rPr>
              <w:t>研究判断</w:t>
            </w:r>
          </w:p>
        </w:tc>
      </w:tr>
      <w:tr>
        <w:tc>
          <w:tcPr>
            <w:tcW w:type="dxa" w:w="1900"/>
            <w:tcMar>
              <w:top w:w="80" w:type="dxa"/>
              <w:bottom w:w="80" w:type="dxa"/>
              <w:start w:w="120" w:type="dxa"/>
              <w:end w:w="120" w:type="dxa"/>
            </w:tcMar>
            <w:vAlign w:val="center"/>
          </w:tcPr>
          <w:p>
            <w:pPr>
              <w:jc w:val="center"/>
            </w:pPr>
            <w:r>
              <w:rPr>
                <w:sz w:val="19"/>
              </w:rPr>
              <w:t>GAAP 毛利率</w:t>
            </w:r>
          </w:p>
        </w:tc>
        <w:tc>
          <w:tcPr>
            <w:tcW w:type="dxa" w:w="1700"/>
            <w:tcMar>
              <w:top w:w="80" w:type="dxa"/>
              <w:bottom w:w="80" w:type="dxa"/>
              <w:start w:w="120" w:type="dxa"/>
              <w:end w:w="120" w:type="dxa"/>
            </w:tcMar>
            <w:vAlign w:val="center"/>
          </w:tcPr>
          <w:p>
            <w:pPr>
              <w:jc w:val="left"/>
            </w:pPr>
            <w:r>
              <w:rPr>
                <w:sz w:val="19"/>
              </w:rPr>
              <w:t>17.8%</w:t>
            </w:r>
          </w:p>
        </w:tc>
        <w:tc>
          <w:tcPr>
            <w:tcW w:type="dxa" w:w="1700"/>
            <w:tcMar>
              <w:top w:w="80" w:type="dxa"/>
              <w:bottom w:w="80" w:type="dxa"/>
              <w:start w:w="120" w:type="dxa"/>
              <w:end w:w="120" w:type="dxa"/>
            </w:tcMar>
            <w:vAlign w:val="center"/>
          </w:tcPr>
          <w:p>
            <w:pPr>
              <w:jc w:val="left"/>
            </w:pPr>
            <w:r>
              <w:rPr>
                <w:sz w:val="19"/>
              </w:rPr>
              <w:t>20.0%</w:t>
            </w:r>
          </w:p>
        </w:tc>
        <w:tc>
          <w:tcPr>
            <w:tcW w:type="dxa" w:w="4060"/>
            <w:tcMar>
              <w:top w:w="80" w:type="dxa"/>
              <w:bottom w:w="80" w:type="dxa"/>
              <w:start w:w="120" w:type="dxa"/>
              <w:end w:w="120" w:type="dxa"/>
            </w:tcMar>
            <w:vAlign w:val="center"/>
          </w:tcPr>
          <w:p>
            <w:pPr>
              <w:jc w:val="left"/>
            </w:pPr>
            <w:r>
              <w:rPr>
                <w:sz w:val="19"/>
              </w:rPr>
              <w:t>AI 服务器占比提升拉低综合毛利率</w:t>
            </w:r>
          </w:p>
        </w:tc>
      </w:tr>
      <w:tr>
        <w:tc>
          <w:tcPr>
            <w:tcW w:type="dxa" w:w="1900"/>
            <w:tcMar>
              <w:top w:w="80" w:type="dxa"/>
              <w:bottom w:w="80" w:type="dxa"/>
              <w:start w:w="120" w:type="dxa"/>
              <w:end w:w="120" w:type="dxa"/>
            </w:tcMar>
            <w:vAlign w:val="center"/>
          </w:tcPr>
          <w:p>
            <w:pPr>
              <w:jc w:val="center"/>
            </w:pPr>
            <w:r>
              <w:rPr>
                <w:sz w:val="19"/>
              </w:rPr>
              <w:t>Non-GAAP 毛利率</w:t>
            </w:r>
          </w:p>
        </w:tc>
        <w:tc>
          <w:tcPr>
            <w:tcW w:type="dxa" w:w="1700"/>
            <w:tcMar>
              <w:top w:w="80" w:type="dxa"/>
              <w:bottom w:w="80" w:type="dxa"/>
              <w:start w:w="120" w:type="dxa"/>
              <w:end w:w="120" w:type="dxa"/>
            </w:tcMar>
            <w:vAlign w:val="center"/>
          </w:tcPr>
          <w:p>
            <w:pPr>
              <w:jc w:val="left"/>
            </w:pPr>
            <w:r>
              <w:rPr>
                <w:sz w:val="19"/>
              </w:rPr>
              <w:t>18.1%</w:t>
            </w:r>
          </w:p>
        </w:tc>
        <w:tc>
          <w:tcPr>
            <w:tcW w:type="dxa" w:w="1700"/>
            <w:tcMar>
              <w:top w:w="80" w:type="dxa"/>
              <w:bottom w:w="80" w:type="dxa"/>
              <w:start w:w="120" w:type="dxa"/>
              <w:end w:w="120" w:type="dxa"/>
            </w:tcMar>
            <w:vAlign w:val="center"/>
          </w:tcPr>
          <w:p>
            <w:pPr>
              <w:jc w:val="left"/>
            </w:pPr>
            <w:r>
              <w:rPr>
                <w:sz w:val="19"/>
              </w:rPr>
              <w:t>未在本表列示</w:t>
            </w:r>
          </w:p>
        </w:tc>
        <w:tc>
          <w:tcPr>
            <w:tcW w:type="dxa" w:w="4060"/>
            <w:tcMar>
              <w:top w:w="80" w:type="dxa"/>
              <w:bottom w:w="80" w:type="dxa"/>
              <w:start w:w="120" w:type="dxa"/>
              <w:end w:w="120" w:type="dxa"/>
            </w:tcMar>
            <w:vAlign w:val="center"/>
          </w:tcPr>
          <w:p>
            <w:pPr>
              <w:jc w:val="left"/>
            </w:pPr>
            <w:r>
              <w:rPr>
                <w:sz w:val="19"/>
              </w:rPr>
              <w:t>非 GAAP 同样显示低毛利硬件 mix 压力</w:t>
            </w:r>
          </w:p>
        </w:tc>
      </w:tr>
      <w:tr>
        <w:tc>
          <w:tcPr>
            <w:tcW w:type="dxa" w:w="1900"/>
            <w:tcMar>
              <w:top w:w="80" w:type="dxa"/>
              <w:bottom w:w="80" w:type="dxa"/>
              <w:start w:w="120" w:type="dxa"/>
              <w:end w:w="120" w:type="dxa"/>
            </w:tcMar>
            <w:vAlign w:val="center"/>
          </w:tcPr>
          <w:p>
            <w:pPr>
              <w:jc w:val="center"/>
            </w:pPr>
            <w:r>
              <w:rPr>
                <w:sz w:val="19"/>
              </w:rPr>
              <w:t>GAAP 费用率</w:t>
            </w:r>
          </w:p>
        </w:tc>
        <w:tc>
          <w:tcPr>
            <w:tcW w:type="dxa" w:w="1700"/>
            <w:tcMar>
              <w:top w:w="80" w:type="dxa"/>
              <w:bottom w:w="80" w:type="dxa"/>
              <w:start w:w="120" w:type="dxa"/>
              <w:end w:w="120" w:type="dxa"/>
            </w:tcMar>
            <w:vAlign w:val="center"/>
          </w:tcPr>
          <w:p>
            <w:pPr>
              <w:jc w:val="left"/>
            </w:pPr>
            <w:r>
              <w:rPr>
                <w:sz w:val="19"/>
              </w:rPr>
              <w:t>9.5%</w:t>
            </w:r>
          </w:p>
        </w:tc>
        <w:tc>
          <w:tcPr>
            <w:tcW w:type="dxa" w:w="1700"/>
            <w:tcMar>
              <w:top w:w="80" w:type="dxa"/>
              <w:bottom w:w="80" w:type="dxa"/>
              <w:start w:w="120" w:type="dxa"/>
              <w:end w:w="120" w:type="dxa"/>
            </w:tcMar>
            <w:vAlign w:val="center"/>
          </w:tcPr>
          <w:p>
            <w:pPr>
              <w:jc w:val="left"/>
            </w:pPr>
            <w:r>
              <w:rPr>
                <w:sz w:val="19"/>
              </w:rPr>
              <w:t>12.8%</w:t>
            </w:r>
          </w:p>
        </w:tc>
        <w:tc>
          <w:tcPr>
            <w:tcW w:type="dxa" w:w="4060"/>
            <w:tcMar>
              <w:top w:w="80" w:type="dxa"/>
              <w:bottom w:w="80" w:type="dxa"/>
              <w:start w:w="120" w:type="dxa"/>
              <w:end w:w="120" w:type="dxa"/>
            </w:tcMar>
            <w:vAlign w:val="center"/>
          </w:tcPr>
          <w:p>
            <w:pPr>
              <w:jc w:val="left"/>
            </w:pPr>
            <w:r>
              <w:rPr>
                <w:sz w:val="19"/>
              </w:rPr>
              <w:t>收入规模放大显著摊薄 SG&amp;A 和 R&amp;D</w:t>
            </w:r>
          </w:p>
        </w:tc>
      </w:tr>
      <w:tr>
        <w:tc>
          <w:tcPr>
            <w:tcW w:type="dxa" w:w="1900"/>
            <w:tcMar>
              <w:top w:w="80" w:type="dxa"/>
              <w:bottom w:w="80" w:type="dxa"/>
              <w:start w:w="120" w:type="dxa"/>
              <w:end w:w="120" w:type="dxa"/>
            </w:tcMar>
            <w:vAlign w:val="center"/>
          </w:tcPr>
          <w:p>
            <w:pPr>
              <w:jc w:val="center"/>
            </w:pPr>
            <w:r>
              <w:rPr>
                <w:sz w:val="19"/>
              </w:rPr>
              <w:t>GAAP 营业利润率</w:t>
            </w:r>
          </w:p>
        </w:tc>
        <w:tc>
          <w:tcPr>
            <w:tcW w:type="dxa" w:w="1700"/>
            <w:tcMar>
              <w:top w:w="80" w:type="dxa"/>
              <w:bottom w:w="80" w:type="dxa"/>
              <w:start w:w="120" w:type="dxa"/>
              <w:end w:w="120" w:type="dxa"/>
            </w:tcMar>
            <w:vAlign w:val="center"/>
          </w:tcPr>
          <w:p>
            <w:pPr>
              <w:jc w:val="left"/>
            </w:pPr>
            <w:r>
              <w:rPr>
                <w:sz w:val="19"/>
              </w:rPr>
              <w:t>8.3%</w:t>
            </w:r>
          </w:p>
        </w:tc>
        <w:tc>
          <w:tcPr>
            <w:tcW w:type="dxa" w:w="1700"/>
            <w:tcMar>
              <w:top w:w="80" w:type="dxa"/>
              <w:bottom w:w="80" w:type="dxa"/>
              <w:start w:w="120" w:type="dxa"/>
              <w:end w:w="120" w:type="dxa"/>
            </w:tcMar>
            <w:vAlign w:val="center"/>
          </w:tcPr>
          <w:p>
            <w:pPr>
              <w:jc w:val="left"/>
            </w:pPr>
            <w:r>
              <w:rPr>
                <w:sz w:val="19"/>
              </w:rPr>
              <w:t>7.2%</w:t>
            </w:r>
          </w:p>
        </w:tc>
        <w:tc>
          <w:tcPr>
            <w:tcW w:type="dxa" w:w="4060"/>
            <w:tcMar>
              <w:top w:w="80" w:type="dxa"/>
              <w:bottom w:w="80" w:type="dxa"/>
              <w:start w:w="120" w:type="dxa"/>
              <w:end w:w="120" w:type="dxa"/>
            </w:tcMar>
            <w:vAlign w:val="center"/>
          </w:tcPr>
          <w:p>
            <w:pPr>
              <w:jc w:val="left"/>
            </w:pPr>
            <w:r>
              <w:rPr>
                <w:sz w:val="19"/>
              </w:rPr>
              <w:t>低毛利被强经营杠杆部分抵消</w:t>
            </w:r>
          </w:p>
        </w:tc>
      </w:tr>
      <w:tr>
        <w:tc>
          <w:tcPr>
            <w:tcW w:type="dxa" w:w="1900"/>
            <w:tcMar>
              <w:top w:w="80" w:type="dxa"/>
              <w:bottom w:w="80" w:type="dxa"/>
              <w:start w:w="120" w:type="dxa"/>
              <w:end w:w="120" w:type="dxa"/>
            </w:tcMar>
            <w:vAlign w:val="center"/>
          </w:tcPr>
          <w:p>
            <w:pPr>
              <w:jc w:val="center"/>
            </w:pPr>
            <w:r>
              <w:rPr>
                <w:sz w:val="19"/>
              </w:rPr>
              <w:t>Non-GAAP 营业利润率</w:t>
            </w:r>
          </w:p>
        </w:tc>
        <w:tc>
          <w:tcPr>
            <w:tcW w:type="dxa" w:w="1700"/>
            <w:tcMar>
              <w:top w:w="80" w:type="dxa"/>
              <w:bottom w:w="80" w:type="dxa"/>
              <w:start w:w="120" w:type="dxa"/>
              <w:end w:w="120" w:type="dxa"/>
            </w:tcMar>
            <w:vAlign w:val="center"/>
          </w:tcPr>
          <w:p>
            <w:pPr>
              <w:jc w:val="left"/>
            </w:pPr>
            <w:r>
              <w:rPr>
                <w:sz w:val="19"/>
              </w:rPr>
              <w:t>9.7%</w:t>
            </w:r>
          </w:p>
        </w:tc>
        <w:tc>
          <w:tcPr>
            <w:tcW w:type="dxa" w:w="1700"/>
            <w:tcMar>
              <w:top w:w="80" w:type="dxa"/>
              <w:bottom w:w="80" w:type="dxa"/>
              <w:start w:w="120" w:type="dxa"/>
              <w:end w:w="120" w:type="dxa"/>
            </w:tcMar>
            <w:vAlign w:val="center"/>
          </w:tcPr>
          <w:p>
            <w:pPr>
              <w:jc w:val="left"/>
            </w:pPr>
            <w:r>
              <w:rPr>
                <w:sz w:val="19"/>
              </w:rPr>
              <w:t>约 8.8%</w:t>
            </w:r>
          </w:p>
        </w:tc>
        <w:tc>
          <w:tcPr>
            <w:tcW w:type="dxa" w:w="4060"/>
            <w:tcMar>
              <w:top w:w="80" w:type="dxa"/>
              <w:bottom w:w="80" w:type="dxa"/>
              <w:start w:w="120" w:type="dxa"/>
              <w:end w:w="120" w:type="dxa"/>
            </w:tcMar>
            <w:vAlign w:val="center"/>
          </w:tcPr>
          <w:p>
            <w:pPr>
              <w:jc w:val="left"/>
            </w:pPr>
            <w:r>
              <w:rPr>
                <w:sz w:val="19"/>
              </w:rPr>
              <w:t>规模效应改善，但仍低于纯软件/平台型 AI 公司</w:t>
            </w:r>
          </w:p>
        </w:tc>
      </w:tr>
    </w:tbl>
    <w:p/>
    <w:p>
      <w:pPr>
        <w:pStyle w:val="Heading1"/>
      </w:pPr>
      <w:r>
        <w:t>八、主营业务收入与分部分析</w:t>
      </w:r>
    </w:p>
    <w:p>
      <w:pPr>
        <w:pStyle w:val="Heading2"/>
      </w:pPr>
      <w:r>
        <w:t>8.1 FY2027 Q1 分部收入</w:t>
      </w:r>
    </w:p>
    <w:p>
      <w:pPr>
        <w:spacing w:after="80"/>
      </w:pPr>
      <w:r>
        <w:rPr>
          <w:color w:val="585858"/>
          <w:sz w:val="18"/>
        </w:rPr>
        <w:t>数据来源：Dell FY2027 Q1 earnings release。金额单位：亿美元。</w:t>
      </w:r>
    </w:p>
    <w:tbl>
      <w:tblPr>
        <w:tblStyle w:val="TableGrid"/>
        <w:tblW w:type="dxa" w:w="9360"/>
        <w:jc w:val="center"/>
        <w:tblLook w:firstColumn="1" w:firstRow="1" w:lastColumn="0" w:lastRow="0" w:noHBand="0" w:noVBand="1" w:val="04A0"/>
        <w:tblInd w:w="120" w:type="dxa"/>
      </w:tblPr>
      <w:tblGrid>
        <w:gridCol w:w="1900"/>
        <w:gridCol w:w="1700"/>
        <w:gridCol w:w="1300"/>
        <w:gridCol w:w="1300"/>
        <w:gridCol w:w="3160"/>
      </w:tblGrid>
      <w:tr>
        <w:trPr>
          <w:tblHeader w:val="true"/>
        </w:trPr>
        <w:tc>
          <w:tcPr>
            <w:tcW w:type="dxa" w:w="1900"/>
            <w:shd w:fill="F2F4F7"/>
            <w:tcMar>
              <w:top w:w="80" w:type="dxa"/>
              <w:bottom w:w="80" w:type="dxa"/>
              <w:start w:w="120" w:type="dxa"/>
              <w:end w:w="120" w:type="dxa"/>
            </w:tcMar>
            <w:vAlign w:val="center"/>
          </w:tcPr>
          <w:p>
            <w:pPr>
              <w:jc w:val="center"/>
            </w:pPr>
            <w:r>
              <w:rPr>
                <w:b/>
                <w:sz w:val="19"/>
              </w:rPr>
              <w:t>分部</w:t>
            </w:r>
          </w:p>
        </w:tc>
        <w:tc>
          <w:tcPr>
            <w:tcW w:type="dxa" w:w="1700"/>
            <w:shd w:fill="F2F4F7"/>
            <w:tcMar>
              <w:top w:w="80" w:type="dxa"/>
              <w:bottom w:w="80" w:type="dxa"/>
              <w:start w:w="120" w:type="dxa"/>
              <w:end w:w="120" w:type="dxa"/>
            </w:tcMar>
            <w:vAlign w:val="center"/>
          </w:tcPr>
          <w:p>
            <w:pPr>
              <w:jc w:val="center"/>
            </w:pPr>
            <w:r>
              <w:rPr>
                <w:b/>
                <w:sz w:val="19"/>
              </w:rPr>
              <w:t>FY2027 Q1 收入</w:t>
            </w:r>
          </w:p>
        </w:tc>
        <w:tc>
          <w:tcPr>
            <w:tcW w:type="dxa" w:w="1300"/>
            <w:shd w:fill="F2F4F7"/>
            <w:tcMar>
              <w:top w:w="80" w:type="dxa"/>
              <w:bottom w:w="80" w:type="dxa"/>
              <w:start w:w="120" w:type="dxa"/>
              <w:end w:w="120" w:type="dxa"/>
            </w:tcMar>
            <w:vAlign w:val="center"/>
          </w:tcPr>
          <w:p>
            <w:pPr>
              <w:jc w:val="center"/>
            </w:pPr>
            <w:r>
              <w:rPr>
                <w:b/>
                <w:sz w:val="19"/>
              </w:rPr>
              <w:t>同比变化</w:t>
            </w:r>
          </w:p>
        </w:tc>
        <w:tc>
          <w:tcPr>
            <w:tcW w:type="dxa" w:w="1300"/>
            <w:shd w:fill="F2F4F7"/>
            <w:tcMar>
              <w:top w:w="80" w:type="dxa"/>
              <w:bottom w:w="80" w:type="dxa"/>
              <w:start w:w="120" w:type="dxa"/>
              <w:end w:w="120" w:type="dxa"/>
            </w:tcMar>
            <w:vAlign w:val="center"/>
          </w:tcPr>
          <w:p>
            <w:pPr>
              <w:jc w:val="center"/>
            </w:pPr>
            <w:r>
              <w:rPr>
                <w:b/>
                <w:sz w:val="19"/>
              </w:rPr>
              <w:t>营业利润</w:t>
            </w:r>
          </w:p>
        </w:tc>
        <w:tc>
          <w:tcPr>
            <w:tcW w:type="dxa" w:w="3160"/>
            <w:shd w:fill="F2F4F7"/>
            <w:tcMar>
              <w:top w:w="80" w:type="dxa"/>
              <w:bottom w:w="80" w:type="dxa"/>
              <w:start w:w="120" w:type="dxa"/>
              <w:end w:w="120" w:type="dxa"/>
            </w:tcMar>
            <w:vAlign w:val="center"/>
          </w:tcPr>
          <w:p>
            <w:pPr>
              <w:jc w:val="center"/>
            </w:pPr>
            <w:r>
              <w:rPr>
                <w:b/>
                <w:sz w:val="19"/>
              </w:rPr>
              <w:t>经营判断</w:t>
            </w:r>
          </w:p>
        </w:tc>
      </w:tr>
      <w:tr>
        <w:tc>
          <w:tcPr>
            <w:tcW w:type="dxa" w:w="1900"/>
            <w:tcMar>
              <w:top w:w="80" w:type="dxa"/>
              <w:bottom w:w="80" w:type="dxa"/>
              <w:start w:w="120" w:type="dxa"/>
              <w:end w:w="120" w:type="dxa"/>
            </w:tcMar>
            <w:vAlign w:val="center"/>
          </w:tcPr>
          <w:p>
            <w:pPr>
              <w:jc w:val="center"/>
            </w:pPr>
            <w:r>
              <w:rPr>
                <w:sz w:val="19"/>
              </w:rPr>
              <w:t>ISG 合计</w:t>
            </w:r>
          </w:p>
        </w:tc>
        <w:tc>
          <w:tcPr>
            <w:tcW w:type="dxa" w:w="1700"/>
            <w:tcMar>
              <w:top w:w="80" w:type="dxa"/>
              <w:bottom w:w="80" w:type="dxa"/>
              <w:start w:w="120" w:type="dxa"/>
              <w:end w:w="120" w:type="dxa"/>
            </w:tcMar>
            <w:vAlign w:val="center"/>
          </w:tcPr>
          <w:p>
            <w:pPr>
              <w:jc w:val="left"/>
            </w:pPr>
            <w:r>
              <w:rPr>
                <w:sz w:val="19"/>
              </w:rPr>
              <w:t>290.09</w:t>
            </w:r>
          </w:p>
        </w:tc>
        <w:tc>
          <w:tcPr>
            <w:tcW w:type="dxa" w:w="1300"/>
            <w:tcMar>
              <w:top w:w="80" w:type="dxa"/>
              <w:bottom w:w="80" w:type="dxa"/>
              <w:start w:w="120" w:type="dxa"/>
              <w:end w:w="120" w:type="dxa"/>
            </w:tcMar>
            <w:vAlign w:val="center"/>
          </w:tcPr>
          <w:p>
            <w:pPr>
              <w:jc w:val="left"/>
            </w:pPr>
            <w:r>
              <w:rPr>
                <w:sz w:val="19"/>
              </w:rPr>
              <w:t>+181%</w:t>
            </w:r>
          </w:p>
        </w:tc>
        <w:tc>
          <w:tcPr>
            <w:tcW w:type="dxa" w:w="1300"/>
            <w:tcMar>
              <w:top w:w="80" w:type="dxa"/>
              <w:bottom w:w="80" w:type="dxa"/>
              <w:start w:w="120" w:type="dxa"/>
              <w:end w:w="120" w:type="dxa"/>
            </w:tcMar>
            <w:vAlign w:val="center"/>
          </w:tcPr>
          <w:p>
            <w:pPr>
              <w:jc w:val="left"/>
            </w:pPr>
            <w:r>
              <w:rPr>
                <w:sz w:val="19"/>
              </w:rPr>
              <w:t>30.55</w:t>
            </w:r>
          </w:p>
        </w:tc>
        <w:tc>
          <w:tcPr>
            <w:tcW w:type="dxa" w:w="3160"/>
            <w:tcMar>
              <w:top w:w="80" w:type="dxa"/>
              <w:bottom w:w="80" w:type="dxa"/>
              <w:start w:w="120" w:type="dxa"/>
              <w:end w:w="120" w:type="dxa"/>
            </w:tcMar>
            <w:vAlign w:val="center"/>
          </w:tcPr>
          <w:p>
            <w:pPr>
              <w:jc w:val="left"/>
            </w:pPr>
            <w:r>
              <w:rPr>
                <w:sz w:val="19"/>
              </w:rPr>
              <w:t>AI 服务器把 ISG 推成绝对主线，贡献 72% 分部营业利润</w:t>
            </w:r>
          </w:p>
        </w:tc>
      </w:tr>
      <w:tr>
        <w:tc>
          <w:tcPr>
            <w:tcW w:type="dxa" w:w="1900"/>
            <w:tcMar>
              <w:top w:w="80" w:type="dxa"/>
              <w:bottom w:w="80" w:type="dxa"/>
              <w:start w:w="120" w:type="dxa"/>
              <w:end w:w="120" w:type="dxa"/>
            </w:tcMar>
            <w:vAlign w:val="center"/>
          </w:tcPr>
          <w:p>
            <w:pPr>
              <w:jc w:val="center"/>
            </w:pPr>
            <w:r>
              <w:rPr>
                <w:sz w:val="19"/>
              </w:rPr>
              <w:t>AI-optimized servers</w:t>
            </w:r>
          </w:p>
        </w:tc>
        <w:tc>
          <w:tcPr>
            <w:tcW w:type="dxa" w:w="1700"/>
            <w:tcMar>
              <w:top w:w="80" w:type="dxa"/>
              <w:bottom w:w="80" w:type="dxa"/>
              <w:start w:w="120" w:type="dxa"/>
              <w:end w:w="120" w:type="dxa"/>
            </w:tcMar>
            <w:vAlign w:val="center"/>
          </w:tcPr>
          <w:p>
            <w:pPr>
              <w:jc w:val="left"/>
            </w:pPr>
            <w:r>
              <w:rPr>
                <w:sz w:val="19"/>
              </w:rPr>
              <w:t>161.32</w:t>
            </w:r>
          </w:p>
        </w:tc>
        <w:tc>
          <w:tcPr>
            <w:tcW w:type="dxa" w:w="1300"/>
            <w:tcMar>
              <w:top w:w="80" w:type="dxa"/>
              <w:bottom w:w="80" w:type="dxa"/>
              <w:start w:w="120" w:type="dxa"/>
              <w:end w:w="120" w:type="dxa"/>
            </w:tcMar>
            <w:vAlign w:val="center"/>
          </w:tcPr>
          <w:p>
            <w:pPr>
              <w:jc w:val="left"/>
            </w:pPr>
            <w:r>
              <w:rPr>
                <w:sz w:val="19"/>
              </w:rPr>
              <w:t>+757%</w:t>
            </w:r>
          </w:p>
        </w:tc>
        <w:tc>
          <w:tcPr>
            <w:tcW w:type="dxa" w:w="1300"/>
            <w:tcMar>
              <w:top w:w="80" w:type="dxa"/>
              <w:bottom w:w="80" w:type="dxa"/>
              <w:start w:w="120" w:type="dxa"/>
              <w:end w:w="120" w:type="dxa"/>
            </w:tcMar>
            <w:vAlign w:val="center"/>
          </w:tcPr>
          <w:p>
            <w:pPr>
              <w:jc w:val="left"/>
            </w:pPr>
            <w:r>
              <w:rPr>
                <w:sz w:val="19"/>
              </w:rPr>
              <w:t>未单列</w:t>
            </w:r>
          </w:p>
        </w:tc>
        <w:tc>
          <w:tcPr>
            <w:tcW w:type="dxa" w:w="3160"/>
            <w:tcMar>
              <w:top w:w="80" w:type="dxa"/>
              <w:bottom w:w="80" w:type="dxa"/>
              <w:start w:w="120" w:type="dxa"/>
              <w:end w:w="120" w:type="dxa"/>
            </w:tcMar>
            <w:vAlign w:val="center"/>
          </w:tcPr>
          <w:p>
            <w:pPr>
              <w:jc w:val="left"/>
            </w:pPr>
            <w:r>
              <w:rPr>
                <w:sz w:val="19"/>
              </w:rPr>
              <w:t>当前最大收入增量，订单和出货均爆发</w:t>
            </w:r>
          </w:p>
        </w:tc>
      </w:tr>
      <w:tr>
        <w:tc>
          <w:tcPr>
            <w:tcW w:type="dxa" w:w="1900"/>
            <w:tcMar>
              <w:top w:w="80" w:type="dxa"/>
              <w:bottom w:w="80" w:type="dxa"/>
              <w:start w:w="120" w:type="dxa"/>
              <w:end w:w="120" w:type="dxa"/>
            </w:tcMar>
            <w:vAlign w:val="center"/>
          </w:tcPr>
          <w:p>
            <w:pPr>
              <w:jc w:val="center"/>
            </w:pPr>
            <w:r>
              <w:rPr>
                <w:sz w:val="19"/>
              </w:rPr>
              <w:t>Traditional servers and networking</w:t>
            </w:r>
          </w:p>
        </w:tc>
        <w:tc>
          <w:tcPr>
            <w:tcW w:type="dxa" w:w="1700"/>
            <w:tcMar>
              <w:top w:w="80" w:type="dxa"/>
              <w:bottom w:w="80" w:type="dxa"/>
              <w:start w:w="120" w:type="dxa"/>
              <w:end w:w="120" w:type="dxa"/>
            </w:tcMar>
            <w:vAlign w:val="center"/>
          </w:tcPr>
          <w:p>
            <w:pPr>
              <w:jc w:val="left"/>
            </w:pPr>
            <w:r>
              <w:rPr>
                <w:sz w:val="19"/>
              </w:rPr>
              <w:t>85.43</w:t>
            </w:r>
          </w:p>
        </w:tc>
        <w:tc>
          <w:tcPr>
            <w:tcW w:type="dxa" w:w="1300"/>
            <w:tcMar>
              <w:top w:w="80" w:type="dxa"/>
              <w:bottom w:w="80" w:type="dxa"/>
              <w:start w:w="120" w:type="dxa"/>
              <w:end w:w="120" w:type="dxa"/>
            </w:tcMar>
            <w:vAlign w:val="center"/>
          </w:tcPr>
          <w:p>
            <w:pPr>
              <w:jc w:val="left"/>
            </w:pPr>
            <w:r>
              <w:rPr>
                <w:sz w:val="19"/>
              </w:rPr>
              <w:t>+92%</w:t>
            </w:r>
          </w:p>
        </w:tc>
        <w:tc>
          <w:tcPr>
            <w:tcW w:type="dxa" w:w="1300"/>
            <w:tcMar>
              <w:top w:w="80" w:type="dxa"/>
              <w:bottom w:w="80" w:type="dxa"/>
              <w:start w:w="120" w:type="dxa"/>
              <w:end w:w="120" w:type="dxa"/>
            </w:tcMar>
            <w:vAlign w:val="center"/>
          </w:tcPr>
          <w:p>
            <w:pPr>
              <w:jc w:val="left"/>
            </w:pPr>
            <w:r>
              <w:rPr>
                <w:sz w:val="19"/>
              </w:rPr>
              <w:t>未单列</w:t>
            </w:r>
          </w:p>
        </w:tc>
        <w:tc>
          <w:tcPr>
            <w:tcW w:type="dxa" w:w="3160"/>
            <w:tcMar>
              <w:top w:w="80" w:type="dxa"/>
              <w:bottom w:w="80" w:type="dxa"/>
              <w:start w:w="120" w:type="dxa"/>
              <w:end w:w="120" w:type="dxa"/>
            </w:tcMar>
            <w:vAlign w:val="center"/>
          </w:tcPr>
          <w:p>
            <w:pPr>
              <w:jc w:val="left"/>
            </w:pPr>
            <w:r>
              <w:rPr>
                <w:sz w:val="19"/>
              </w:rPr>
              <w:t>AI 基础设施扩张也拉动传统服务器和网络</w:t>
            </w:r>
          </w:p>
        </w:tc>
      </w:tr>
      <w:tr>
        <w:tc>
          <w:tcPr>
            <w:tcW w:type="dxa" w:w="1900"/>
            <w:tcMar>
              <w:top w:w="80" w:type="dxa"/>
              <w:bottom w:w="80" w:type="dxa"/>
              <w:start w:w="120" w:type="dxa"/>
              <w:end w:w="120" w:type="dxa"/>
            </w:tcMar>
            <w:vAlign w:val="center"/>
          </w:tcPr>
          <w:p>
            <w:pPr>
              <w:jc w:val="center"/>
            </w:pPr>
            <w:r>
              <w:rPr>
                <w:sz w:val="19"/>
              </w:rPr>
              <w:t>Storage</w:t>
            </w:r>
          </w:p>
        </w:tc>
        <w:tc>
          <w:tcPr>
            <w:tcW w:type="dxa" w:w="1700"/>
            <w:tcMar>
              <w:top w:w="80" w:type="dxa"/>
              <w:bottom w:w="80" w:type="dxa"/>
              <w:start w:w="120" w:type="dxa"/>
              <w:end w:w="120" w:type="dxa"/>
            </w:tcMar>
            <w:vAlign w:val="center"/>
          </w:tcPr>
          <w:p>
            <w:pPr>
              <w:jc w:val="left"/>
            </w:pPr>
            <w:r>
              <w:rPr>
                <w:sz w:val="19"/>
              </w:rPr>
              <w:t>43.34</w:t>
            </w:r>
          </w:p>
        </w:tc>
        <w:tc>
          <w:tcPr>
            <w:tcW w:type="dxa" w:w="1300"/>
            <w:tcMar>
              <w:top w:w="80" w:type="dxa"/>
              <w:bottom w:w="80" w:type="dxa"/>
              <w:start w:w="120" w:type="dxa"/>
              <w:end w:w="120" w:type="dxa"/>
            </w:tcMar>
            <w:vAlign w:val="center"/>
          </w:tcPr>
          <w:p>
            <w:pPr>
              <w:jc w:val="left"/>
            </w:pPr>
            <w:r>
              <w:rPr>
                <w:sz w:val="19"/>
              </w:rPr>
              <w:t>+8%</w:t>
            </w:r>
          </w:p>
        </w:tc>
        <w:tc>
          <w:tcPr>
            <w:tcW w:type="dxa" w:w="1300"/>
            <w:tcMar>
              <w:top w:w="80" w:type="dxa"/>
              <w:bottom w:w="80" w:type="dxa"/>
              <w:start w:w="120" w:type="dxa"/>
              <w:end w:w="120" w:type="dxa"/>
            </w:tcMar>
            <w:vAlign w:val="center"/>
          </w:tcPr>
          <w:p>
            <w:pPr>
              <w:jc w:val="left"/>
            </w:pPr>
            <w:r>
              <w:rPr>
                <w:sz w:val="19"/>
              </w:rPr>
              <w:t>未单列</w:t>
            </w:r>
          </w:p>
        </w:tc>
        <w:tc>
          <w:tcPr>
            <w:tcW w:type="dxa" w:w="3160"/>
            <w:tcMar>
              <w:top w:w="80" w:type="dxa"/>
              <w:bottom w:w="80" w:type="dxa"/>
              <w:start w:w="120" w:type="dxa"/>
              <w:end w:w="120" w:type="dxa"/>
            </w:tcMar>
            <w:vAlign w:val="center"/>
          </w:tcPr>
          <w:p>
            <w:pPr>
              <w:jc w:val="left"/>
            </w:pPr>
            <w:r>
              <w:rPr>
                <w:sz w:val="19"/>
              </w:rPr>
              <w:t>增长较慢但利润质量关键，应跟踪 AI 存储 attach</w:t>
            </w:r>
          </w:p>
        </w:tc>
      </w:tr>
      <w:tr>
        <w:tc>
          <w:tcPr>
            <w:tcW w:type="dxa" w:w="1900"/>
            <w:tcMar>
              <w:top w:w="80" w:type="dxa"/>
              <w:bottom w:w="80" w:type="dxa"/>
              <w:start w:w="120" w:type="dxa"/>
              <w:end w:w="120" w:type="dxa"/>
            </w:tcMar>
            <w:vAlign w:val="center"/>
          </w:tcPr>
          <w:p>
            <w:pPr>
              <w:jc w:val="center"/>
            </w:pPr>
            <w:r>
              <w:rPr>
                <w:sz w:val="19"/>
              </w:rPr>
              <w:t>CSG 合计</w:t>
            </w:r>
          </w:p>
        </w:tc>
        <w:tc>
          <w:tcPr>
            <w:tcW w:type="dxa" w:w="1700"/>
            <w:tcMar>
              <w:top w:w="80" w:type="dxa"/>
              <w:bottom w:w="80" w:type="dxa"/>
              <w:start w:w="120" w:type="dxa"/>
              <w:end w:w="120" w:type="dxa"/>
            </w:tcMar>
            <w:vAlign w:val="center"/>
          </w:tcPr>
          <w:p>
            <w:pPr>
              <w:jc w:val="left"/>
            </w:pPr>
            <w:r>
              <w:rPr>
                <w:sz w:val="19"/>
              </w:rPr>
              <w:t>146.09</w:t>
            </w:r>
          </w:p>
        </w:tc>
        <w:tc>
          <w:tcPr>
            <w:tcW w:type="dxa" w:w="1300"/>
            <w:tcMar>
              <w:top w:w="80" w:type="dxa"/>
              <w:bottom w:w="80" w:type="dxa"/>
              <w:start w:w="120" w:type="dxa"/>
              <w:end w:w="120" w:type="dxa"/>
            </w:tcMar>
            <w:vAlign w:val="center"/>
          </w:tcPr>
          <w:p>
            <w:pPr>
              <w:jc w:val="left"/>
            </w:pPr>
            <w:r>
              <w:rPr>
                <w:sz w:val="19"/>
              </w:rPr>
              <w:t>+17%</w:t>
            </w:r>
          </w:p>
        </w:tc>
        <w:tc>
          <w:tcPr>
            <w:tcW w:type="dxa" w:w="1300"/>
            <w:tcMar>
              <w:top w:w="80" w:type="dxa"/>
              <w:bottom w:w="80" w:type="dxa"/>
              <w:start w:w="120" w:type="dxa"/>
              <w:end w:w="120" w:type="dxa"/>
            </w:tcMar>
            <w:vAlign w:val="center"/>
          </w:tcPr>
          <w:p>
            <w:pPr>
              <w:jc w:val="left"/>
            </w:pPr>
            <w:r>
              <w:rPr>
                <w:sz w:val="19"/>
              </w:rPr>
              <w:t>11.70</w:t>
            </w:r>
          </w:p>
        </w:tc>
        <w:tc>
          <w:tcPr>
            <w:tcW w:type="dxa" w:w="3160"/>
            <w:tcMar>
              <w:top w:w="80" w:type="dxa"/>
              <w:bottom w:w="80" w:type="dxa"/>
              <w:start w:w="120" w:type="dxa"/>
              <w:end w:w="120" w:type="dxa"/>
            </w:tcMar>
            <w:vAlign w:val="center"/>
          </w:tcPr>
          <w:p>
            <w:pPr>
              <w:jc w:val="left"/>
            </w:pPr>
            <w:r>
              <w:rPr>
                <w:sz w:val="19"/>
              </w:rPr>
              <w:t>商用 PC 回暖，利润率改善</w:t>
            </w:r>
          </w:p>
        </w:tc>
      </w:tr>
      <w:tr>
        <w:tc>
          <w:tcPr>
            <w:tcW w:type="dxa" w:w="1900"/>
            <w:tcMar>
              <w:top w:w="80" w:type="dxa"/>
              <w:bottom w:w="80" w:type="dxa"/>
              <w:start w:w="120" w:type="dxa"/>
              <w:end w:w="120" w:type="dxa"/>
            </w:tcMar>
            <w:vAlign w:val="center"/>
          </w:tcPr>
          <w:p>
            <w:pPr>
              <w:jc w:val="center"/>
            </w:pPr>
            <w:r>
              <w:rPr>
                <w:sz w:val="19"/>
              </w:rPr>
              <w:t>Commercial Client</w:t>
            </w:r>
          </w:p>
        </w:tc>
        <w:tc>
          <w:tcPr>
            <w:tcW w:type="dxa" w:w="1700"/>
            <w:tcMar>
              <w:top w:w="80" w:type="dxa"/>
              <w:bottom w:w="80" w:type="dxa"/>
              <w:start w:w="120" w:type="dxa"/>
              <w:end w:w="120" w:type="dxa"/>
            </w:tcMar>
            <w:vAlign w:val="center"/>
          </w:tcPr>
          <w:p>
            <w:pPr>
              <w:jc w:val="left"/>
            </w:pPr>
            <w:r>
              <w:rPr>
                <w:sz w:val="19"/>
              </w:rPr>
              <w:t>130.20</w:t>
            </w:r>
          </w:p>
        </w:tc>
        <w:tc>
          <w:tcPr>
            <w:tcW w:type="dxa" w:w="1300"/>
            <w:tcMar>
              <w:top w:w="80" w:type="dxa"/>
              <w:bottom w:w="80" w:type="dxa"/>
              <w:start w:w="120" w:type="dxa"/>
              <w:end w:w="120" w:type="dxa"/>
            </w:tcMar>
            <w:vAlign w:val="center"/>
          </w:tcPr>
          <w:p>
            <w:pPr>
              <w:jc w:val="left"/>
            </w:pPr>
            <w:r>
              <w:rPr>
                <w:sz w:val="19"/>
              </w:rPr>
              <w:t>+18%</w:t>
            </w:r>
          </w:p>
        </w:tc>
        <w:tc>
          <w:tcPr>
            <w:tcW w:type="dxa" w:w="1300"/>
            <w:tcMar>
              <w:top w:w="80" w:type="dxa"/>
              <w:bottom w:w="80" w:type="dxa"/>
              <w:start w:w="120" w:type="dxa"/>
              <w:end w:w="120" w:type="dxa"/>
            </w:tcMar>
            <w:vAlign w:val="center"/>
          </w:tcPr>
          <w:p>
            <w:pPr>
              <w:jc w:val="left"/>
            </w:pPr>
            <w:r>
              <w:rPr>
                <w:sz w:val="19"/>
              </w:rPr>
              <w:t>未单列</w:t>
            </w:r>
          </w:p>
        </w:tc>
        <w:tc>
          <w:tcPr>
            <w:tcW w:type="dxa" w:w="3160"/>
            <w:tcMar>
              <w:top w:w="80" w:type="dxa"/>
              <w:bottom w:w="80" w:type="dxa"/>
              <w:start w:w="120" w:type="dxa"/>
              <w:end w:w="120" w:type="dxa"/>
            </w:tcMar>
            <w:vAlign w:val="center"/>
          </w:tcPr>
          <w:p>
            <w:pPr>
              <w:jc w:val="left"/>
            </w:pPr>
            <w:r>
              <w:rPr>
                <w:sz w:val="19"/>
              </w:rPr>
              <w:t>企业 PC 是 CSG 主体</w:t>
            </w:r>
          </w:p>
        </w:tc>
      </w:tr>
      <w:tr>
        <w:tc>
          <w:tcPr>
            <w:tcW w:type="dxa" w:w="1900"/>
            <w:tcMar>
              <w:top w:w="80" w:type="dxa"/>
              <w:bottom w:w="80" w:type="dxa"/>
              <w:start w:w="120" w:type="dxa"/>
              <w:end w:w="120" w:type="dxa"/>
            </w:tcMar>
            <w:vAlign w:val="center"/>
          </w:tcPr>
          <w:p>
            <w:pPr>
              <w:jc w:val="center"/>
            </w:pPr>
            <w:r>
              <w:rPr>
                <w:sz w:val="19"/>
              </w:rPr>
              <w:t>Consumer</w:t>
            </w:r>
          </w:p>
        </w:tc>
        <w:tc>
          <w:tcPr>
            <w:tcW w:type="dxa" w:w="1700"/>
            <w:tcMar>
              <w:top w:w="80" w:type="dxa"/>
              <w:bottom w:w="80" w:type="dxa"/>
              <w:start w:w="120" w:type="dxa"/>
              <w:end w:w="120" w:type="dxa"/>
            </w:tcMar>
            <w:vAlign w:val="center"/>
          </w:tcPr>
          <w:p>
            <w:pPr>
              <w:jc w:val="left"/>
            </w:pPr>
            <w:r>
              <w:rPr>
                <w:sz w:val="19"/>
              </w:rPr>
              <w:t>15.89</w:t>
            </w:r>
          </w:p>
        </w:tc>
        <w:tc>
          <w:tcPr>
            <w:tcW w:type="dxa" w:w="1300"/>
            <w:tcMar>
              <w:top w:w="80" w:type="dxa"/>
              <w:bottom w:w="80" w:type="dxa"/>
              <w:start w:w="120" w:type="dxa"/>
              <w:end w:w="120" w:type="dxa"/>
            </w:tcMar>
            <w:vAlign w:val="center"/>
          </w:tcPr>
          <w:p>
            <w:pPr>
              <w:jc w:val="left"/>
            </w:pPr>
            <w:r>
              <w:rPr>
                <w:sz w:val="19"/>
              </w:rPr>
              <w:t>+9%</w:t>
            </w:r>
          </w:p>
        </w:tc>
        <w:tc>
          <w:tcPr>
            <w:tcW w:type="dxa" w:w="1300"/>
            <w:tcMar>
              <w:top w:w="80" w:type="dxa"/>
              <w:bottom w:w="80" w:type="dxa"/>
              <w:start w:w="120" w:type="dxa"/>
              <w:end w:w="120" w:type="dxa"/>
            </w:tcMar>
            <w:vAlign w:val="center"/>
          </w:tcPr>
          <w:p>
            <w:pPr>
              <w:jc w:val="left"/>
            </w:pPr>
            <w:r>
              <w:rPr>
                <w:sz w:val="19"/>
              </w:rPr>
              <w:t>未单列</w:t>
            </w:r>
          </w:p>
        </w:tc>
        <w:tc>
          <w:tcPr>
            <w:tcW w:type="dxa" w:w="3160"/>
            <w:tcMar>
              <w:top w:w="80" w:type="dxa"/>
              <w:bottom w:w="80" w:type="dxa"/>
              <w:start w:w="120" w:type="dxa"/>
              <w:end w:w="120" w:type="dxa"/>
            </w:tcMar>
            <w:vAlign w:val="center"/>
          </w:tcPr>
          <w:p>
            <w:pPr>
              <w:jc w:val="left"/>
            </w:pPr>
            <w:r>
              <w:rPr>
                <w:sz w:val="19"/>
              </w:rPr>
              <w:t>占比较低，周期属性更强</w:t>
            </w:r>
          </w:p>
        </w:tc>
      </w:tr>
    </w:tbl>
    <w:p/>
    <w:p>
      <w:pPr>
        <w:pStyle w:val="Heading2"/>
      </w:pPr>
      <w:r>
        <w:t>8.2 FY2026 全年分部收入</w:t>
      </w:r>
    </w:p>
    <w:tbl>
      <w:tblPr>
        <w:tblStyle w:val="TableGrid"/>
        <w:tblW w:type="dxa" w:w="9360"/>
        <w:jc w:val="center"/>
        <w:tblLook w:firstColumn="1" w:firstRow="1" w:lastColumn="0" w:lastRow="0" w:noHBand="0" w:noVBand="1" w:val="04A0"/>
        <w:tblInd w:w="120" w:type="dxa"/>
      </w:tblPr>
      <w:tblGrid>
        <w:gridCol w:w="1900"/>
        <w:gridCol w:w="1700"/>
        <w:gridCol w:w="1300"/>
        <w:gridCol w:w="1300"/>
        <w:gridCol w:w="3160"/>
      </w:tblGrid>
      <w:tr>
        <w:trPr>
          <w:tblHeader w:val="true"/>
        </w:trPr>
        <w:tc>
          <w:tcPr>
            <w:tcW w:type="dxa" w:w="1900"/>
            <w:shd w:fill="E8EEF5"/>
            <w:tcMar>
              <w:top w:w="80" w:type="dxa"/>
              <w:bottom w:w="80" w:type="dxa"/>
              <w:start w:w="120" w:type="dxa"/>
              <w:end w:w="120" w:type="dxa"/>
            </w:tcMar>
            <w:vAlign w:val="center"/>
          </w:tcPr>
          <w:p>
            <w:pPr>
              <w:jc w:val="center"/>
            </w:pPr>
            <w:r>
              <w:rPr>
                <w:b/>
                <w:sz w:val="19"/>
              </w:rPr>
              <w:t>分部</w:t>
            </w:r>
          </w:p>
        </w:tc>
        <w:tc>
          <w:tcPr>
            <w:tcW w:type="dxa" w:w="1700"/>
            <w:shd w:fill="E8EEF5"/>
            <w:tcMar>
              <w:top w:w="80" w:type="dxa"/>
              <w:bottom w:w="80" w:type="dxa"/>
              <w:start w:w="120" w:type="dxa"/>
              <w:end w:w="120" w:type="dxa"/>
            </w:tcMar>
            <w:vAlign w:val="center"/>
          </w:tcPr>
          <w:p>
            <w:pPr>
              <w:jc w:val="center"/>
            </w:pPr>
            <w:r>
              <w:rPr>
                <w:b/>
                <w:sz w:val="19"/>
              </w:rPr>
              <w:t>FY2026 收入</w:t>
            </w:r>
          </w:p>
        </w:tc>
        <w:tc>
          <w:tcPr>
            <w:tcW w:type="dxa" w:w="1300"/>
            <w:shd w:fill="E8EEF5"/>
            <w:tcMar>
              <w:top w:w="80" w:type="dxa"/>
              <w:bottom w:w="80" w:type="dxa"/>
              <w:start w:w="120" w:type="dxa"/>
              <w:end w:w="120" w:type="dxa"/>
            </w:tcMar>
            <w:vAlign w:val="center"/>
          </w:tcPr>
          <w:p>
            <w:pPr>
              <w:jc w:val="center"/>
            </w:pPr>
            <w:r>
              <w:rPr>
                <w:b/>
                <w:sz w:val="19"/>
              </w:rPr>
              <w:t>同比变化</w:t>
            </w:r>
          </w:p>
        </w:tc>
        <w:tc>
          <w:tcPr>
            <w:tcW w:type="dxa" w:w="1300"/>
            <w:shd w:fill="E8EEF5"/>
            <w:tcMar>
              <w:top w:w="80" w:type="dxa"/>
              <w:bottom w:w="80" w:type="dxa"/>
              <w:start w:w="120" w:type="dxa"/>
              <w:end w:w="120" w:type="dxa"/>
            </w:tcMar>
            <w:vAlign w:val="center"/>
          </w:tcPr>
          <w:p>
            <w:pPr>
              <w:jc w:val="center"/>
            </w:pPr>
            <w:r>
              <w:rPr>
                <w:b/>
                <w:sz w:val="19"/>
              </w:rPr>
              <w:t>营业利润</w:t>
            </w:r>
          </w:p>
        </w:tc>
        <w:tc>
          <w:tcPr>
            <w:tcW w:type="dxa" w:w="3160"/>
            <w:shd w:fill="E8EEF5"/>
            <w:tcMar>
              <w:top w:w="80" w:type="dxa"/>
              <w:bottom w:w="80" w:type="dxa"/>
              <w:start w:w="120" w:type="dxa"/>
              <w:end w:w="120" w:type="dxa"/>
            </w:tcMar>
            <w:vAlign w:val="center"/>
          </w:tcPr>
          <w:p>
            <w:pPr>
              <w:jc w:val="center"/>
            </w:pPr>
            <w:r>
              <w:rPr>
                <w:b/>
                <w:sz w:val="19"/>
              </w:rPr>
              <w:t>经营判断</w:t>
            </w:r>
          </w:p>
        </w:tc>
      </w:tr>
      <w:tr>
        <w:tc>
          <w:tcPr>
            <w:tcW w:type="dxa" w:w="1900"/>
            <w:tcMar>
              <w:top w:w="80" w:type="dxa"/>
              <w:bottom w:w="80" w:type="dxa"/>
              <w:start w:w="120" w:type="dxa"/>
              <w:end w:w="120" w:type="dxa"/>
            </w:tcMar>
            <w:vAlign w:val="center"/>
          </w:tcPr>
          <w:p>
            <w:pPr>
              <w:jc w:val="center"/>
            </w:pPr>
            <w:r>
              <w:rPr>
                <w:sz w:val="19"/>
              </w:rPr>
              <w:t>ISG 合计</w:t>
            </w:r>
          </w:p>
        </w:tc>
        <w:tc>
          <w:tcPr>
            <w:tcW w:type="dxa" w:w="1700"/>
            <w:tcMar>
              <w:top w:w="80" w:type="dxa"/>
              <w:bottom w:w="80" w:type="dxa"/>
              <w:start w:w="120" w:type="dxa"/>
              <w:end w:w="120" w:type="dxa"/>
            </w:tcMar>
            <w:vAlign w:val="center"/>
          </w:tcPr>
          <w:p>
            <w:pPr>
              <w:jc w:val="left"/>
            </w:pPr>
            <w:r>
              <w:rPr>
                <w:sz w:val="19"/>
              </w:rPr>
              <w:t>608.26</w:t>
            </w:r>
          </w:p>
        </w:tc>
        <w:tc>
          <w:tcPr>
            <w:tcW w:type="dxa" w:w="1300"/>
            <w:tcMar>
              <w:top w:w="80" w:type="dxa"/>
              <w:bottom w:w="80" w:type="dxa"/>
              <w:start w:w="120" w:type="dxa"/>
              <w:end w:w="120" w:type="dxa"/>
            </w:tcMar>
            <w:vAlign w:val="center"/>
          </w:tcPr>
          <w:p>
            <w:pPr>
              <w:jc w:val="left"/>
            </w:pPr>
            <w:r>
              <w:rPr>
                <w:sz w:val="19"/>
              </w:rPr>
              <w:t>+40%</w:t>
            </w:r>
          </w:p>
        </w:tc>
        <w:tc>
          <w:tcPr>
            <w:tcW w:type="dxa" w:w="1300"/>
            <w:tcMar>
              <w:top w:w="80" w:type="dxa"/>
              <w:bottom w:w="80" w:type="dxa"/>
              <w:start w:w="120" w:type="dxa"/>
              <w:end w:w="120" w:type="dxa"/>
            </w:tcMar>
            <w:vAlign w:val="center"/>
          </w:tcPr>
          <w:p>
            <w:pPr>
              <w:jc w:val="left"/>
            </w:pPr>
            <w:r>
              <w:rPr>
                <w:sz w:val="19"/>
              </w:rPr>
              <w:t>71.11</w:t>
            </w:r>
          </w:p>
        </w:tc>
        <w:tc>
          <w:tcPr>
            <w:tcW w:type="dxa" w:w="3160"/>
            <w:tcMar>
              <w:top w:w="80" w:type="dxa"/>
              <w:bottom w:w="80" w:type="dxa"/>
              <w:start w:w="120" w:type="dxa"/>
              <w:end w:w="120" w:type="dxa"/>
            </w:tcMar>
            <w:vAlign w:val="center"/>
          </w:tcPr>
          <w:p>
            <w:pPr>
              <w:jc w:val="left"/>
            </w:pPr>
            <w:r>
              <w:rPr>
                <w:sz w:val="19"/>
              </w:rPr>
              <w:t>已成为公司最重要的成长和利润引擎</w:t>
            </w:r>
          </w:p>
        </w:tc>
      </w:tr>
      <w:tr>
        <w:tc>
          <w:tcPr>
            <w:tcW w:type="dxa" w:w="1900"/>
            <w:tcMar>
              <w:top w:w="80" w:type="dxa"/>
              <w:bottom w:w="80" w:type="dxa"/>
              <w:start w:w="120" w:type="dxa"/>
              <w:end w:w="120" w:type="dxa"/>
            </w:tcMar>
            <w:vAlign w:val="center"/>
          </w:tcPr>
          <w:p>
            <w:pPr>
              <w:jc w:val="center"/>
            </w:pPr>
            <w:r>
              <w:rPr>
                <w:sz w:val="19"/>
              </w:rPr>
              <w:t>AI-optimized servers</w:t>
            </w:r>
          </w:p>
        </w:tc>
        <w:tc>
          <w:tcPr>
            <w:tcW w:type="dxa" w:w="1700"/>
            <w:tcMar>
              <w:top w:w="80" w:type="dxa"/>
              <w:bottom w:w="80" w:type="dxa"/>
              <w:start w:w="120" w:type="dxa"/>
              <w:end w:w="120" w:type="dxa"/>
            </w:tcMar>
            <w:vAlign w:val="center"/>
          </w:tcPr>
          <w:p>
            <w:pPr>
              <w:jc w:val="left"/>
            </w:pPr>
            <w:r>
              <w:rPr>
                <w:sz w:val="19"/>
              </w:rPr>
              <w:t>246.83</w:t>
            </w:r>
          </w:p>
        </w:tc>
        <w:tc>
          <w:tcPr>
            <w:tcW w:type="dxa" w:w="1300"/>
            <w:tcMar>
              <w:top w:w="80" w:type="dxa"/>
              <w:bottom w:w="80" w:type="dxa"/>
              <w:start w:w="120" w:type="dxa"/>
              <w:end w:w="120" w:type="dxa"/>
            </w:tcMar>
            <w:vAlign w:val="center"/>
          </w:tcPr>
          <w:p>
            <w:pPr>
              <w:jc w:val="left"/>
            </w:pPr>
            <w:r>
              <w:rPr>
                <w:sz w:val="19"/>
              </w:rPr>
              <w:t>+166%</w:t>
            </w:r>
          </w:p>
        </w:tc>
        <w:tc>
          <w:tcPr>
            <w:tcW w:type="dxa" w:w="1300"/>
            <w:tcMar>
              <w:top w:w="80" w:type="dxa"/>
              <w:bottom w:w="80" w:type="dxa"/>
              <w:start w:w="120" w:type="dxa"/>
              <w:end w:w="120" w:type="dxa"/>
            </w:tcMar>
            <w:vAlign w:val="center"/>
          </w:tcPr>
          <w:p>
            <w:pPr>
              <w:jc w:val="left"/>
            </w:pPr>
            <w:r>
              <w:rPr>
                <w:sz w:val="19"/>
              </w:rPr>
              <w:t>未单列</w:t>
            </w:r>
          </w:p>
        </w:tc>
        <w:tc>
          <w:tcPr>
            <w:tcW w:type="dxa" w:w="3160"/>
            <w:tcMar>
              <w:top w:w="80" w:type="dxa"/>
              <w:bottom w:w="80" w:type="dxa"/>
              <w:start w:w="120" w:type="dxa"/>
              <w:end w:w="120" w:type="dxa"/>
            </w:tcMar>
            <w:vAlign w:val="center"/>
          </w:tcPr>
          <w:p>
            <w:pPr>
              <w:jc w:val="left"/>
            </w:pPr>
            <w:r>
              <w:rPr>
                <w:sz w:val="19"/>
              </w:rPr>
              <w:t>FY2026 全年出货超过 250 亿美元，进入 FY2027 仍加速</w:t>
            </w:r>
          </w:p>
        </w:tc>
      </w:tr>
      <w:tr>
        <w:tc>
          <w:tcPr>
            <w:tcW w:type="dxa" w:w="1900"/>
            <w:tcMar>
              <w:top w:w="80" w:type="dxa"/>
              <w:bottom w:w="80" w:type="dxa"/>
              <w:start w:w="120" w:type="dxa"/>
              <w:end w:w="120" w:type="dxa"/>
            </w:tcMar>
            <w:vAlign w:val="center"/>
          </w:tcPr>
          <w:p>
            <w:pPr>
              <w:jc w:val="center"/>
            </w:pPr>
            <w:r>
              <w:rPr>
                <w:sz w:val="19"/>
              </w:rPr>
              <w:t>Traditional servers and networking</w:t>
            </w:r>
          </w:p>
        </w:tc>
        <w:tc>
          <w:tcPr>
            <w:tcW w:type="dxa" w:w="1700"/>
            <w:tcMar>
              <w:top w:w="80" w:type="dxa"/>
              <w:bottom w:w="80" w:type="dxa"/>
              <w:start w:w="120" w:type="dxa"/>
              <w:end w:w="120" w:type="dxa"/>
            </w:tcMar>
            <w:vAlign w:val="center"/>
          </w:tcPr>
          <w:p>
            <w:pPr>
              <w:jc w:val="left"/>
            </w:pPr>
            <w:r>
              <w:rPr>
                <w:sz w:val="19"/>
              </w:rPr>
              <w:t>195.12</w:t>
            </w:r>
          </w:p>
        </w:tc>
        <w:tc>
          <w:tcPr>
            <w:tcW w:type="dxa" w:w="1300"/>
            <w:tcMar>
              <w:top w:w="80" w:type="dxa"/>
              <w:bottom w:w="80" w:type="dxa"/>
              <w:start w:w="120" w:type="dxa"/>
              <w:end w:w="120" w:type="dxa"/>
            </w:tcMar>
            <w:vAlign w:val="center"/>
          </w:tcPr>
          <w:p>
            <w:pPr>
              <w:jc w:val="left"/>
            </w:pPr>
            <w:r>
              <w:rPr>
                <w:sz w:val="19"/>
              </w:rPr>
              <w:t>+9%</w:t>
            </w:r>
          </w:p>
        </w:tc>
        <w:tc>
          <w:tcPr>
            <w:tcW w:type="dxa" w:w="1300"/>
            <w:tcMar>
              <w:top w:w="80" w:type="dxa"/>
              <w:bottom w:w="80" w:type="dxa"/>
              <w:start w:w="120" w:type="dxa"/>
              <w:end w:w="120" w:type="dxa"/>
            </w:tcMar>
            <w:vAlign w:val="center"/>
          </w:tcPr>
          <w:p>
            <w:pPr>
              <w:jc w:val="left"/>
            </w:pPr>
            <w:r>
              <w:rPr>
                <w:sz w:val="19"/>
              </w:rPr>
              <w:t>未单列</w:t>
            </w:r>
          </w:p>
        </w:tc>
        <w:tc>
          <w:tcPr>
            <w:tcW w:type="dxa" w:w="3160"/>
            <w:tcMar>
              <w:top w:w="80" w:type="dxa"/>
              <w:bottom w:w="80" w:type="dxa"/>
              <w:start w:w="120" w:type="dxa"/>
              <w:end w:w="120" w:type="dxa"/>
            </w:tcMar>
            <w:vAlign w:val="center"/>
          </w:tcPr>
          <w:p>
            <w:pPr>
              <w:jc w:val="left"/>
            </w:pPr>
            <w:r>
              <w:rPr>
                <w:sz w:val="19"/>
              </w:rPr>
              <w:t>传统企业计算稳定修复</w:t>
            </w:r>
          </w:p>
        </w:tc>
      </w:tr>
      <w:tr>
        <w:tc>
          <w:tcPr>
            <w:tcW w:type="dxa" w:w="1900"/>
            <w:tcMar>
              <w:top w:w="80" w:type="dxa"/>
              <w:bottom w:w="80" w:type="dxa"/>
              <w:start w:w="120" w:type="dxa"/>
              <w:end w:w="120" w:type="dxa"/>
            </w:tcMar>
            <w:vAlign w:val="center"/>
          </w:tcPr>
          <w:p>
            <w:pPr>
              <w:jc w:val="center"/>
            </w:pPr>
            <w:r>
              <w:rPr>
                <w:sz w:val="19"/>
              </w:rPr>
              <w:t>Storage</w:t>
            </w:r>
          </w:p>
        </w:tc>
        <w:tc>
          <w:tcPr>
            <w:tcW w:type="dxa" w:w="1700"/>
            <w:tcMar>
              <w:top w:w="80" w:type="dxa"/>
              <w:bottom w:w="80" w:type="dxa"/>
              <w:start w:w="120" w:type="dxa"/>
              <w:end w:w="120" w:type="dxa"/>
            </w:tcMar>
            <w:vAlign w:val="center"/>
          </w:tcPr>
          <w:p>
            <w:pPr>
              <w:jc w:val="left"/>
            </w:pPr>
            <w:r>
              <w:rPr>
                <w:sz w:val="19"/>
              </w:rPr>
              <w:t>166.31</w:t>
            </w:r>
          </w:p>
        </w:tc>
        <w:tc>
          <w:tcPr>
            <w:tcW w:type="dxa" w:w="1300"/>
            <w:tcMar>
              <w:top w:w="80" w:type="dxa"/>
              <w:bottom w:w="80" w:type="dxa"/>
              <w:start w:w="120" w:type="dxa"/>
              <w:end w:w="120" w:type="dxa"/>
            </w:tcMar>
            <w:vAlign w:val="center"/>
          </w:tcPr>
          <w:p>
            <w:pPr>
              <w:jc w:val="left"/>
            </w:pPr>
            <w:r>
              <w:rPr>
                <w:sz w:val="19"/>
              </w:rPr>
              <w:t>+1%</w:t>
            </w:r>
          </w:p>
        </w:tc>
        <w:tc>
          <w:tcPr>
            <w:tcW w:type="dxa" w:w="1300"/>
            <w:tcMar>
              <w:top w:w="80" w:type="dxa"/>
              <w:bottom w:w="80" w:type="dxa"/>
              <w:start w:w="120" w:type="dxa"/>
              <w:end w:w="120" w:type="dxa"/>
            </w:tcMar>
            <w:vAlign w:val="center"/>
          </w:tcPr>
          <w:p>
            <w:pPr>
              <w:jc w:val="left"/>
            </w:pPr>
            <w:r>
              <w:rPr>
                <w:sz w:val="19"/>
              </w:rPr>
              <w:t>未单列</w:t>
            </w:r>
          </w:p>
        </w:tc>
        <w:tc>
          <w:tcPr>
            <w:tcW w:type="dxa" w:w="3160"/>
            <w:tcMar>
              <w:top w:w="80" w:type="dxa"/>
              <w:bottom w:w="80" w:type="dxa"/>
              <w:start w:w="120" w:type="dxa"/>
              <w:end w:w="120" w:type="dxa"/>
            </w:tcMar>
            <w:vAlign w:val="center"/>
          </w:tcPr>
          <w:p>
            <w:pPr>
              <w:jc w:val="left"/>
            </w:pPr>
            <w:r>
              <w:rPr>
                <w:sz w:val="19"/>
              </w:rPr>
              <w:t>增速弱于服务器，若不能加速会限制估值质量</w:t>
            </w:r>
          </w:p>
        </w:tc>
      </w:tr>
      <w:tr>
        <w:tc>
          <w:tcPr>
            <w:tcW w:type="dxa" w:w="1900"/>
            <w:tcMar>
              <w:top w:w="80" w:type="dxa"/>
              <w:bottom w:w="80" w:type="dxa"/>
              <w:start w:w="120" w:type="dxa"/>
              <w:end w:w="120" w:type="dxa"/>
            </w:tcMar>
            <w:vAlign w:val="center"/>
          </w:tcPr>
          <w:p>
            <w:pPr>
              <w:jc w:val="center"/>
            </w:pPr>
            <w:r>
              <w:rPr>
                <w:sz w:val="19"/>
              </w:rPr>
              <w:t>CSG 合计</w:t>
            </w:r>
          </w:p>
        </w:tc>
        <w:tc>
          <w:tcPr>
            <w:tcW w:type="dxa" w:w="1700"/>
            <w:tcMar>
              <w:top w:w="80" w:type="dxa"/>
              <w:bottom w:w="80" w:type="dxa"/>
              <w:start w:w="120" w:type="dxa"/>
              <w:end w:w="120" w:type="dxa"/>
            </w:tcMar>
            <w:vAlign w:val="center"/>
          </w:tcPr>
          <w:p>
            <w:pPr>
              <w:jc w:val="left"/>
            </w:pPr>
            <w:r>
              <w:rPr>
                <w:sz w:val="19"/>
              </w:rPr>
              <w:t>509.84</w:t>
            </w:r>
          </w:p>
        </w:tc>
        <w:tc>
          <w:tcPr>
            <w:tcW w:type="dxa" w:w="1300"/>
            <w:tcMar>
              <w:top w:w="80" w:type="dxa"/>
              <w:bottom w:w="80" w:type="dxa"/>
              <w:start w:w="120" w:type="dxa"/>
              <w:end w:w="120" w:type="dxa"/>
            </w:tcMar>
            <w:vAlign w:val="center"/>
          </w:tcPr>
          <w:p>
            <w:pPr>
              <w:jc w:val="left"/>
            </w:pPr>
            <w:r>
              <w:rPr>
                <w:sz w:val="19"/>
              </w:rPr>
              <w:t>+5%</w:t>
            </w:r>
          </w:p>
        </w:tc>
        <w:tc>
          <w:tcPr>
            <w:tcW w:type="dxa" w:w="1300"/>
            <w:tcMar>
              <w:top w:w="80" w:type="dxa"/>
              <w:bottom w:w="80" w:type="dxa"/>
              <w:start w:w="120" w:type="dxa"/>
              <w:end w:w="120" w:type="dxa"/>
            </w:tcMar>
            <w:vAlign w:val="center"/>
          </w:tcPr>
          <w:p>
            <w:pPr>
              <w:jc w:val="left"/>
            </w:pPr>
            <w:r>
              <w:rPr>
                <w:sz w:val="19"/>
              </w:rPr>
              <w:t>28.33</w:t>
            </w:r>
          </w:p>
        </w:tc>
        <w:tc>
          <w:tcPr>
            <w:tcW w:type="dxa" w:w="3160"/>
            <w:tcMar>
              <w:top w:w="80" w:type="dxa"/>
              <w:bottom w:w="80" w:type="dxa"/>
              <w:start w:w="120" w:type="dxa"/>
              <w:end w:w="120" w:type="dxa"/>
            </w:tcMar>
            <w:vAlign w:val="center"/>
          </w:tcPr>
          <w:p>
            <w:pPr>
              <w:jc w:val="left"/>
            </w:pPr>
            <w:r>
              <w:rPr>
                <w:sz w:val="19"/>
              </w:rPr>
              <w:t>商用增长抵消消费下滑</w:t>
            </w:r>
          </w:p>
        </w:tc>
      </w:tr>
      <w:tr>
        <w:tc>
          <w:tcPr>
            <w:tcW w:type="dxa" w:w="1900"/>
            <w:tcMar>
              <w:top w:w="80" w:type="dxa"/>
              <w:bottom w:w="80" w:type="dxa"/>
              <w:start w:w="120" w:type="dxa"/>
              <w:end w:w="120" w:type="dxa"/>
            </w:tcMar>
            <w:vAlign w:val="center"/>
          </w:tcPr>
          <w:p>
            <w:pPr>
              <w:jc w:val="center"/>
            </w:pPr>
            <w:r>
              <w:rPr>
                <w:sz w:val="19"/>
              </w:rPr>
              <w:t>Commercial Client</w:t>
            </w:r>
          </w:p>
        </w:tc>
        <w:tc>
          <w:tcPr>
            <w:tcW w:type="dxa" w:w="1700"/>
            <w:tcMar>
              <w:top w:w="80" w:type="dxa"/>
              <w:bottom w:w="80" w:type="dxa"/>
              <w:start w:w="120" w:type="dxa"/>
              <w:end w:w="120" w:type="dxa"/>
            </w:tcMar>
            <w:vAlign w:val="center"/>
          </w:tcPr>
          <w:p>
            <w:pPr>
              <w:jc w:val="left"/>
            </w:pPr>
            <w:r>
              <w:rPr>
                <w:sz w:val="19"/>
              </w:rPr>
              <w:t>440.62</w:t>
            </w:r>
          </w:p>
        </w:tc>
        <w:tc>
          <w:tcPr>
            <w:tcW w:type="dxa" w:w="1300"/>
            <w:tcMar>
              <w:top w:w="80" w:type="dxa"/>
              <w:bottom w:w="80" w:type="dxa"/>
              <w:start w:w="120" w:type="dxa"/>
              <w:end w:w="120" w:type="dxa"/>
            </w:tcMar>
            <w:vAlign w:val="center"/>
          </w:tcPr>
          <w:p>
            <w:pPr>
              <w:jc w:val="left"/>
            </w:pPr>
            <w:r>
              <w:rPr>
                <w:sz w:val="19"/>
              </w:rPr>
              <w:t>+8%</w:t>
            </w:r>
          </w:p>
        </w:tc>
        <w:tc>
          <w:tcPr>
            <w:tcW w:type="dxa" w:w="1300"/>
            <w:tcMar>
              <w:top w:w="80" w:type="dxa"/>
              <w:bottom w:w="80" w:type="dxa"/>
              <w:start w:w="120" w:type="dxa"/>
              <w:end w:w="120" w:type="dxa"/>
            </w:tcMar>
            <w:vAlign w:val="center"/>
          </w:tcPr>
          <w:p>
            <w:pPr>
              <w:jc w:val="left"/>
            </w:pPr>
            <w:r>
              <w:rPr>
                <w:sz w:val="19"/>
              </w:rPr>
              <w:t>未单列</w:t>
            </w:r>
          </w:p>
        </w:tc>
        <w:tc>
          <w:tcPr>
            <w:tcW w:type="dxa" w:w="3160"/>
            <w:tcMar>
              <w:top w:w="80" w:type="dxa"/>
              <w:bottom w:w="80" w:type="dxa"/>
              <w:start w:w="120" w:type="dxa"/>
              <w:end w:w="120" w:type="dxa"/>
            </w:tcMar>
            <w:vAlign w:val="center"/>
          </w:tcPr>
          <w:p>
            <w:pPr>
              <w:jc w:val="left"/>
            </w:pPr>
            <w:r>
              <w:rPr>
                <w:sz w:val="19"/>
              </w:rPr>
              <w:t>企业 PC 和设备更新贡献主要增长</w:t>
            </w:r>
          </w:p>
        </w:tc>
      </w:tr>
      <w:tr>
        <w:tc>
          <w:tcPr>
            <w:tcW w:type="dxa" w:w="1900"/>
            <w:tcMar>
              <w:top w:w="80" w:type="dxa"/>
              <w:bottom w:w="80" w:type="dxa"/>
              <w:start w:w="120" w:type="dxa"/>
              <w:end w:w="120" w:type="dxa"/>
            </w:tcMar>
            <w:vAlign w:val="center"/>
          </w:tcPr>
          <w:p>
            <w:pPr>
              <w:jc w:val="center"/>
            </w:pPr>
            <w:r>
              <w:rPr>
                <w:sz w:val="19"/>
              </w:rPr>
              <w:t>Consumer</w:t>
            </w:r>
          </w:p>
        </w:tc>
        <w:tc>
          <w:tcPr>
            <w:tcW w:type="dxa" w:w="1700"/>
            <w:tcMar>
              <w:top w:w="80" w:type="dxa"/>
              <w:bottom w:w="80" w:type="dxa"/>
              <w:start w:w="120" w:type="dxa"/>
              <w:end w:w="120" w:type="dxa"/>
            </w:tcMar>
            <w:vAlign w:val="center"/>
          </w:tcPr>
          <w:p>
            <w:pPr>
              <w:jc w:val="left"/>
            </w:pPr>
            <w:r>
              <w:rPr>
                <w:sz w:val="19"/>
              </w:rPr>
              <w:t>69.22</w:t>
            </w:r>
          </w:p>
        </w:tc>
        <w:tc>
          <w:tcPr>
            <w:tcW w:type="dxa" w:w="1300"/>
            <w:tcMar>
              <w:top w:w="80" w:type="dxa"/>
              <w:bottom w:w="80" w:type="dxa"/>
              <w:start w:w="120" w:type="dxa"/>
              <w:end w:w="120" w:type="dxa"/>
            </w:tcMar>
            <w:vAlign w:val="center"/>
          </w:tcPr>
          <w:p>
            <w:pPr>
              <w:jc w:val="left"/>
            </w:pPr>
            <w:r>
              <w:rPr>
                <w:sz w:val="19"/>
              </w:rPr>
              <w:t>-8%</w:t>
            </w:r>
          </w:p>
        </w:tc>
        <w:tc>
          <w:tcPr>
            <w:tcW w:type="dxa" w:w="1300"/>
            <w:tcMar>
              <w:top w:w="80" w:type="dxa"/>
              <w:bottom w:w="80" w:type="dxa"/>
              <w:start w:w="120" w:type="dxa"/>
              <w:end w:w="120" w:type="dxa"/>
            </w:tcMar>
            <w:vAlign w:val="center"/>
          </w:tcPr>
          <w:p>
            <w:pPr>
              <w:jc w:val="left"/>
            </w:pPr>
            <w:r>
              <w:rPr>
                <w:sz w:val="19"/>
              </w:rPr>
              <w:t>未单列</w:t>
            </w:r>
          </w:p>
        </w:tc>
        <w:tc>
          <w:tcPr>
            <w:tcW w:type="dxa" w:w="3160"/>
            <w:tcMar>
              <w:top w:w="80" w:type="dxa"/>
              <w:bottom w:w="80" w:type="dxa"/>
              <w:start w:w="120" w:type="dxa"/>
              <w:end w:w="120" w:type="dxa"/>
            </w:tcMar>
            <w:vAlign w:val="center"/>
          </w:tcPr>
          <w:p>
            <w:pPr>
              <w:jc w:val="left"/>
            </w:pPr>
            <w:r>
              <w:rPr>
                <w:sz w:val="19"/>
              </w:rPr>
              <w:t>消费 PC 仍偏弱</w:t>
            </w:r>
          </w:p>
        </w:tc>
      </w:tr>
    </w:tbl>
    <w:p/>
    <w:p>
      <w:pPr>
        <w:pStyle w:val="Heading2"/>
      </w:pPr>
      <w:r>
        <w:t>8.3 AI 订单、出货与指引</w:t>
      </w:r>
    </w:p>
    <w:tbl>
      <w:tblPr>
        <w:tblStyle w:val="TableGrid"/>
        <w:tblW w:type="dxa" w:w="9360"/>
        <w:jc w:val="center"/>
        <w:tblLook w:firstColumn="1" w:firstRow="1" w:lastColumn="0" w:lastRow="0" w:noHBand="0" w:noVBand="1" w:val="04A0"/>
        <w:tblInd w:w="120" w:type="dxa"/>
      </w:tblPr>
      <w:tblGrid>
        <w:gridCol w:w="2500"/>
        <w:gridCol w:w="2300"/>
        <w:gridCol w:w="4560"/>
      </w:tblGrid>
      <w:tr>
        <w:trPr>
          <w:tblHeader w:val="true"/>
        </w:trPr>
        <w:tc>
          <w:tcPr>
            <w:tcW w:type="dxa" w:w="2500"/>
            <w:shd w:fill="EAF4EA"/>
            <w:tcMar>
              <w:top w:w="80" w:type="dxa"/>
              <w:bottom w:w="80" w:type="dxa"/>
              <w:start w:w="120" w:type="dxa"/>
              <w:end w:w="120" w:type="dxa"/>
            </w:tcMar>
            <w:vAlign w:val="center"/>
          </w:tcPr>
          <w:p>
            <w:pPr>
              <w:jc w:val="center"/>
            </w:pPr>
            <w:r>
              <w:rPr>
                <w:b/>
                <w:sz w:val="19"/>
              </w:rPr>
              <w:t>项目</w:t>
            </w:r>
          </w:p>
        </w:tc>
        <w:tc>
          <w:tcPr>
            <w:tcW w:type="dxa" w:w="2300"/>
            <w:shd w:fill="EAF4EA"/>
            <w:tcMar>
              <w:top w:w="80" w:type="dxa"/>
              <w:bottom w:w="80" w:type="dxa"/>
              <w:start w:w="120" w:type="dxa"/>
              <w:end w:w="120" w:type="dxa"/>
            </w:tcMar>
            <w:vAlign w:val="center"/>
          </w:tcPr>
          <w:p>
            <w:pPr>
              <w:jc w:val="center"/>
            </w:pPr>
            <w:r>
              <w:rPr>
                <w:b/>
                <w:sz w:val="19"/>
              </w:rPr>
              <w:t>数据</w:t>
            </w:r>
          </w:p>
        </w:tc>
        <w:tc>
          <w:tcPr>
            <w:tcW w:type="dxa" w:w="4560"/>
            <w:shd w:fill="EAF4EA"/>
            <w:tcMar>
              <w:top w:w="80" w:type="dxa"/>
              <w:bottom w:w="80" w:type="dxa"/>
              <w:start w:w="120" w:type="dxa"/>
              <w:end w:w="120" w:type="dxa"/>
            </w:tcMar>
            <w:vAlign w:val="center"/>
          </w:tcPr>
          <w:p>
            <w:pPr>
              <w:jc w:val="center"/>
            </w:pPr>
            <w:r>
              <w:rPr>
                <w:b/>
                <w:sz w:val="19"/>
              </w:rPr>
              <w:t>研究含义</w:t>
            </w:r>
          </w:p>
        </w:tc>
      </w:tr>
      <w:tr>
        <w:tc>
          <w:tcPr>
            <w:tcW w:type="dxa" w:w="2500"/>
            <w:tcMar>
              <w:top w:w="80" w:type="dxa"/>
              <w:bottom w:w="80" w:type="dxa"/>
              <w:start w:w="120" w:type="dxa"/>
              <w:end w:w="120" w:type="dxa"/>
            </w:tcMar>
            <w:vAlign w:val="center"/>
          </w:tcPr>
          <w:p>
            <w:pPr>
              <w:jc w:val="center"/>
            </w:pPr>
            <w:r>
              <w:rPr>
                <w:sz w:val="19"/>
              </w:rPr>
              <w:t>FY2026 AI 订单</w:t>
            </w:r>
          </w:p>
        </w:tc>
        <w:tc>
          <w:tcPr>
            <w:tcW w:type="dxa" w:w="2300"/>
            <w:tcMar>
              <w:top w:w="80" w:type="dxa"/>
              <w:bottom w:w="80" w:type="dxa"/>
              <w:start w:w="120" w:type="dxa"/>
              <w:end w:w="120" w:type="dxa"/>
            </w:tcMar>
            <w:vAlign w:val="center"/>
          </w:tcPr>
          <w:p>
            <w:pPr>
              <w:jc w:val="left"/>
            </w:pPr>
            <w:r>
              <w:rPr>
                <w:sz w:val="19"/>
              </w:rPr>
              <w:t>超过 640 亿美元</w:t>
            </w:r>
          </w:p>
        </w:tc>
        <w:tc>
          <w:tcPr>
            <w:tcW w:type="dxa" w:w="4560"/>
            <w:tcMar>
              <w:top w:w="80" w:type="dxa"/>
              <w:bottom w:w="80" w:type="dxa"/>
              <w:start w:w="120" w:type="dxa"/>
              <w:end w:w="120" w:type="dxa"/>
            </w:tcMar>
            <w:vAlign w:val="center"/>
          </w:tcPr>
          <w:p>
            <w:pPr>
              <w:jc w:val="left"/>
            </w:pPr>
            <w:r>
              <w:rPr>
                <w:sz w:val="19"/>
              </w:rPr>
              <w:t>客户需求已不只是试点，而是大规模 AI 工厂建设</w:t>
            </w:r>
          </w:p>
        </w:tc>
      </w:tr>
      <w:tr>
        <w:tc>
          <w:tcPr>
            <w:tcW w:type="dxa" w:w="2500"/>
            <w:tcMar>
              <w:top w:w="80" w:type="dxa"/>
              <w:bottom w:w="80" w:type="dxa"/>
              <w:start w:w="120" w:type="dxa"/>
              <w:end w:w="120" w:type="dxa"/>
            </w:tcMar>
            <w:vAlign w:val="center"/>
          </w:tcPr>
          <w:p>
            <w:pPr>
              <w:jc w:val="center"/>
            </w:pPr>
            <w:r>
              <w:rPr>
                <w:sz w:val="19"/>
              </w:rPr>
              <w:t>FY2026 AI 出货</w:t>
            </w:r>
          </w:p>
        </w:tc>
        <w:tc>
          <w:tcPr>
            <w:tcW w:type="dxa" w:w="2300"/>
            <w:tcMar>
              <w:top w:w="80" w:type="dxa"/>
              <w:bottom w:w="80" w:type="dxa"/>
              <w:start w:w="120" w:type="dxa"/>
              <w:end w:w="120" w:type="dxa"/>
            </w:tcMar>
            <w:vAlign w:val="center"/>
          </w:tcPr>
          <w:p>
            <w:pPr>
              <w:jc w:val="left"/>
            </w:pPr>
            <w:r>
              <w:rPr>
                <w:sz w:val="19"/>
              </w:rPr>
              <w:t>超过 250 亿美元</w:t>
            </w:r>
          </w:p>
        </w:tc>
        <w:tc>
          <w:tcPr>
            <w:tcW w:type="dxa" w:w="4560"/>
            <w:tcMar>
              <w:top w:w="80" w:type="dxa"/>
              <w:bottom w:w="80" w:type="dxa"/>
              <w:start w:w="120" w:type="dxa"/>
              <w:end w:w="120" w:type="dxa"/>
            </w:tcMar>
            <w:vAlign w:val="center"/>
          </w:tcPr>
          <w:p>
            <w:pPr>
              <w:jc w:val="left"/>
            </w:pPr>
            <w:r>
              <w:rPr>
                <w:sz w:val="19"/>
              </w:rPr>
              <w:t>订单向收入转化已开始兑现</w:t>
            </w:r>
          </w:p>
        </w:tc>
      </w:tr>
      <w:tr>
        <w:tc>
          <w:tcPr>
            <w:tcW w:type="dxa" w:w="2500"/>
            <w:tcMar>
              <w:top w:w="80" w:type="dxa"/>
              <w:bottom w:w="80" w:type="dxa"/>
              <w:start w:w="120" w:type="dxa"/>
              <w:end w:w="120" w:type="dxa"/>
            </w:tcMar>
            <w:vAlign w:val="center"/>
          </w:tcPr>
          <w:p>
            <w:pPr>
              <w:jc w:val="center"/>
            </w:pPr>
            <w:r>
              <w:rPr>
                <w:sz w:val="19"/>
              </w:rPr>
              <w:t>FY2026 期末 AI backlog</w:t>
            </w:r>
          </w:p>
        </w:tc>
        <w:tc>
          <w:tcPr>
            <w:tcW w:type="dxa" w:w="2300"/>
            <w:tcMar>
              <w:top w:w="80" w:type="dxa"/>
              <w:bottom w:w="80" w:type="dxa"/>
              <w:start w:w="120" w:type="dxa"/>
              <w:end w:w="120" w:type="dxa"/>
            </w:tcMar>
            <w:vAlign w:val="center"/>
          </w:tcPr>
          <w:p>
            <w:pPr>
              <w:jc w:val="left"/>
            </w:pPr>
            <w:r>
              <w:rPr>
                <w:sz w:val="19"/>
              </w:rPr>
              <w:t>430 亿美元</w:t>
            </w:r>
          </w:p>
        </w:tc>
        <w:tc>
          <w:tcPr>
            <w:tcW w:type="dxa" w:w="4560"/>
            <w:tcMar>
              <w:top w:w="80" w:type="dxa"/>
              <w:bottom w:w="80" w:type="dxa"/>
              <w:start w:w="120" w:type="dxa"/>
              <w:end w:w="120" w:type="dxa"/>
            </w:tcMar>
            <w:vAlign w:val="center"/>
          </w:tcPr>
          <w:p>
            <w:pPr>
              <w:jc w:val="left"/>
            </w:pPr>
            <w:r>
              <w:rPr>
                <w:sz w:val="19"/>
              </w:rPr>
              <w:t>进入 FY2027 的收入可见度强</w:t>
            </w:r>
          </w:p>
        </w:tc>
      </w:tr>
      <w:tr>
        <w:tc>
          <w:tcPr>
            <w:tcW w:type="dxa" w:w="2500"/>
            <w:tcMar>
              <w:top w:w="80" w:type="dxa"/>
              <w:bottom w:w="80" w:type="dxa"/>
              <w:start w:w="120" w:type="dxa"/>
              <w:end w:w="120" w:type="dxa"/>
            </w:tcMar>
            <w:vAlign w:val="center"/>
          </w:tcPr>
          <w:p>
            <w:pPr>
              <w:jc w:val="center"/>
            </w:pPr>
            <w:r>
              <w:rPr>
                <w:sz w:val="19"/>
              </w:rPr>
              <w:t>FY2027 Q1 AI orders</w:t>
            </w:r>
          </w:p>
        </w:tc>
        <w:tc>
          <w:tcPr>
            <w:tcW w:type="dxa" w:w="2300"/>
            <w:tcMar>
              <w:top w:w="80" w:type="dxa"/>
              <w:bottom w:w="80" w:type="dxa"/>
              <w:start w:w="120" w:type="dxa"/>
              <w:end w:w="120" w:type="dxa"/>
            </w:tcMar>
            <w:vAlign w:val="center"/>
          </w:tcPr>
          <w:p>
            <w:pPr>
              <w:jc w:val="left"/>
            </w:pPr>
            <w:r>
              <w:rPr>
                <w:sz w:val="19"/>
              </w:rPr>
              <w:t>244 亿美元</w:t>
            </w:r>
          </w:p>
        </w:tc>
        <w:tc>
          <w:tcPr>
            <w:tcW w:type="dxa" w:w="4560"/>
            <w:tcMar>
              <w:top w:w="80" w:type="dxa"/>
              <w:bottom w:w="80" w:type="dxa"/>
              <w:start w:w="120" w:type="dxa"/>
              <w:end w:w="120" w:type="dxa"/>
            </w:tcMar>
            <w:vAlign w:val="center"/>
          </w:tcPr>
          <w:p>
            <w:pPr>
              <w:jc w:val="left"/>
            </w:pPr>
            <w:r>
              <w:rPr>
                <w:sz w:val="19"/>
              </w:rPr>
              <w:t>单季订单接近 FY2026 全年出货规模</w:t>
            </w:r>
          </w:p>
        </w:tc>
      </w:tr>
      <w:tr>
        <w:tc>
          <w:tcPr>
            <w:tcW w:type="dxa" w:w="2500"/>
            <w:tcMar>
              <w:top w:w="80" w:type="dxa"/>
              <w:bottom w:w="80" w:type="dxa"/>
              <w:start w:w="120" w:type="dxa"/>
              <w:end w:w="120" w:type="dxa"/>
            </w:tcMar>
            <w:vAlign w:val="center"/>
          </w:tcPr>
          <w:p>
            <w:pPr>
              <w:jc w:val="center"/>
            </w:pPr>
            <w:r>
              <w:rPr>
                <w:sz w:val="19"/>
              </w:rPr>
              <w:t>FY2027 Q1 AI server revenue</w:t>
            </w:r>
          </w:p>
        </w:tc>
        <w:tc>
          <w:tcPr>
            <w:tcW w:type="dxa" w:w="2300"/>
            <w:tcMar>
              <w:top w:w="80" w:type="dxa"/>
              <w:bottom w:w="80" w:type="dxa"/>
              <w:start w:w="120" w:type="dxa"/>
              <w:end w:w="120" w:type="dxa"/>
            </w:tcMar>
            <w:vAlign w:val="center"/>
          </w:tcPr>
          <w:p>
            <w:pPr>
              <w:jc w:val="left"/>
            </w:pPr>
            <w:r>
              <w:rPr>
                <w:sz w:val="19"/>
              </w:rPr>
              <w:t>161 亿美元</w:t>
            </w:r>
          </w:p>
        </w:tc>
        <w:tc>
          <w:tcPr>
            <w:tcW w:type="dxa" w:w="4560"/>
            <w:tcMar>
              <w:top w:w="80" w:type="dxa"/>
              <w:bottom w:w="80" w:type="dxa"/>
              <w:start w:w="120" w:type="dxa"/>
              <w:end w:w="120" w:type="dxa"/>
            </w:tcMar>
            <w:vAlign w:val="center"/>
          </w:tcPr>
          <w:p>
            <w:pPr>
              <w:jc w:val="left"/>
            </w:pPr>
            <w:r>
              <w:rPr>
                <w:sz w:val="19"/>
              </w:rPr>
              <w:t>单季已达到高额收入规模</w:t>
            </w:r>
          </w:p>
        </w:tc>
      </w:tr>
      <w:tr>
        <w:tc>
          <w:tcPr>
            <w:tcW w:type="dxa" w:w="2500"/>
            <w:tcMar>
              <w:top w:w="80" w:type="dxa"/>
              <w:bottom w:w="80" w:type="dxa"/>
              <w:start w:w="120" w:type="dxa"/>
              <w:end w:w="120" w:type="dxa"/>
            </w:tcMar>
            <w:vAlign w:val="center"/>
          </w:tcPr>
          <w:p>
            <w:pPr>
              <w:jc w:val="center"/>
            </w:pPr>
            <w:r>
              <w:rPr>
                <w:sz w:val="19"/>
              </w:rPr>
              <w:t>FY2027 AI server revenue 指引</w:t>
            </w:r>
          </w:p>
        </w:tc>
        <w:tc>
          <w:tcPr>
            <w:tcW w:type="dxa" w:w="2300"/>
            <w:tcMar>
              <w:top w:w="80" w:type="dxa"/>
              <w:bottom w:w="80" w:type="dxa"/>
              <w:start w:w="120" w:type="dxa"/>
              <w:end w:w="120" w:type="dxa"/>
            </w:tcMar>
            <w:vAlign w:val="center"/>
          </w:tcPr>
          <w:p>
            <w:pPr>
              <w:jc w:val="left"/>
            </w:pPr>
            <w:r>
              <w:rPr>
                <w:sz w:val="19"/>
              </w:rPr>
              <w:t>约 600 亿美元</w:t>
            </w:r>
          </w:p>
        </w:tc>
        <w:tc>
          <w:tcPr>
            <w:tcW w:type="dxa" w:w="4560"/>
            <w:tcMar>
              <w:top w:w="80" w:type="dxa"/>
              <w:bottom w:w="80" w:type="dxa"/>
              <w:start w:w="120" w:type="dxa"/>
              <w:end w:w="120" w:type="dxa"/>
            </w:tcMar>
            <w:vAlign w:val="center"/>
          </w:tcPr>
          <w:p>
            <w:pPr>
              <w:jc w:val="left"/>
            </w:pPr>
            <w:r>
              <w:rPr>
                <w:sz w:val="19"/>
              </w:rPr>
              <w:t>较 FY2026 约增长 144%，管理层再次上调预期</w:t>
            </w:r>
          </w:p>
        </w:tc>
      </w:tr>
      <w:tr>
        <w:tc>
          <w:tcPr>
            <w:tcW w:type="dxa" w:w="2500"/>
            <w:tcMar>
              <w:top w:w="80" w:type="dxa"/>
              <w:bottom w:w="80" w:type="dxa"/>
              <w:start w:w="120" w:type="dxa"/>
              <w:end w:w="120" w:type="dxa"/>
            </w:tcMar>
            <w:vAlign w:val="center"/>
          </w:tcPr>
          <w:p>
            <w:pPr>
              <w:jc w:val="center"/>
            </w:pPr>
            <w:r>
              <w:rPr>
                <w:sz w:val="19"/>
              </w:rPr>
              <w:t>FY2027 总收入指引</w:t>
            </w:r>
          </w:p>
        </w:tc>
        <w:tc>
          <w:tcPr>
            <w:tcW w:type="dxa" w:w="2300"/>
            <w:tcMar>
              <w:top w:w="80" w:type="dxa"/>
              <w:bottom w:w="80" w:type="dxa"/>
              <w:start w:w="120" w:type="dxa"/>
              <w:end w:w="120" w:type="dxa"/>
            </w:tcMar>
            <w:vAlign w:val="center"/>
          </w:tcPr>
          <w:p>
            <w:pPr>
              <w:jc w:val="left"/>
            </w:pPr>
            <w:r>
              <w:rPr>
                <w:sz w:val="19"/>
              </w:rPr>
              <w:t>1,650-1,690 亿美元</w:t>
            </w:r>
          </w:p>
        </w:tc>
        <w:tc>
          <w:tcPr>
            <w:tcW w:type="dxa" w:w="4560"/>
            <w:tcMar>
              <w:top w:w="80" w:type="dxa"/>
              <w:bottom w:w="80" w:type="dxa"/>
              <w:start w:w="120" w:type="dxa"/>
              <w:end w:w="120" w:type="dxa"/>
            </w:tcMar>
            <w:vAlign w:val="center"/>
          </w:tcPr>
          <w:p>
            <w:pPr>
              <w:jc w:val="left"/>
            </w:pPr>
            <w:r>
              <w:rPr>
                <w:sz w:val="19"/>
              </w:rPr>
              <w:t>中点 1,670 亿美元，同比增长约 47%</w:t>
            </w:r>
          </w:p>
        </w:tc>
      </w:tr>
    </w:tbl>
    <w:p/>
    <w:p>
      <w:pPr>
        <w:pStyle w:val="Heading1"/>
      </w:pPr>
      <w:r>
        <w:t>九、财务杠杆与资本配置</w:t>
      </w:r>
    </w:p>
    <w:p>
      <w:pPr>
        <w:pStyle w:val="Heading2"/>
      </w:pPr>
      <w:r>
        <w:t>9.1 资产负债表杠杆</w:t>
      </w:r>
    </w:p>
    <w:p>
      <w:pPr>
        <w:spacing w:after="80"/>
      </w:pPr>
      <w:r>
        <w:rPr>
          <w:color w:val="585858"/>
          <w:sz w:val="18"/>
        </w:rPr>
        <w:t>数据来源：Dell FY2027 Q1 earnings release。金额单位：亿美元。</w:t>
      </w:r>
    </w:p>
    <w:tbl>
      <w:tblPr>
        <w:tblStyle w:val="TableGrid"/>
        <w:tblW w:type="dxa" w:w="9360"/>
        <w:jc w:val="center"/>
        <w:tblLook w:firstColumn="1" w:firstRow="1" w:lastColumn="0" w:lastRow="0" w:noHBand="0" w:noVBand="1" w:val="04A0"/>
        <w:tblInd w:w="120" w:type="dxa"/>
      </w:tblPr>
      <w:tblGrid>
        <w:gridCol w:w="2300"/>
        <w:gridCol w:w="1800"/>
        <w:gridCol w:w="5260"/>
      </w:tblGrid>
      <w:tr>
        <w:trPr>
          <w:tblHeader w:val="true"/>
        </w:trPr>
        <w:tc>
          <w:tcPr>
            <w:tcW w:type="dxa" w:w="2300"/>
            <w:shd w:fill="F2F4F7"/>
            <w:tcMar>
              <w:top w:w="80" w:type="dxa"/>
              <w:bottom w:w="80" w:type="dxa"/>
              <w:start w:w="120" w:type="dxa"/>
              <w:end w:w="120" w:type="dxa"/>
            </w:tcMar>
            <w:vAlign w:val="center"/>
          </w:tcPr>
          <w:p>
            <w:pPr>
              <w:jc w:val="center"/>
            </w:pPr>
            <w:r>
              <w:rPr>
                <w:b/>
                <w:sz w:val="19"/>
              </w:rPr>
              <w:t>项目</w:t>
            </w:r>
          </w:p>
        </w:tc>
        <w:tc>
          <w:tcPr>
            <w:tcW w:type="dxa" w:w="1800"/>
            <w:shd w:fill="F2F4F7"/>
            <w:tcMar>
              <w:top w:w="80" w:type="dxa"/>
              <w:bottom w:w="80" w:type="dxa"/>
              <w:start w:w="120" w:type="dxa"/>
              <w:end w:w="120" w:type="dxa"/>
            </w:tcMar>
            <w:vAlign w:val="center"/>
          </w:tcPr>
          <w:p>
            <w:pPr>
              <w:jc w:val="center"/>
            </w:pPr>
            <w:r>
              <w:rPr>
                <w:b/>
                <w:sz w:val="19"/>
              </w:rPr>
              <w:t>FY2027 Q1</w:t>
            </w:r>
          </w:p>
        </w:tc>
        <w:tc>
          <w:tcPr>
            <w:tcW w:type="dxa" w:w="5260"/>
            <w:shd w:fill="F2F4F7"/>
            <w:tcMar>
              <w:top w:w="80" w:type="dxa"/>
              <w:bottom w:w="80" w:type="dxa"/>
              <w:start w:w="120" w:type="dxa"/>
              <w:end w:w="120" w:type="dxa"/>
            </w:tcMar>
            <w:vAlign w:val="center"/>
          </w:tcPr>
          <w:p>
            <w:pPr>
              <w:jc w:val="center"/>
            </w:pPr>
            <w:r>
              <w:rPr>
                <w:b/>
                <w:sz w:val="19"/>
              </w:rPr>
              <w:t>研究解读</w:t>
            </w:r>
          </w:p>
        </w:tc>
      </w:tr>
      <w:tr>
        <w:tc>
          <w:tcPr>
            <w:tcW w:type="dxa" w:w="2300"/>
            <w:tcMar>
              <w:top w:w="80" w:type="dxa"/>
              <w:bottom w:w="80" w:type="dxa"/>
              <w:start w:w="120" w:type="dxa"/>
              <w:end w:w="120" w:type="dxa"/>
            </w:tcMar>
            <w:vAlign w:val="center"/>
          </w:tcPr>
          <w:p>
            <w:pPr>
              <w:jc w:val="center"/>
            </w:pPr>
            <w:r>
              <w:rPr>
                <w:sz w:val="19"/>
              </w:rPr>
              <w:t>现金及现金等价物</w:t>
            </w:r>
          </w:p>
        </w:tc>
        <w:tc>
          <w:tcPr>
            <w:tcW w:type="dxa" w:w="1800"/>
            <w:tcMar>
              <w:top w:w="80" w:type="dxa"/>
              <w:bottom w:w="80" w:type="dxa"/>
              <w:start w:w="120" w:type="dxa"/>
              <w:end w:w="120" w:type="dxa"/>
            </w:tcMar>
            <w:vAlign w:val="center"/>
          </w:tcPr>
          <w:p>
            <w:pPr>
              <w:jc w:val="left"/>
            </w:pPr>
            <w:r>
              <w:rPr>
                <w:sz w:val="19"/>
              </w:rPr>
              <w:t>115.78</w:t>
            </w:r>
          </w:p>
        </w:tc>
        <w:tc>
          <w:tcPr>
            <w:tcW w:type="dxa" w:w="5260"/>
            <w:tcMar>
              <w:top w:w="80" w:type="dxa"/>
              <w:bottom w:w="80" w:type="dxa"/>
              <w:start w:w="120" w:type="dxa"/>
              <w:end w:w="120" w:type="dxa"/>
            </w:tcMar>
            <w:vAlign w:val="center"/>
          </w:tcPr>
          <w:p>
            <w:pPr>
              <w:jc w:val="left"/>
            </w:pPr>
            <w:r>
              <w:rPr>
                <w:sz w:val="19"/>
              </w:rPr>
              <w:t>现金储备充足，可支持供应链、回购和债务管理</w:t>
            </w:r>
          </w:p>
        </w:tc>
      </w:tr>
      <w:tr>
        <w:tc>
          <w:tcPr>
            <w:tcW w:type="dxa" w:w="2300"/>
            <w:tcMar>
              <w:top w:w="80" w:type="dxa"/>
              <w:bottom w:w="80" w:type="dxa"/>
              <w:start w:w="120" w:type="dxa"/>
              <w:end w:w="120" w:type="dxa"/>
            </w:tcMar>
            <w:vAlign w:val="center"/>
          </w:tcPr>
          <w:p>
            <w:pPr>
              <w:jc w:val="center"/>
            </w:pPr>
            <w:r>
              <w:rPr>
                <w:sz w:val="19"/>
              </w:rPr>
              <w:t>短期债务</w:t>
            </w:r>
          </w:p>
        </w:tc>
        <w:tc>
          <w:tcPr>
            <w:tcW w:type="dxa" w:w="1800"/>
            <w:tcMar>
              <w:top w:w="80" w:type="dxa"/>
              <w:bottom w:w="80" w:type="dxa"/>
              <w:start w:w="120" w:type="dxa"/>
              <w:end w:w="120" w:type="dxa"/>
            </w:tcMar>
            <w:vAlign w:val="center"/>
          </w:tcPr>
          <w:p>
            <w:pPr>
              <w:jc w:val="left"/>
            </w:pPr>
            <w:r>
              <w:rPr>
                <w:sz w:val="19"/>
              </w:rPr>
              <w:t>75.50</w:t>
            </w:r>
          </w:p>
        </w:tc>
        <w:tc>
          <w:tcPr>
            <w:tcW w:type="dxa" w:w="5260"/>
            <w:tcMar>
              <w:top w:w="80" w:type="dxa"/>
              <w:bottom w:w="80" w:type="dxa"/>
              <w:start w:w="120" w:type="dxa"/>
              <w:end w:w="120" w:type="dxa"/>
            </w:tcMar>
            <w:vAlign w:val="center"/>
          </w:tcPr>
          <w:p>
            <w:pPr>
              <w:jc w:val="left"/>
            </w:pPr>
            <w:r>
              <w:rPr>
                <w:sz w:val="19"/>
              </w:rPr>
              <w:t>一年内债务和融资安排规模不低，需要滚动管理</w:t>
            </w:r>
          </w:p>
        </w:tc>
      </w:tr>
      <w:tr>
        <w:tc>
          <w:tcPr>
            <w:tcW w:type="dxa" w:w="2300"/>
            <w:tcMar>
              <w:top w:w="80" w:type="dxa"/>
              <w:bottom w:w="80" w:type="dxa"/>
              <w:start w:w="120" w:type="dxa"/>
              <w:end w:w="120" w:type="dxa"/>
            </w:tcMar>
            <w:vAlign w:val="center"/>
          </w:tcPr>
          <w:p>
            <w:pPr>
              <w:jc w:val="center"/>
            </w:pPr>
            <w:r>
              <w:rPr>
                <w:sz w:val="19"/>
              </w:rPr>
              <w:t>长期债务</w:t>
            </w:r>
          </w:p>
        </w:tc>
        <w:tc>
          <w:tcPr>
            <w:tcW w:type="dxa" w:w="1800"/>
            <w:tcMar>
              <w:top w:w="80" w:type="dxa"/>
              <w:bottom w:w="80" w:type="dxa"/>
              <w:start w:w="120" w:type="dxa"/>
              <w:end w:w="120" w:type="dxa"/>
            </w:tcMar>
            <w:vAlign w:val="center"/>
          </w:tcPr>
          <w:p>
            <w:pPr>
              <w:jc w:val="left"/>
            </w:pPr>
            <w:r>
              <w:rPr>
                <w:sz w:val="19"/>
              </w:rPr>
              <w:t>236.11</w:t>
            </w:r>
          </w:p>
        </w:tc>
        <w:tc>
          <w:tcPr>
            <w:tcW w:type="dxa" w:w="5260"/>
            <w:tcMar>
              <w:top w:w="80" w:type="dxa"/>
              <w:bottom w:w="80" w:type="dxa"/>
              <w:start w:w="120" w:type="dxa"/>
              <w:end w:w="120" w:type="dxa"/>
            </w:tcMar>
            <w:vAlign w:val="center"/>
          </w:tcPr>
          <w:p>
            <w:pPr>
              <w:jc w:val="left"/>
            </w:pPr>
            <w:r>
              <w:rPr>
                <w:sz w:val="19"/>
              </w:rPr>
              <w:t>总债务仍高，需用经营现金流覆盖</w:t>
            </w:r>
          </w:p>
        </w:tc>
      </w:tr>
      <w:tr>
        <w:tc>
          <w:tcPr>
            <w:tcW w:type="dxa" w:w="2300"/>
            <w:tcMar>
              <w:top w:w="80" w:type="dxa"/>
              <w:bottom w:w="80" w:type="dxa"/>
              <w:start w:w="120" w:type="dxa"/>
              <w:end w:w="120" w:type="dxa"/>
            </w:tcMar>
            <w:vAlign w:val="center"/>
          </w:tcPr>
          <w:p>
            <w:pPr>
              <w:jc w:val="center"/>
            </w:pPr>
            <w:r>
              <w:rPr>
                <w:sz w:val="19"/>
              </w:rPr>
              <w:t>总债务</w:t>
            </w:r>
          </w:p>
        </w:tc>
        <w:tc>
          <w:tcPr>
            <w:tcW w:type="dxa" w:w="1800"/>
            <w:tcMar>
              <w:top w:w="80" w:type="dxa"/>
              <w:bottom w:w="80" w:type="dxa"/>
              <w:start w:w="120" w:type="dxa"/>
              <w:end w:w="120" w:type="dxa"/>
            </w:tcMar>
            <w:vAlign w:val="center"/>
          </w:tcPr>
          <w:p>
            <w:pPr>
              <w:jc w:val="left"/>
            </w:pPr>
            <w:r>
              <w:rPr>
                <w:sz w:val="19"/>
              </w:rPr>
              <w:t>311.61</w:t>
            </w:r>
          </w:p>
        </w:tc>
        <w:tc>
          <w:tcPr>
            <w:tcW w:type="dxa" w:w="5260"/>
            <w:tcMar>
              <w:top w:w="80" w:type="dxa"/>
              <w:bottom w:w="80" w:type="dxa"/>
              <w:start w:w="120" w:type="dxa"/>
              <w:end w:w="120" w:type="dxa"/>
            </w:tcMar>
            <w:vAlign w:val="center"/>
          </w:tcPr>
          <w:p>
            <w:pPr>
              <w:jc w:val="left"/>
            </w:pPr>
            <w:r>
              <w:rPr>
                <w:sz w:val="19"/>
              </w:rPr>
              <w:t>重资产/融资服务模式下的核心杠杆指标</w:t>
            </w:r>
          </w:p>
        </w:tc>
      </w:tr>
      <w:tr>
        <w:tc>
          <w:tcPr>
            <w:tcW w:type="dxa" w:w="2300"/>
            <w:tcMar>
              <w:top w:w="80" w:type="dxa"/>
              <w:bottom w:w="80" w:type="dxa"/>
              <w:start w:w="120" w:type="dxa"/>
              <w:end w:w="120" w:type="dxa"/>
            </w:tcMar>
            <w:vAlign w:val="center"/>
          </w:tcPr>
          <w:p>
            <w:pPr>
              <w:jc w:val="center"/>
            </w:pPr>
            <w:r>
              <w:rPr>
                <w:sz w:val="19"/>
              </w:rPr>
              <w:t>净债务</w:t>
            </w:r>
          </w:p>
        </w:tc>
        <w:tc>
          <w:tcPr>
            <w:tcW w:type="dxa" w:w="1800"/>
            <w:tcMar>
              <w:top w:w="80" w:type="dxa"/>
              <w:bottom w:w="80" w:type="dxa"/>
              <w:start w:w="120" w:type="dxa"/>
              <w:end w:w="120" w:type="dxa"/>
            </w:tcMar>
            <w:vAlign w:val="center"/>
          </w:tcPr>
          <w:p>
            <w:pPr>
              <w:jc w:val="left"/>
            </w:pPr>
            <w:r>
              <w:rPr>
                <w:sz w:val="19"/>
              </w:rPr>
              <w:t>195.83</w:t>
            </w:r>
          </w:p>
        </w:tc>
        <w:tc>
          <w:tcPr>
            <w:tcW w:type="dxa" w:w="5260"/>
            <w:tcMar>
              <w:top w:w="80" w:type="dxa"/>
              <w:bottom w:w="80" w:type="dxa"/>
              <w:start w:w="120" w:type="dxa"/>
              <w:end w:w="120" w:type="dxa"/>
            </w:tcMar>
            <w:vAlign w:val="center"/>
          </w:tcPr>
          <w:p>
            <w:pPr>
              <w:jc w:val="left"/>
            </w:pPr>
            <w:r>
              <w:rPr>
                <w:sz w:val="19"/>
              </w:rPr>
              <w:t>以现金抵扣后仍有较高杠杆</w:t>
            </w:r>
          </w:p>
        </w:tc>
      </w:tr>
      <w:tr>
        <w:tc>
          <w:tcPr>
            <w:tcW w:type="dxa" w:w="2300"/>
            <w:tcMar>
              <w:top w:w="80" w:type="dxa"/>
              <w:bottom w:w="80" w:type="dxa"/>
              <w:start w:w="120" w:type="dxa"/>
              <w:end w:w="120" w:type="dxa"/>
            </w:tcMar>
            <w:vAlign w:val="center"/>
          </w:tcPr>
          <w:p>
            <w:pPr>
              <w:jc w:val="center"/>
            </w:pPr>
            <w:r>
              <w:rPr>
                <w:sz w:val="19"/>
              </w:rPr>
              <w:t>股东权益</w:t>
            </w:r>
          </w:p>
        </w:tc>
        <w:tc>
          <w:tcPr>
            <w:tcW w:type="dxa" w:w="1800"/>
            <w:tcMar>
              <w:top w:w="80" w:type="dxa"/>
              <w:bottom w:w="80" w:type="dxa"/>
              <w:start w:w="120" w:type="dxa"/>
              <w:end w:w="120" w:type="dxa"/>
            </w:tcMar>
            <w:vAlign w:val="center"/>
          </w:tcPr>
          <w:p>
            <w:pPr>
              <w:jc w:val="left"/>
            </w:pPr>
            <w:r>
              <w:rPr>
                <w:sz w:val="19"/>
              </w:rPr>
              <w:t>-14.04</w:t>
            </w:r>
          </w:p>
        </w:tc>
        <w:tc>
          <w:tcPr>
            <w:tcW w:type="dxa" w:w="5260"/>
            <w:tcMar>
              <w:top w:w="80" w:type="dxa"/>
              <w:bottom w:w="80" w:type="dxa"/>
              <w:start w:w="120" w:type="dxa"/>
              <w:end w:w="120" w:type="dxa"/>
            </w:tcMar>
            <w:vAlign w:val="center"/>
          </w:tcPr>
          <w:p>
            <w:pPr>
              <w:jc w:val="left"/>
            </w:pPr>
            <w:r>
              <w:rPr>
                <w:sz w:val="19"/>
              </w:rPr>
              <w:t>负权益主要受历史交易和回购影响，不宜用债务/权益直接判断偿债能力</w:t>
            </w:r>
          </w:p>
        </w:tc>
      </w:tr>
      <w:tr>
        <w:tc>
          <w:tcPr>
            <w:tcW w:type="dxa" w:w="2300"/>
            <w:tcMar>
              <w:top w:w="80" w:type="dxa"/>
              <w:bottom w:w="80" w:type="dxa"/>
              <w:start w:w="120" w:type="dxa"/>
              <w:end w:w="120" w:type="dxa"/>
            </w:tcMar>
            <w:vAlign w:val="center"/>
          </w:tcPr>
          <w:p>
            <w:pPr>
              <w:jc w:val="center"/>
            </w:pPr>
            <w:r>
              <w:rPr>
                <w:sz w:val="19"/>
              </w:rPr>
              <w:t>应付账款</w:t>
            </w:r>
          </w:p>
        </w:tc>
        <w:tc>
          <w:tcPr>
            <w:tcW w:type="dxa" w:w="1800"/>
            <w:tcMar>
              <w:top w:w="80" w:type="dxa"/>
              <w:bottom w:w="80" w:type="dxa"/>
              <w:start w:w="120" w:type="dxa"/>
              <w:end w:w="120" w:type="dxa"/>
            </w:tcMar>
            <w:vAlign w:val="center"/>
          </w:tcPr>
          <w:p>
            <w:pPr>
              <w:jc w:val="left"/>
            </w:pPr>
            <w:r>
              <w:rPr>
                <w:sz w:val="19"/>
              </w:rPr>
              <w:t>452.61</w:t>
            </w:r>
          </w:p>
        </w:tc>
        <w:tc>
          <w:tcPr>
            <w:tcW w:type="dxa" w:w="5260"/>
            <w:tcMar>
              <w:top w:w="80" w:type="dxa"/>
              <w:bottom w:w="80" w:type="dxa"/>
              <w:start w:w="120" w:type="dxa"/>
              <w:end w:w="120" w:type="dxa"/>
            </w:tcMar>
            <w:vAlign w:val="center"/>
          </w:tcPr>
          <w:p>
            <w:pPr>
              <w:jc w:val="left"/>
            </w:pPr>
            <w:r>
              <w:rPr>
                <w:sz w:val="19"/>
              </w:rPr>
              <w:t>供应链信用是 AI 扩张的重要融资来源，也是营运资本风险点</w:t>
            </w:r>
          </w:p>
        </w:tc>
      </w:tr>
      <w:tr>
        <w:tc>
          <w:tcPr>
            <w:tcW w:type="dxa" w:w="2300"/>
            <w:tcMar>
              <w:top w:w="80" w:type="dxa"/>
              <w:bottom w:w="80" w:type="dxa"/>
              <w:start w:w="120" w:type="dxa"/>
              <w:end w:w="120" w:type="dxa"/>
            </w:tcMar>
            <w:vAlign w:val="center"/>
          </w:tcPr>
          <w:p>
            <w:pPr>
              <w:jc w:val="center"/>
            </w:pPr>
            <w:r>
              <w:rPr>
                <w:sz w:val="19"/>
              </w:rPr>
              <w:t>库存</w:t>
            </w:r>
          </w:p>
        </w:tc>
        <w:tc>
          <w:tcPr>
            <w:tcW w:type="dxa" w:w="1800"/>
            <w:tcMar>
              <w:top w:w="80" w:type="dxa"/>
              <w:bottom w:w="80" w:type="dxa"/>
              <w:start w:w="120" w:type="dxa"/>
              <w:end w:w="120" w:type="dxa"/>
            </w:tcMar>
            <w:vAlign w:val="center"/>
          </w:tcPr>
          <w:p>
            <w:pPr>
              <w:jc w:val="left"/>
            </w:pPr>
            <w:r>
              <w:rPr>
                <w:sz w:val="19"/>
              </w:rPr>
              <w:t>150.52</w:t>
            </w:r>
          </w:p>
        </w:tc>
        <w:tc>
          <w:tcPr>
            <w:tcW w:type="dxa" w:w="5260"/>
            <w:tcMar>
              <w:top w:w="80" w:type="dxa"/>
              <w:bottom w:w="80" w:type="dxa"/>
              <w:start w:w="120" w:type="dxa"/>
              <w:end w:w="120" w:type="dxa"/>
            </w:tcMar>
            <w:vAlign w:val="center"/>
          </w:tcPr>
          <w:p>
            <w:pPr>
              <w:jc w:val="left"/>
            </w:pPr>
            <w:r>
              <w:rPr>
                <w:sz w:val="19"/>
              </w:rPr>
              <w:t>AI 订单拉动备货，若需求或 GPU 供应节奏变化，库存风险会放大</w:t>
            </w:r>
          </w:p>
        </w:tc>
      </w:tr>
    </w:tbl>
    <w:p/>
    <w:p>
      <w:pPr>
        <w:pStyle w:val="Heading2"/>
      </w:pPr>
      <w:r>
        <w:t>9.2 财务杠杆分析</w:t>
      </w:r>
    </w:p>
    <w:p>
      <w:pPr>
        <w:spacing w:after="120" w:line="264" w:lineRule="auto"/>
      </w:pPr>
      <w:r>
        <w:rPr>
          <w:sz w:val="22"/>
        </w:rPr>
        <w:t>Dell 的财务杠杆不能只看传统债务/权益，因为公司股东权益为负，主要受历史 EMC 交易、资本结构和持续回购影响。更合理的分析维度是净债务/现金流、债务期限、利息覆盖、营运资本占用和回购对 EPS 的放大。</w:t>
      </w:r>
    </w:p>
    <w:tbl>
      <w:tblPr>
        <w:tblStyle w:val="TableGrid"/>
        <w:tblW w:type="dxa" w:w="9360"/>
        <w:jc w:val="center"/>
        <w:tblLook w:firstColumn="1" w:firstRow="1" w:lastColumn="0" w:lastRow="0" w:noHBand="0" w:noVBand="1" w:val="04A0"/>
        <w:tblInd w:w="120" w:type="dxa"/>
      </w:tblPr>
      <w:tblGrid>
        <w:gridCol w:w="1800"/>
        <w:gridCol w:w="3900"/>
        <w:gridCol w:w="3660"/>
      </w:tblGrid>
      <w:tr>
        <w:trPr>
          <w:tblHeader w:val="true"/>
        </w:trPr>
        <w:tc>
          <w:tcPr>
            <w:tcW w:type="dxa" w:w="1800"/>
            <w:shd w:fill="E8EEF5"/>
            <w:tcMar>
              <w:top w:w="80" w:type="dxa"/>
              <w:bottom w:w="80" w:type="dxa"/>
              <w:start w:w="120" w:type="dxa"/>
              <w:end w:w="120" w:type="dxa"/>
            </w:tcMar>
            <w:vAlign w:val="center"/>
          </w:tcPr>
          <w:p>
            <w:pPr>
              <w:jc w:val="center"/>
            </w:pPr>
            <w:r>
              <w:rPr>
                <w:b/>
                <w:sz w:val="19"/>
              </w:rPr>
              <w:t>杠杆类型</w:t>
            </w:r>
          </w:p>
        </w:tc>
        <w:tc>
          <w:tcPr>
            <w:tcW w:type="dxa" w:w="3900"/>
            <w:shd w:fill="E8EEF5"/>
            <w:tcMar>
              <w:top w:w="80" w:type="dxa"/>
              <w:bottom w:w="80" w:type="dxa"/>
              <w:start w:w="120" w:type="dxa"/>
              <w:end w:w="120" w:type="dxa"/>
            </w:tcMar>
            <w:vAlign w:val="center"/>
          </w:tcPr>
          <w:p>
            <w:pPr>
              <w:jc w:val="center"/>
            </w:pPr>
            <w:r>
              <w:rPr>
                <w:b/>
                <w:sz w:val="19"/>
              </w:rPr>
              <w:t>当前表现</w:t>
            </w:r>
          </w:p>
        </w:tc>
        <w:tc>
          <w:tcPr>
            <w:tcW w:type="dxa" w:w="3660"/>
            <w:shd w:fill="E8EEF5"/>
            <w:tcMar>
              <w:top w:w="80" w:type="dxa"/>
              <w:bottom w:w="80" w:type="dxa"/>
              <w:start w:w="120" w:type="dxa"/>
              <w:end w:w="120" w:type="dxa"/>
            </w:tcMar>
            <w:vAlign w:val="center"/>
          </w:tcPr>
          <w:p>
            <w:pPr>
              <w:jc w:val="center"/>
            </w:pPr>
            <w:r>
              <w:rPr>
                <w:b/>
                <w:sz w:val="19"/>
              </w:rPr>
              <w:t>投资含义</w:t>
            </w:r>
          </w:p>
        </w:tc>
      </w:tr>
      <w:tr>
        <w:tc>
          <w:tcPr>
            <w:tcW w:type="dxa" w:w="1800"/>
            <w:tcMar>
              <w:top w:w="80" w:type="dxa"/>
              <w:bottom w:w="80" w:type="dxa"/>
              <w:start w:w="120" w:type="dxa"/>
              <w:end w:w="120" w:type="dxa"/>
            </w:tcMar>
            <w:vAlign w:val="center"/>
          </w:tcPr>
          <w:p>
            <w:pPr>
              <w:jc w:val="center"/>
            </w:pPr>
            <w:r>
              <w:rPr>
                <w:sz w:val="19"/>
              </w:rPr>
              <w:t>经营杠杆</w:t>
            </w:r>
          </w:p>
        </w:tc>
        <w:tc>
          <w:tcPr>
            <w:tcW w:type="dxa" w:w="3900"/>
            <w:tcMar>
              <w:top w:w="80" w:type="dxa"/>
              <w:bottom w:w="80" w:type="dxa"/>
              <w:start w:w="120" w:type="dxa"/>
              <w:end w:w="120" w:type="dxa"/>
            </w:tcMar>
            <w:vAlign w:val="center"/>
          </w:tcPr>
          <w:p>
            <w:pPr>
              <w:jc w:val="left"/>
            </w:pPr>
            <w:r>
              <w:rPr>
                <w:sz w:val="19"/>
              </w:rPr>
              <w:t>FY2027 Q1 收入 +88%，GAAP 营业利润 +214%</w:t>
            </w:r>
          </w:p>
        </w:tc>
        <w:tc>
          <w:tcPr>
            <w:tcW w:type="dxa" w:w="3660"/>
            <w:tcMar>
              <w:top w:w="80" w:type="dxa"/>
              <w:bottom w:w="80" w:type="dxa"/>
              <w:start w:w="120" w:type="dxa"/>
              <w:end w:w="120" w:type="dxa"/>
            </w:tcMar>
            <w:vAlign w:val="center"/>
          </w:tcPr>
          <w:p>
            <w:pPr>
              <w:jc w:val="left"/>
            </w:pPr>
            <w:r>
              <w:rPr>
                <w:sz w:val="19"/>
              </w:rPr>
              <w:t>收入爆发显著摊薄费用率，利润弹性强</w:t>
            </w:r>
          </w:p>
        </w:tc>
      </w:tr>
      <w:tr>
        <w:tc>
          <w:tcPr>
            <w:tcW w:type="dxa" w:w="1800"/>
            <w:tcMar>
              <w:top w:w="80" w:type="dxa"/>
              <w:bottom w:w="80" w:type="dxa"/>
              <w:start w:w="120" w:type="dxa"/>
              <w:end w:w="120" w:type="dxa"/>
            </w:tcMar>
            <w:vAlign w:val="center"/>
          </w:tcPr>
          <w:p>
            <w:pPr>
              <w:jc w:val="center"/>
            </w:pPr>
            <w:r>
              <w:rPr>
                <w:sz w:val="19"/>
              </w:rPr>
              <w:t>毛利率杠杆</w:t>
            </w:r>
          </w:p>
        </w:tc>
        <w:tc>
          <w:tcPr>
            <w:tcW w:type="dxa" w:w="3900"/>
            <w:tcMar>
              <w:top w:w="80" w:type="dxa"/>
              <w:bottom w:w="80" w:type="dxa"/>
              <w:start w:w="120" w:type="dxa"/>
              <w:end w:w="120" w:type="dxa"/>
            </w:tcMar>
            <w:vAlign w:val="center"/>
          </w:tcPr>
          <w:p>
            <w:pPr>
              <w:jc w:val="left"/>
            </w:pPr>
            <w:r>
              <w:rPr>
                <w:sz w:val="19"/>
              </w:rPr>
              <w:t>Q1 毛利率降至 17.8%，低于上年同期 21.1%</w:t>
            </w:r>
          </w:p>
        </w:tc>
        <w:tc>
          <w:tcPr>
            <w:tcW w:type="dxa" w:w="3660"/>
            <w:tcMar>
              <w:top w:w="80" w:type="dxa"/>
              <w:bottom w:w="80" w:type="dxa"/>
              <w:start w:w="120" w:type="dxa"/>
              <w:end w:w="120" w:type="dxa"/>
            </w:tcMar>
            <w:vAlign w:val="center"/>
          </w:tcPr>
          <w:p>
            <w:pPr>
              <w:jc w:val="left"/>
            </w:pPr>
            <w:r>
              <w:rPr>
                <w:sz w:val="19"/>
              </w:rPr>
              <w:t>AI 服务器 mix 拉低毛利率，必须用规模和服务/存储 attach 补偿</w:t>
            </w:r>
          </w:p>
        </w:tc>
      </w:tr>
      <w:tr>
        <w:tc>
          <w:tcPr>
            <w:tcW w:type="dxa" w:w="1800"/>
            <w:tcMar>
              <w:top w:w="80" w:type="dxa"/>
              <w:bottom w:w="80" w:type="dxa"/>
              <w:start w:w="120" w:type="dxa"/>
              <w:end w:w="120" w:type="dxa"/>
            </w:tcMar>
            <w:vAlign w:val="center"/>
          </w:tcPr>
          <w:p>
            <w:pPr>
              <w:jc w:val="center"/>
            </w:pPr>
            <w:r>
              <w:rPr>
                <w:sz w:val="19"/>
              </w:rPr>
              <w:t>债务杠杆</w:t>
            </w:r>
          </w:p>
        </w:tc>
        <w:tc>
          <w:tcPr>
            <w:tcW w:type="dxa" w:w="3900"/>
            <w:tcMar>
              <w:top w:w="80" w:type="dxa"/>
              <w:bottom w:w="80" w:type="dxa"/>
              <w:start w:w="120" w:type="dxa"/>
              <w:end w:w="120" w:type="dxa"/>
            </w:tcMar>
            <w:vAlign w:val="center"/>
          </w:tcPr>
          <w:p>
            <w:pPr>
              <w:jc w:val="left"/>
            </w:pPr>
            <w:r>
              <w:rPr>
                <w:sz w:val="19"/>
              </w:rPr>
              <w:t>净债务约 195.83 亿美元，FY2026 调整后 FCF 约 115.08 亿美元</w:t>
            </w:r>
          </w:p>
        </w:tc>
        <w:tc>
          <w:tcPr>
            <w:tcW w:type="dxa" w:w="3660"/>
            <w:tcMar>
              <w:top w:w="80" w:type="dxa"/>
              <w:bottom w:w="80" w:type="dxa"/>
              <w:start w:w="120" w:type="dxa"/>
              <w:end w:w="120" w:type="dxa"/>
            </w:tcMar>
            <w:vAlign w:val="center"/>
          </w:tcPr>
          <w:p>
            <w:pPr>
              <w:jc w:val="left"/>
            </w:pPr>
            <w:r>
              <w:rPr>
                <w:sz w:val="19"/>
              </w:rPr>
              <w:t>净债务约为 FY2026 调整后 FCF 的 1.7 倍，当前可控但不低</w:t>
            </w:r>
          </w:p>
        </w:tc>
      </w:tr>
      <w:tr>
        <w:tc>
          <w:tcPr>
            <w:tcW w:type="dxa" w:w="1800"/>
            <w:tcMar>
              <w:top w:w="80" w:type="dxa"/>
              <w:bottom w:w="80" w:type="dxa"/>
              <w:start w:w="120" w:type="dxa"/>
              <w:end w:w="120" w:type="dxa"/>
            </w:tcMar>
            <w:vAlign w:val="center"/>
          </w:tcPr>
          <w:p>
            <w:pPr>
              <w:jc w:val="center"/>
            </w:pPr>
            <w:r>
              <w:rPr>
                <w:sz w:val="19"/>
              </w:rPr>
              <w:t>营运资本杠杆</w:t>
            </w:r>
          </w:p>
        </w:tc>
        <w:tc>
          <w:tcPr>
            <w:tcW w:type="dxa" w:w="3900"/>
            <w:tcMar>
              <w:top w:w="80" w:type="dxa"/>
              <w:bottom w:w="80" w:type="dxa"/>
              <w:start w:w="120" w:type="dxa"/>
              <w:end w:w="120" w:type="dxa"/>
            </w:tcMar>
            <w:vAlign w:val="center"/>
          </w:tcPr>
          <w:p>
            <w:pPr>
              <w:jc w:val="left"/>
            </w:pPr>
            <w:r>
              <w:rPr>
                <w:sz w:val="19"/>
              </w:rPr>
              <w:t>Q1 应收、库存、应付均大幅上升</w:t>
            </w:r>
          </w:p>
        </w:tc>
        <w:tc>
          <w:tcPr>
            <w:tcW w:type="dxa" w:w="3660"/>
            <w:tcMar>
              <w:top w:w="80" w:type="dxa"/>
              <w:bottom w:w="80" w:type="dxa"/>
              <w:start w:w="120" w:type="dxa"/>
              <w:end w:w="120" w:type="dxa"/>
            </w:tcMar>
            <w:vAlign w:val="center"/>
          </w:tcPr>
          <w:p>
            <w:pPr>
              <w:jc w:val="left"/>
            </w:pPr>
            <w:r>
              <w:rPr>
                <w:sz w:val="19"/>
              </w:rPr>
              <w:t>AI 服务器出货越快，对供应链融资和现金周转要求越高</w:t>
            </w:r>
          </w:p>
        </w:tc>
      </w:tr>
      <w:tr>
        <w:tc>
          <w:tcPr>
            <w:tcW w:type="dxa" w:w="1800"/>
            <w:tcMar>
              <w:top w:w="80" w:type="dxa"/>
              <w:bottom w:w="80" w:type="dxa"/>
              <w:start w:w="120" w:type="dxa"/>
              <w:end w:w="120" w:type="dxa"/>
            </w:tcMar>
            <w:vAlign w:val="center"/>
          </w:tcPr>
          <w:p>
            <w:pPr>
              <w:jc w:val="center"/>
            </w:pPr>
            <w:r>
              <w:rPr>
                <w:sz w:val="19"/>
              </w:rPr>
              <w:t>回购杠杆</w:t>
            </w:r>
          </w:p>
        </w:tc>
        <w:tc>
          <w:tcPr>
            <w:tcW w:type="dxa" w:w="3900"/>
            <w:tcMar>
              <w:top w:w="80" w:type="dxa"/>
              <w:bottom w:w="80" w:type="dxa"/>
              <w:start w:w="120" w:type="dxa"/>
              <w:end w:w="120" w:type="dxa"/>
            </w:tcMar>
            <w:vAlign w:val="center"/>
          </w:tcPr>
          <w:p>
            <w:pPr>
              <w:jc w:val="left"/>
            </w:pPr>
            <w:r>
              <w:rPr>
                <w:sz w:val="19"/>
              </w:rPr>
              <w:t>Q1 回购 16.28 亿美元，分红 4.64 亿美元</w:t>
            </w:r>
          </w:p>
        </w:tc>
        <w:tc>
          <w:tcPr>
            <w:tcW w:type="dxa" w:w="3660"/>
            <w:tcMar>
              <w:top w:w="80" w:type="dxa"/>
              <w:bottom w:w="80" w:type="dxa"/>
              <w:start w:w="120" w:type="dxa"/>
              <w:end w:w="120" w:type="dxa"/>
            </w:tcMar>
            <w:vAlign w:val="center"/>
          </w:tcPr>
          <w:p>
            <w:pPr>
              <w:jc w:val="left"/>
            </w:pPr>
            <w:r>
              <w:rPr>
                <w:sz w:val="19"/>
              </w:rPr>
              <w:t>减少股本放大 EPS，但若现金转换变弱，会与供应链资金需求竞争</w:t>
            </w:r>
          </w:p>
        </w:tc>
      </w:tr>
      <w:tr>
        <w:tc>
          <w:tcPr>
            <w:tcW w:type="dxa" w:w="1800"/>
            <w:tcMar>
              <w:top w:w="80" w:type="dxa"/>
              <w:bottom w:w="80" w:type="dxa"/>
              <w:start w:w="120" w:type="dxa"/>
              <w:end w:w="120" w:type="dxa"/>
            </w:tcMar>
            <w:vAlign w:val="center"/>
          </w:tcPr>
          <w:p>
            <w:pPr>
              <w:jc w:val="center"/>
            </w:pPr>
            <w:r>
              <w:rPr>
                <w:sz w:val="19"/>
              </w:rPr>
              <w:t>融资服务杠杆</w:t>
            </w:r>
          </w:p>
        </w:tc>
        <w:tc>
          <w:tcPr>
            <w:tcW w:type="dxa" w:w="3900"/>
            <w:tcMar>
              <w:top w:w="80" w:type="dxa"/>
              <w:bottom w:w="80" w:type="dxa"/>
              <w:start w:w="120" w:type="dxa"/>
              <w:end w:w="120" w:type="dxa"/>
            </w:tcMar>
            <w:vAlign w:val="center"/>
          </w:tcPr>
          <w:p>
            <w:pPr>
              <w:jc w:val="left"/>
            </w:pPr>
            <w:r>
              <w:rPr>
                <w:sz w:val="19"/>
              </w:rPr>
              <w:t>短/长期融资应收合计约 139.50 亿美元</w:t>
            </w:r>
          </w:p>
        </w:tc>
        <w:tc>
          <w:tcPr>
            <w:tcW w:type="dxa" w:w="3660"/>
            <w:tcMar>
              <w:top w:w="80" w:type="dxa"/>
              <w:bottom w:w="80" w:type="dxa"/>
              <w:start w:w="120" w:type="dxa"/>
              <w:end w:w="120" w:type="dxa"/>
            </w:tcMar>
            <w:vAlign w:val="center"/>
          </w:tcPr>
          <w:p>
            <w:pPr>
              <w:jc w:val="left"/>
            </w:pPr>
            <w:r>
              <w:rPr>
                <w:sz w:val="19"/>
              </w:rPr>
              <w:t>增强客户购买能力，也带来信用和利率风险</w:t>
            </w:r>
          </w:p>
        </w:tc>
      </w:tr>
    </w:tbl>
    <w:p/>
    <w:p>
      <w:pPr>
        <w:pStyle w:val="Heading2"/>
      </w:pPr>
      <w:r>
        <w:t>9.3 资本配置判断</w:t>
      </w:r>
    </w:p>
    <w:p>
      <w:pPr>
        <w:spacing w:after="120" w:line="264" w:lineRule="auto"/>
      </w:pPr>
      <w:r>
        <w:rPr>
          <w:sz w:val="22"/>
        </w:rPr>
        <w:t>Dell 当前资本配置处在高增长和高回报并行阶段：AI 订单和收入要求公司投入库存、采购和交付能力；同时管理层持续提高分红和回购。短期看，高回购有助于 EPS 和股东回报；中期看，如果 AI 服务器毛利率偏低且营运资本占用持续上升，公司必须在回购、债务、供应链和增长投资之间维持更精细的平衡。</w:t>
      </w:r>
    </w:p>
    <w:p>
      <w:pPr>
        <w:pStyle w:val="Heading1"/>
      </w:pPr>
      <w:r>
        <w:t>十、估值框架与研究评级</w:t>
      </w:r>
    </w:p>
    <w:p>
      <w:pPr>
        <w:pStyle w:val="Heading2"/>
      </w:pPr>
      <w:r>
        <w:t>10.1 估值方法</w:t>
      </w:r>
    </w:p>
    <w:p>
      <w:pPr>
        <w:spacing w:after="120" w:line="264" w:lineRule="auto"/>
      </w:pPr>
      <w:r>
        <w:rPr>
          <w:sz w:val="22"/>
        </w:rPr>
        <w:t>Dell 不宜再只按 PC 硬件周期股估值，也不应简单套用 NVIDIA 式平台估值。更合适的框架是“AI 服务器收入兑现 + 存储/服务 attach 质量 + CSG 现金流底盘 + 自由现金流转换 + 回购/债务杠杆”。若 AI 服务器收入高增但毛利率持续下行，估值应偏硬件集成商；若存储、服务和企业 AI 解决方案占比提高，估值质量可上移。</w:t>
      </w:r>
    </w:p>
    <w:tbl>
      <w:tblPr>
        <w:tblStyle w:val="TableGrid"/>
        <w:tblW w:type="dxa" w:w="9360"/>
        <w:jc w:val="center"/>
        <w:tblLook w:firstColumn="1" w:firstRow="1" w:lastColumn="0" w:lastRow="0" w:noHBand="0" w:noVBand="1" w:val="04A0"/>
        <w:tblInd w:w="120" w:type="dxa"/>
      </w:tblPr>
      <w:tblGrid>
        <w:gridCol w:w="1900"/>
        <w:gridCol w:w="3700"/>
        <w:gridCol w:w="3760"/>
      </w:tblGrid>
      <w:tr>
        <w:trPr>
          <w:tblHeader w:val="true"/>
        </w:trPr>
        <w:tc>
          <w:tcPr>
            <w:tcW w:type="dxa" w:w="1900"/>
            <w:shd w:fill="E8EEF5"/>
            <w:tcMar>
              <w:top w:w="80" w:type="dxa"/>
              <w:bottom w:w="80" w:type="dxa"/>
              <w:start w:w="120" w:type="dxa"/>
              <w:end w:w="120" w:type="dxa"/>
            </w:tcMar>
            <w:vAlign w:val="center"/>
          </w:tcPr>
          <w:p>
            <w:pPr>
              <w:jc w:val="center"/>
            </w:pPr>
            <w:r>
              <w:rPr>
                <w:b/>
                <w:sz w:val="19"/>
              </w:rPr>
              <w:t>估值驱动</w:t>
            </w:r>
          </w:p>
        </w:tc>
        <w:tc>
          <w:tcPr>
            <w:tcW w:type="dxa" w:w="3700"/>
            <w:shd w:fill="E8EEF5"/>
            <w:tcMar>
              <w:top w:w="80" w:type="dxa"/>
              <w:bottom w:w="80" w:type="dxa"/>
              <w:start w:w="120" w:type="dxa"/>
              <w:end w:w="120" w:type="dxa"/>
            </w:tcMar>
            <w:vAlign w:val="center"/>
          </w:tcPr>
          <w:p>
            <w:pPr>
              <w:jc w:val="center"/>
            </w:pPr>
            <w:r>
              <w:rPr>
                <w:b/>
                <w:sz w:val="19"/>
              </w:rPr>
              <w:t>正向因素</w:t>
            </w:r>
          </w:p>
        </w:tc>
        <w:tc>
          <w:tcPr>
            <w:tcW w:type="dxa" w:w="3760"/>
            <w:shd w:fill="E8EEF5"/>
            <w:tcMar>
              <w:top w:w="80" w:type="dxa"/>
              <w:bottom w:w="80" w:type="dxa"/>
              <w:start w:w="120" w:type="dxa"/>
              <w:end w:w="120" w:type="dxa"/>
            </w:tcMar>
            <w:vAlign w:val="center"/>
          </w:tcPr>
          <w:p>
            <w:pPr>
              <w:jc w:val="center"/>
            </w:pPr>
            <w:r>
              <w:rPr>
                <w:b/>
                <w:sz w:val="19"/>
              </w:rPr>
              <w:t>负向因素</w:t>
            </w:r>
          </w:p>
        </w:tc>
      </w:tr>
      <w:tr>
        <w:tc>
          <w:tcPr>
            <w:tcW w:type="dxa" w:w="1900"/>
            <w:tcMar>
              <w:top w:w="80" w:type="dxa"/>
              <w:bottom w:w="80" w:type="dxa"/>
              <w:start w:w="120" w:type="dxa"/>
              <w:end w:w="120" w:type="dxa"/>
            </w:tcMar>
            <w:vAlign w:val="center"/>
          </w:tcPr>
          <w:p>
            <w:pPr>
              <w:jc w:val="center"/>
            </w:pPr>
            <w:r>
              <w:rPr>
                <w:sz w:val="19"/>
              </w:rPr>
              <w:t>AI 服务器</w:t>
            </w:r>
          </w:p>
        </w:tc>
        <w:tc>
          <w:tcPr>
            <w:tcW w:type="dxa" w:w="3700"/>
            <w:tcMar>
              <w:top w:w="80" w:type="dxa"/>
              <w:bottom w:w="80" w:type="dxa"/>
              <w:start w:w="120" w:type="dxa"/>
              <w:end w:w="120" w:type="dxa"/>
            </w:tcMar>
            <w:vAlign w:val="center"/>
          </w:tcPr>
          <w:p>
            <w:pPr>
              <w:jc w:val="left"/>
            </w:pPr>
            <w:r>
              <w:rPr>
                <w:sz w:val="19"/>
              </w:rPr>
              <w:t>订单、backlog 和收入均爆发，FY2027 指引上修</w:t>
            </w:r>
          </w:p>
        </w:tc>
        <w:tc>
          <w:tcPr>
            <w:tcW w:type="dxa" w:w="3760"/>
            <w:tcMar>
              <w:top w:w="80" w:type="dxa"/>
              <w:bottom w:w="80" w:type="dxa"/>
              <w:start w:w="120" w:type="dxa"/>
              <w:end w:w="120" w:type="dxa"/>
            </w:tcMar>
            <w:vAlign w:val="center"/>
          </w:tcPr>
          <w:p>
            <w:pPr>
              <w:jc w:val="left"/>
            </w:pPr>
            <w:r>
              <w:rPr>
                <w:sz w:val="19"/>
              </w:rPr>
              <w:t>毛利率低、客户集中、GPU 供给和价格竞争</w:t>
            </w:r>
          </w:p>
        </w:tc>
      </w:tr>
      <w:tr>
        <w:tc>
          <w:tcPr>
            <w:tcW w:type="dxa" w:w="1900"/>
            <w:tcMar>
              <w:top w:w="80" w:type="dxa"/>
              <w:bottom w:w="80" w:type="dxa"/>
              <w:start w:w="120" w:type="dxa"/>
              <w:end w:w="120" w:type="dxa"/>
            </w:tcMar>
            <w:vAlign w:val="center"/>
          </w:tcPr>
          <w:p>
            <w:pPr>
              <w:jc w:val="center"/>
            </w:pPr>
            <w:r>
              <w:rPr>
                <w:sz w:val="19"/>
              </w:rPr>
              <w:t>存储/服务 attach</w:t>
            </w:r>
          </w:p>
        </w:tc>
        <w:tc>
          <w:tcPr>
            <w:tcW w:type="dxa" w:w="3700"/>
            <w:tcMar>
              <w:top w:w="80" w:type="dxa"/>
              <w:bottom w:w="80" w:type="dxa"/>
              <w:start w:w="120" w:type="dxa"/>
              <w:end w:w="120" w:type="dxa"/>
            </w:tcMar>
            <w:vAlign w:val="center"/>
          </w:tcPr>
          <w:p>
            <w:pPr>
              <w:jc w:val="left"/>
            </w:pPr>
            <w:r>
              <w:rPr>
                <w:sz w:val="19"/>
              </w:rPr>
              <w:t>AI 数据管线天然需要高性能存储和服务</w:t>
            </w:r>
          </w:p>
        </w:tc>
        <w:tc>
          <w:tcPr>
            <w:tcW w:type="dxa" w:w="3760"/>
            <w:tcMar>
              <w:top w:w="80" w:type="dxa"/>
              <w:bottom w:w="80" w:type="dxa"/>
              <w:start w:w="120" w:type="dxa"/>
              <w:end w:w="120" w:type="dxa"/>
            </w:tcMar>
            <w:vAlign w:val="center"/>
          </w:tcPr>
          <w:p>
            <w:pPr>
              <w:jc w:val="left"/>
            </w:pPr>
            <w:r>
              <w:rPr>
                <w:sz w:val="19"/>
              </w:rPr>
              <w:t>FY2026 存储仅增长 1%，兑现仍需观察</w:t>
            </w:r>
          </w:p>
        </w:tc>
      </w:tr>
      <w:tr>
        <w:tc>
          <w:tcPr>
            <w:tcW w:type="dxa" w:w="1900"/>
            <w:tcMar>
              <w:top w:w="80" w:type="dxa"/>
              <w:bottom w:w="80" w:type="dxa"/>
              <w:start w:w="120" w:type="dxa"/>
              <w:end w:w="120" w:type="dxa"/>
            </w:tcMar>
            <w:vAlign w:val="center"/>
          </w:tcPr>
          <w:p>
            <w:pPr>
              <w:jc w:val="center"/>
            </w:pPr>
            <w:r>
              <w:rPr>
                <w:sz w:val="19"/>
              </w:rPr>
              <w:t>CSG 商用 PC</w:t>
            </w:r>
          </w:p>
        </w:tc>
        <w:tc>
          <w:tcPr>
            <w:tcW w:type="dxa" w:w="3700"/>
            <w:tcMar>
              <w:top w:w="80" w:type="dxa"/>
              <w:bottom w:w="80" w:type="dxa"/>
              <w:start w:w="120" w:type="dxa"/>
              <w:end w:w="120" w:type="dxa"/>
            </w:tcMar>
            <w:vAlign w:val="center"/>
          </w:tcPr>
          <w:p>
            <w:pPr>
              <w:jc w:val="left"/>
            </w:pPr>
            <w:r>
              <w:rPr>
                <w:sz w:val="19"/>
              </w:rPr>
              <w:t>企业 PC 回暖，商业客户粘性强</w:t>
            </w:r>
          </w:p>
        </w:tc>
        <w:tc>
          <w:tcPr>
            <w:tcW w:type="dxa" w:w="3760"/>
            <w:tcMar>
              <w:top w:w="80" w:type="dxa"/>
              <w:bottom w:w="80" w:type="dxa"/>
              <w:start w:w="120" w:type="dxa"/>
              <w:end w:w="120" w:type="dxa"/>
            </w:tcMar>
            <w:vAlign w:val="center"/>
          </w:tcPr>
          <w:p>
            <w:pPr>
              <w:jc w:val="left"/>
            </w:pPr>
            <w:r>
              <w:rPr>
                <w:sz w:val="19"/>
              </w:rPr>
              <w:t>PC 周期和消费端疲弱限制上行</w:t>
            </w:r>
          </w:p>
        </w:tc>
      </w:tr>
      <w:tr>
        <w:tc>
          <w:tcPr>
            <w:tcW w:type="dxa" w:w="1900"/>
            <w:tcMar>
              <w:top w:w="80" w:type="dxa"/>
              <w:bottom w:w="80" w:type="dxa"/>
              <w:start w:w="120" w:type="dxa"/>
              <w:end w:w="120" w:type="dxa"/>
            </w:tcMar>
            <w:vAlign w:val="center"/>
          </w:tcPr>
          <w:p>
            <w:pPr>
              <w:jc w:val="center"/>
            </w:pPr>
            <w:r>
              <w:rPr>
                <w:sz w:val="19"/>
              </w:rPr>
              <w:t>自由现金流</w:t>
            </w:r>
          </w:p>
        </w:tc>
        <w:tc>
          <w:tcPr>
            <w:tcW w:type="dxa" w:w="3700"/>
            <w:tcMar>
              <w:top w:w="80" w:type="dxa"/>
              <w:bottom w:w="80" w:type="dxa"/>
              <w:start w:w="120" w:type="dxa"/>
              <w:end w:w="120" w:type="dxa"/>
            </w:tcMar>
            <w:vAlign w:val="center"/>
          </w:tcPr>
          <w:p>
            <w:pPr>
              <w:jc w:val="left"/>
            </w:pPr>
            <w:r>
              <w:rPr>
                <w:sz w:val="19"/>
              </w:rPr>
              <w:t>FY2026 调整后 FCF 大幅改善</w:t>
            </w:r>
          </w:p>
        </w:tc>
        <w:tc>
          <w:tcPr>
            <w:tcW w:type="dxa" w:w="3760"/>
            <w:tcMar>
              <w:top w:w="80" w:type="dxa"/>
              <w:bottom w:w="80" w:type="dxa"/>
              <w:start w:w="120" w:type="dxa"/>
              <w:end w:w="120" w:type="dxa"/>
            </w:tcMar>
            <w:vAlign w:val="center"/>
          </w:tcPr>
          <w:p>
            <w:pPr>
              <w:jc w:val="left"/>
            </w:pPr>
            <w:r>
              <w:rPr>
                <w:sz w:val="19"/>
              </w:rPr>
              <w:t>AI 扩张带来库存、应收和供应链资金占用</w:t>
            </w:r>
          </w:p>
        </w:tc>
      </w:tr>
      <w:tr>
        <w:tc>
          <w:tcPr>
            <w:tcW w:type="dxa" w:w="1900"/>
            <w:tcMar>
              <w:top w:w="80" w:type="dxa"/>
              <w:bottom w:w="80" w:type="dxa"/>
              <w:start w:w="120" w:type="dxa"/>
              <w:end w:w="120" w:type="dxa"/>
            </w:tcMar>
            <w:vAlign w:val="center"/>
          </w:tcPr>
          <w:p>
            <w:pPr>
              <w:jc w:val="center"/>
            </w:pPr>
            <w:r>
              <w:rPr>
                <w:sz w:val="19"/>
              </w:rPr>
              <w:t>股东回报</w:t>
            </w:r>
          </w:p>
        </w:tc>
        <w:tc>
          <w:tcPr>
            <w:tcW w:type="dxa" w:w="3700"/>
            <w:tcMar>
              <w:top w:w="80" w:type="dxa"/>
              <w:bottom w:w="80" w:type="dxa"/>
              <w:start w:w="120" w:type="dxa"/>
              <w:end w:w="120" w:type="dxa"/>
            </w:tcMar>
            <w:vAlign w:val="center"/>
          </w:tcPr>
          <w:p>
            <w:pPr>
              <w:jc w:val="left"/>
            </w:pPr>
            <w:r>
              <w:rPr>
                <w:sz w:val="19"/>
              </w:rPr>
              <w:t>回购和股息意愿强，股本下降推升 EPS</w:t>
            </w:r>
          </w:p>
        </w:tc>
        <w:tc>
          <w:tcPr>
            <w:tcW w:type="dxa" w:w="3760"/>
            <w:tcMar>
              <w:top w:w="80" w:type="dxa"/>
              <w:bottom w:w="80" w:type="dxa"/>
              <w:start w:w="120" w:type="dxa"/>
              <w:end w:w="120" w:type="dxa"/>
            </w:tcMar>
            <w:vAlign w:val="center"/>
          </w:tcPr>
          <w:p>
            <w:pPr>
              <w:jc w:val="left"/>
            </w:pPr>
            <w:r>
              <w:rPr>
                <w:sz w:val="19"/>
              </w:rPr>
              <w:t>高回购在高营运资本阶段可能压缩财务缓冲</w:t>
            </w:r>
          </w:p>
        </w:tc>
      </w:tr>
    </w:tbl>
    <w:p/>
    <w:p>
      <w:pPr>
        <w:pStyle w:val="Heading2"/>
      </w:pPr>
      <w:r>
        <w:t>10.2 研究评级</w:t>
      </w:r>
    </w:p>
    <w:tbl>
      <w:tblPr>
        <w:tblStyle w:val="TableGrid"/>
        <w:tblW w:type="dxa" w:w="9360"/>
        <w:jc w:val="center"/>
        <w:tblLook w:firstColumn="1" w:firstRow="1" w:lastColumn="0" w:lastRow="0" w:noHBand="0" w:noVBand="1" w:val="04A0"/>
        <w:tblInd w:w="120" w:type="dxa"/>
      </w:tblPr>
      <w:tblGrid>
        <w:gridCol w:w="9360"/>
      </w:tblGrid>
      <w:tr>
        <w:tc>
          <w:tcPr>
            <w:tcW w:type="dxa" w:w="9360"/>
            <w:shd w:fill="EFEAF7"/>
            <w:tcMar>
              <w:top w:w="80" w:type="dxa"/>
              <w:bottom w:w="80" w:type="dxa"/>
              <w:start w:w="120" w:type="dxa"/>
              <w:end w:w="120" w:type="dxa"/>
            </w:tcMar>
            <w:vAlign w:val="center"/>
          </w:tcPr>
          <w:p>
            <w:r>
              <w:rPr>
                <w:b/>
                <w:color w:val="1F4D78"/>
              </w:rPr>
              <w:t>研究观点：</w:t>
            </w:r>
            <w:r>
              <w:t xml:space="preserve"> 中长期积极关注，短期重点验证毛利率与现金转换。Dell 是 AI 服务器规模化出货的核心受益者之一，FY2027 Q1 已证明订单向收入兑现；但其商业模式仍是硬件集成和企业 IT 交付，不是高毛利芯片平台。估值能否继续上移，取决于 AI 服务器收入是否带动存储、服务和自由现金流质量同步改善。</w:t>
            </w:r>
          </w:p>
        </w:tc>
      </w:tr>
    </w:tbl>
    <w:p/>
    <w:p>
      <w:pPr>
        <w:spacing w:after="120" w:line="264" w:lineRule="auto"/>
      </w:pPr>
      <w:r>
        <w:rPr>
          <w:sz w:val="22"/>
        </w:rPr>
        <w:t>若未来 2-4 个季度出现以下信号，评级可继续上调：AI server revenue 持续达到或超过 FY2027 600 亿美元目标；ISG 毛利率/营业利润率保持稳定；存储收入加速并与 AI 服务器形成 attach；调整后自由现金流跟随利润增长；净债务/现金流下降；客户集中风险没有显著放大。</w:t>
      </w:r>
    </w:p>
    <w:p>
      <w:pPr>
        <w:pStyle w:val="Heading1"/>
      </w:pPr>
      <w:r>
        <w:t>十一、主要风险因素与跟踪指标</w:t>
      </w:r>
    </w:p>
    <w:p>
      <w:pPr>
        <w:pStyle w:val="Heading2"/>
      </w:pPr>
      <w:r>
        <w:t>11.1 主要风险因素</w:t>
      </w:r>
    </w:p>
    <w:tbl>
      <w:tblPr>
        <w:tblStyle w:val="TableGrid"/>
        <w:tblW w:type="dxa" w:w="9360"/>
        <w:jc w:val="center"/>
        <w:tblLook w:firstColumn="1" w:firstRow="1" w:lastColumn="0" w:lastRow="0" w:noHBand="0" w:noVBand="1" w:val="04A0"/>
        <w:tblInd w:w="120" w:type="dxa"/>
      </w:tblPr>
      <w:tblGrid>
        <w:gridCol w:w="1800"/>
        <w:gridCol w:w="5000"/>
        <w:gridCol w:w="2560"/>
      </w:tblGrid>
      <w:tr>
        <w:trPr>
          <w:tblHeader w:val="true"/>
        </w:trPr>
        <w:tc>
          <w:tcPr>
            <w:tcW w:type="dxa" w:w="1800"/>
            <w:shd w:fill="FFF4E6"/>
            <w:tcMar>
              <w:top w:w="80" w:type="dxa"/>
              <w:bottom w:w="80" w:type="dxa"/>
              <w:start w:w="120" w:type="dxa"/>
              <w:end w:w="120" w:type="dxa"/>
            </w:tcMar>
            <w:vAlign w:val="center"/>
          </w:tcPr>
          <w:p>
            <w:pPr>
              <w:jc w:val="center"/>
            </w:pPr>
            <w:r>
              <w:rPr>
                <w:b/>
                <w:sz w:val="19"/>
              </w:rPr>
              <w:t>风险类型</w:t>
            </w:r>
          </w:p>
        </w:tc>
        <w:tc>
          <w:tcPr>
            <w:tcW w:type="dxa" w:w="5000"/>
            <w:shd w:fill="FFF4E6"/>
            <w:tcMar>
              <w:top w:w="80" w:type="dxa"/>
              <w:bottom w:w="80" w:type="dxa"/>
              <w:start w:w="120" w:type="dxa"/>
              <w:end w:w="120" w:type="dxa"/>
            </w:tcMar>
            <w:vAlign w:val="center"/>
          </w:tcPr>
          <w:p>
            <w:pPr>
              <w:jc w:val="center"/>
            </w:pPr>
            <w:r>
              <w:rPr>
                <w:b/>
                <w:sz w:val="19"/>
              </w:rPr>
              <w:t>风险描述</w:t>
            </w:r>
          </w:p>
        </w:tc>
        <w:tc>
          <w:tcPr>
            <w:tcW w:type="dxa" w:w="2560"/>
            <w:shd w:fill="FFF4E6"/>
            <w:tcMar>
              <w:top w:w="80" w:type="dxa"/>
              <w:bottom w:w="80" w:type="dxa"/>
              <w:start w:w="120" w:type="dxa"/>
              <w:end w:w="120" w:type="dxa"/>
            </w:tcMar>
            <w:vAlign w:val="center"/>
          </w:tcPr>
          <w:p>
            <w:pPr>
              <w:jc w:val="center"/>
            </w:pPr>
            <w:r>
              <w:rPr>
                <w:b/>
                <w:sz w:val="19"/>
              </w:rPr>
              <w:t>影响判断</w:t>
            </w:r>
          </w:p>
        </w:tc>
      </w:tr>
      <w:tr>
        <w:tc>
          <w:tcPr>
            <w:tcW w:type="dxa" w:w="1800"/>
            <w:tcMar>
              <w:top w:w="80" w:type="dxa"/>
              <w:bottom w:w="80" w:type="dxa"/>
              <w:start w:w="120" w:type="dxa"/>
              <w:end w:w="120" w:type="dxa"/>
            </w:tcMar>
            <w:vAlign w:val="center"/>
          </w:tcPr>
          <w:p>
            <w:pPr>
              <w:jc w:val="center"/>
            </w:pPr>
            <w:r>
              <w:rPr>
                <w:sz w:val="19"/>
              </w:rPr>
              <w:t>AI 需求风险</w:t>
            </w:r>
          </w:p>
        </w:tc>
        <w:tc>
          <w:tcPr>
            <w:tcW w:type="dxa" w:w="5000"/>
            <w:tcMar>
              <w:top w:w="80" w:type="dxa"/>
              <w:bottom w:w="80" w:type="dxa"/>
              <w:start w:w="120" w:type="dxa"/>
              <w:end w:w="120" w:type="dxa"/>
            </w:tcMar>
            <w:vAlign w:val="center"/>
          </w:tcPr>
          <w:p>
            <w:pPr>
              <w:jc w:val="left"/>
            </w:pPr>
            <w:r>
              <w:rPr>
                <w:sz w:val="19"/>
              </w:rPr>
              <w:t>若云厂商、主权 AI 或企业 AI 资本开支放缓，AI 服务器订单可能回落</w:t>
            </w:r>
          </w:p>
        </w:tc>
        <w:tc>
          <w:tcPr>
            <w:tcW w:type="dxa" w:w="2560"/>
            <w:tcMar>
              <w:top w:w="80" w:type="dxa"/>
              <w:bottom w:w="80" w:type="dxa"/>
              <w:start w:w="120" w:type="dxa"/>
              <w:end w:w="120" w:type="dxa"/>
            </w:tcMar>
            <w:vAlign w:val="center"/>
          </w:tcPr>
          <w:p>
            <w:pPr>
              <w:jc w:val="left"/>
            </w:pPr>
            <w:r>
              <w:rPr>
                <w:sz w:val="19"/>
              </w:rPr>
              <w:t>影响最大，直接冲击 ISG 增长和估值</w:t>
            </w:r>
          </w:p>
        </w:tc>
      </w:tr>
      <w:tr>
        <w:tc>
          <w:tcPr>
            <w:tcW w:type="dxa" w:w="1800"/>
            <w:tcMar>
              <w:top w:w="80" w:type="dxa"/>
              <w:bottom w:w="80" w:type="dxa"/>
              <w:start w:w="120" w:type="dxa"/>
              <w:end w:w="120" w:type="dxa"/>
            </w:tcMar>
            <w:vAlign w:val="center"/>
          </w:tcPr>
          <w:p>
            <w:pPr>
              <w:jc w:val="center"/>
            </w:pPr>
            <w:r>
              <w:rPr>
                <w:sz w:val="19"/>
              </w:rPr>
              <w:t>毛利率风险</w:t>
            </w:r>
          </w:p>
        </w:tc>
        <w:tc>
          <w:tcPr>
            <w:tcW w:type="dxa" w:w="5000"/>
            <w:tcMar>
              <w:top w:w="80" w:type="dxa"/>
              <w:bottom w:w="80" w:type="dxa"/>
              <w:start w:w="120" w:type="dxa"/>
              <w:end w:w="120" w:type="dxa"/>
            </w:tcMar>
            <w:vAlign w:val="center"/>
          </w:tcPr>
          <w:p>
            <w:pPr>
              <w:jc w:val="left"/>
            </w:pPr>
            <w:r>
              <w:rPr>
                <w:sz w:val="19"/>
              </w:rPr>
              <w:t>AI 服务器硬件集成毛利率低，GPU 平台方议价强</w:t>
            </w:r>
          </w:p>
        </w:tc>
        <w:tc>
          <w:tcPr>
            <w:tcW w:type="dxa" w:w="2560"/>
            <w:tcMar>
              <w:top w:w="80" w:type="dxa"/>
              <w:bottom w:w="80" w:type="dxa"/>
              <w:start w:w="120" w:type="dxa"/>
              <w:end w:w="120" w:type="dxa"/>
            </w:tcMar>
            <w:vAlign w:val="center"/>
          </w:tcPr>
          <w:p>
            <w:pPr>
              <w:jc w:val="left"/>
            </w:pPr>
            <w:r>
              <w:rPr>
                <w:sz w:val="19"/>
              </w:rPr>
              <w:t>收入高增但利润质量可能低于预期</w:t>
            </w:r>
          </w:p>
        </w:tc>
      </w:tr>
      <w:tr>
        <w:tc>
          <w:tcPr>
            <w:tcW w:type="dxa" w:w="1800"/>
            <w:tcMar>
              <w:top w:w="80" w:type="dxa"/>
              <w:bottom w:w="80" w:type="dxa"/>
              <w:start w:w="120" w:type="dxa"/>
              <w:end w:w="120" w:type="dxa"/>
            </w:tcMar>
            <w:vAlign w:val="center"/>
          </w:tcPr>
          <w:p>
            <w:pPr>
              <w:jc w:val="center"/>
            </w:pPr>
            <w:r>
              <w:rPr>
                <w:sz w:val="19"/>
              </w:rPr>
              <w:t>供应链风险</w:t>
            </w:r>
          </w:p>
        </w:tc>
        <w:tc>
          <w:tcPr>
            <w:tcW w:type="dxa" w:w="5000"/>
            <w:tcMar>
              <w:top w:w="80" w:type="dxa"/>
              <w:bottom w:w="80" w:type="dxa"/>
              <w:start w:w="120" w:type="dxa"/>
              <w:end w:w="120" w:type="dxa"/>
            </w:tcMar>
            <w:vAlign w:val="center"/>
          </w:tcPr>
          <w:p>
            <w:pPr>
              <w:jc w:val="left"/>
            </w:pPr>
            <w:r>
              <w:rPr>
                <w:sz w:val="19"/>
              </w:rPr>
              <w:t>GPU、HBM、网络、液冷、电源和机柜供给均可能成为瓶颈</w:t>
            </w:r>
          </w:p>
        </w:tc>
        <w:tc>
          <w:tcPr>
            <w:tcW w:type="dxa" w:w="2560"/>
            <w:tcMar>
              <w:top w:w="80" w:type="dxa"/>
              <w:bottom w:w="80" w:type="dxa"/>
              <w:start w:w="120" w:type="dxa"/>
              <w:end w:w="120" w:type="dxa"/>
            </w:tcMar>
            <w:vAlign w:val="center"/>
          </w:tcPr>
          <w:p>
            <w:pPr>
              <w:jc w:val="left"/>
            </w:pPr>
            <w:r>
              <w:rPr>
                <w:sz w:val="19"/>
              </w:rPr>
              <w:t>影响交付、库存和客户满意度</w:t>
            </w:r>
          </w:p>
        </w:tc>
      </w:tr>
      <w:tr>
        <w:tc>
          <w:tcPr>
            <w:tcW w:type="dxa" w:w="1800"/>
            <w:tcMar>
              <w:top w:w="80" w:type="dxa"/>
              <w:bottom w:w="80" w:type="dxa"/>
              <w:start w:w="120" w:type="dxa"/>
              <w:end w:w="120" w:type="dxa"/>
            </w:tcMar>
            <w:vAlign w:val="center"/>
          </w:tcPr>
          <w:p>
            <w:pPr>
              <w:jc w:val="center"/>
            </w:pPr>
            <w:r>
              <w:rPr>
                <w:sz w:val="19"/>
              </w:rPr>
              <w:t>营运资本风险</w:t>
            </w:r>
          </w:p>
        </w:tc>
        <w:tc>
          <w:tcPr>
            <w:tcW w:type="dxa" w:w="5000"/>
            <w:tcMar>
              <w:top w:w="80" w:type="dxa"/>
              <w:bottom w:w="80" w:type="dxa"/>
              <w:start w:w="120" w:type="dxa"/>
              <w:end w:w="120" w:type="dxa"/>
            </w:tcMar>
            <w:vAlign w:val="center"/>
          </w:tcPr>
          <w:p>
            <w:pPr>
              <w:jc w:val="left"/>
            </w:pPr>
            <w:r>
              <w:rPr>
                <w:sz w:val="19"/>
              </w:rPr>
              <w:t>应收、库存、应付和融资应收快速扩张</w:t>
            </w:r>
          </w:p>
        </w:tc>
        <w:tc>
          <w:tcPr>
            <w:tcW w:type="dxa" w:w="2560"/>
            <w:tcMar>
              <w:top w:w="80" w:type="dxa"/>
              <w:bottom w:w="80" w:type="dxa"/>
              <w:start w:w="120" w:type="dxa"/>
              <w:end w:w="120" w:type="dxa"/>
            </w:tcMar>
            <w:vAlign w:val="center"/>
          </w:tcPr>
          <w:p>
            <w:pPr>
              <w:jc w:val="left"/>
            </w:pPr>
            <w:r>
              <w:rPr>
                <w:sz w:val="19"/>
              </w:rPr>
              <w:t>可能导致自由现金流与利润脱节</w:t>
            </w:r>
          </w:p>
        </w:tc>
      </w:tr>
      <w:tr>
        <w:tc>
          <w:tcPr>
            <w:tcW w:type="dxa" w:w="1800"/>
            <w:tcMar>
              <w:top w:w="80" w:type="dxa"/>
              <w:bottom w:w="80" w:type="dxa"/>
              <w:start w:w="120" w:type="dxa"/>
              <w:end w:w="120" w:type="dxa"/>
            </w:tcMar>
            <w:vAlign w:val="center"/>
          </w:tcPr>
          <w:p>
            <w:pPr>
              <w:jc w:val="center"/>
            </w:pPr>
            <w:r>
              <w:rPr>
                <w:sz w:val="19"/>
              </w:rPr>
              <w:t>客户集中风险</w:t>
            </w:r>
          </w:p>
        </w:tc>
        <w:tc>
          <w:tcPr>
            <w:tcW w:type="dxa" w:w="5000"/>
            <w:tcMar>
              <w:top w:w="80" w:type="dxa"/>
              <w:bottom w:w="80" w:type="dxa"/>
              <w:start w:w="120" w:type="dxa"/>
              <w:end w:w="120" w:type="dxa"/>
            </w:tcMar>
            <w:vAlign w:val="center"/>
          </w:tcPr>
          <w:p>
            <w:pPr>
              <w:jc w:val="left"/>
            </w:pPr>
            <w:r>
              <w:rPr>
                <w:sz w:val="19"/>
              </w:rPr>
              <w:t>AI 大单集中于少数大型客户或项目</w:t>
            </w:r>
          </w:p>
        </w:tc>
        <w:tc>
          <w:tcPr>
            <w:tcW w:type="dxa" w:w="2560"/>
            <w:tcMar>
              <w:top w:w="80" w:type="dxa"/>
              <w:bottom w:w="80" w:type="dxa"/>
              <w:start w:w="120" w:type="dxa"/>
              <w:end w:w="120" w:type="dxa"/>
            </w:tcMar>
            <w:vAlign w:val="center"/>
          </w:tcPr>
          <w:p>
            <w:pPr>
              <w:jc w:val="left"/>
            </w:pPr>
            <w:r>
              <w:rPr>
                <w:sz w:val="19"/>
              </w:rPr>
              <w:t>订单节奏可能造成季度大幅波动</w:t>
            </w:r>
          </w:p>
        </w:tc>
      </w:tr>
      <w:tr>
        <w:tc>
          <w:tcPr>
            <w:tcW w:type="dxa" w:w="1800"/>
            <w:tcMar>
              <w:top w:w="80" w:type="dxa"/>
              <w:bottom w:w="80" w:type="dxa"/>
              <w:start w:w="120" w:type="dxa"/>
              <w:end w:w="120" w:type="dxa"/>
            </w:tcMar>
            <w:vAlign w:val="center"/>
          </w:tcPr>
          <w:p>
            <w:pPr>
              <w:jc w:val="center"/>
            </w:pPr>
            <w:r>
              <w:rPr>
                <w:sz w:val="19"/>
              </w:rPr>
              <w:t>PC 周期风险</w:t>
            </w:r>
          </w:p>
        </w:tc>
        <w:tc>
          <w:tcPr>
            <w:tcW w:type="dxa" w:w="5000"/>
            <w:tcMar>
              <w:top w:w="80" w:type="dxa"/>
              <w:bottom w:w="80" w:type="dxa"/>
              <w:start w:w="120" w:type="dxa"/>
              <w:end w:w="120" w:type="dxa"/>
            </w:tcMar>
            <w:vAlign w:val="center"/>
          </w:tcPr>
          <w:p>
            <w:pPr>
              <w:jc w:val="left"/>
            </w:pPr>
            <w:r>
              <w:rPr>
                <w:sz w:val="19"/>
              </w:rPr>
              <w:t>CSG 仍受企业 PC 更新和消费 PC 需求影响</w:t>
            </w:r>
          </w:p>
        </w:tc>
        <w:tc>
          <w:tcPr>
            <w:tcW w:type="dxa" w:w="2560"/>
            <w:tcMar>
              <w:top w:w="80" w:type="dxa"/>
              <w:bottom w:w="80" w:type="dxa"/>
              <w:start w:w="120" w:type="dxa"/>
              <w:end w:w="120" w:type="dxa"/>
            </w:tcMar>
            <w:vAlign w:val="center"/>
          </w:tcPr>
          <w:p>
            <w:pPr>
              <w:jc w:val="left"/>
            </w:pPr>
            <w:r>
              <w:rPr>
                <w:sz w:val="19"/>
              </w:rPr>
              <w:t>影响现金流底盘</w:t>
            </w:r>
          </w:p>
        </w:tc>
      </w:tr>
      <w:tr>
        <w:tc>
          <w:tcPr>
            <w:tcW w:type="dxa" w:w="1800"/>
            <w:tcMar>
              <w:top w:w="80" w:type="dxa"/>
              <w:bottom w:w="80" w:type="dxa"/>
              <w:start w:w="120" w:type="dxa"/>
              <w:end w:w="120" w:type="dxa"/>
            </w:tcMar>
            <w:vAlign w:val="center"/>
          </w:tcPr>
          <w:p>
            <w:pPr>
              <w:jc w:val="center"/>
            </w:pPr>
            <w:r>
              <w:rPr>
                <w:sz w:val="19"/>
              </w:rPr>
              <w:t>竞争风险</w:t>
            </w:r>
          </w:p>
        </w:tc>
        <w:tc>
          <w:tcPr>
            <w:tcW w:type="dxa" w:w="5000"/>
            <w:tcMar>
              <w:top w:w="80" w:type="dxa"/>
              <w:bottom w:w="80" w:type="dxa"/>
              <w:start w:w="120" w:type="dxa"/>
              <w:end w:w="120" w:type="dxa"/>
            </w:tcMar>
            <w:vAlign w:val="center"/>
          </w:tcPr>
          <w:p>
            <w:pPr>
              <w:jc w:val="left"/>
            </w:pPr>
            <w:r>
              <w:rPr>
                <w:sz w:val="19"/>
              </w:rPr>
              <w:t>Supermicro、HPE、Lenovo、ODM 和云厂商自研持续竞争</w:t>
            </w:r>
          </w:p>
        </w:tc>
        <w:tc>
          <w:tcPr>
            <w:tcW w:type="dxa" w:w="2560"/>
            <w:tcMar>
              <w:top w:w="80" w:type="dxa"/>
              <w:bottom w:w="80" w:type="dxa"/>
              <w:start w:w="120" w:type="dxa"/>
              <w:end w:w="120" w:type="dxa"/>
            </w:tcMar>
            <w:vAlign w:val="center"/>
          </w:tcPr>
          <w:p>
            <w:pPr>
              <w:jc w:val="left"/>
            </w:pPr>
            <w:r>
              <w:rPr>
                <w:sz w:val="19"/>
              </w:rPr>
              <w:t>压低定价和毛利率</w:t>
            </w:r>
          </w:p>
        </w:tc>
      </w:tr>
      <w:tr>
        <w:tc>
          <w:tcPr>
            <w:tcW w:type="dxa" w:w="1800"/>
            <w:tcMar>
              <w:top w:w="80" w:type="dxa"/>
              <w:bottom w:w="80" w:type="dxa"/>
              <w:start w:w="120" w:type="dxa"/>
              <w:end w:w="120" w:type="dxa"/>
            </w:tcMar>
            <w:vAlign w:val="center"/>
          </w:tcPr>
          <w:p>
            <w:pPr>
              <w:jc w:val="center"/>
            </w:pPr>
            <w:r>
              <w:rPr>
                <w:sz w:val="19"/>
              </w:rPr>
              <w:t>财务杠杆风险</w:t>
            </w:r>
          </w:p>
        </w:tc>
        <w:tc>
          <w:tcPr>
            <w:tcW w:type="dxa" w:w="5000"/>
            <w:tcMar>
              <w:top w:w="80" w:type="dxa"/>
              <w:bottom w:w="80" w:type="dxa"/>
              <w:start w:w="120" w:type="dxa"/>
              <w:end w:w="120" w:type="dxa"/>
            </w:tcMar>
            <w:vAlign w:val="center"/>
          </w:tcPr>
          <w:p>
            <w:pPr>
              <w:jc w:val="left"/>
            </w:pPr>
            <w:r>
              <w:rPr>
                <w:sz w:val="19"/>
              </w:rPr>
              <w:t>总债务仍高，负权益结构使传统杠杆指标复杂</w:t>
            </w:r>
          </w:p>
        </w:tc>
        <w:tc>
          <w:tcPr>
            <w:tcW w:type="dxa" w:w="2560"/>
            <w:tcMar>
              <w:top w:w="80" w:type="dxa"/>
              <w:bottom w:w="80" w:type="dxa"/>
              <w:start w:w="120" w:type="dxa"/>
              <w:end w:w="120" w:type="dxa"/>
            </w:tcMar>
            <w:vAlign w:val="center"/>
          </w:tcPr>
          <w:p>
            <w:pPr>
              <w:jc w:val="left"/>
            </w:pPr>
            <w:r>
              <w:rPr>
                <w:sz w:val="19"/>
              </w:rPr>
              <w:t>高利率或现金流转弱时压制估值</w:t>
            </w:r>
          </w:p>
        </w:tc>
      </w:tr>
    </w:tbl>
    <w:p/>
    <w:p>
      <w:pPr>
        <w:pStyle w:val="Heading2"/>
      </w:pPr>
      <w:r>
        <w:t>11.2 建议跟踪指标</w:t>
      </w:r>
    </w:p>
    <w:p>
      <w:pPr>
        <w:pStyle w:val="ListBullet"/>
        <w:spacing w:after="80" w:line="280" w:lineRule="auto"/>
        <w:ind w:left="720" w:hanging="360"/>
      </w:pPr>
      <w:r>
        <w:t>AI-optimized servers revenue、orders、backlog 和 FY2027 600 亿美元收入目标兑现情况。</w:t>
      </w:r>
    </w:p>
    <w:p>
      <w:pPr>
        <w:pStyle w:val="ListBullet"/>
        <w:spacing w:after="80" w:line="280" w:lineRule="auto"/>
        <w:ind w:left="720" w:hanging="360"/>
      </w:pPr>
      <w:r>
        <w:t>ISG 营业利润率是否维持在 10% 以上，AI 服务器规模化是否继续压低毛利率。</w:t>
      </w:r>
    </w:p>
    <w:p>
      <w:pPr>
        <w:pStyle w:val="ListBullet"/>
        <w:spacing w:after="80" w:line="280" w:lineRule="auto"/>
        <w:ind w:left="720" w:hanging="360"/>
      </w:pPr>
      <w:r>
        <w:t>Storage 收入增速，尤其是 AI 服务器相关存储 attach 和数据管线需求。</w:t>
      </w:r>
    </w:p>
    <w:p>
      <w:pPr>
        <w:pStyle w:val="ListBullet"/>
        <w:spacing w:after="80" w:line="280" w:lineRule="auto"/>
        <w:ind w:left="720" w:hanging="360"/>
      </w:pPr>
      <w:r>
        <w:t>经营现金流、调整后自由现金流、应收、库存、应付账款和现金转换周期。</w:t>
      </w:r>
    </w:p>
    <w:p>
      <w:pPr>
        <w:pStyle w:val="ListBullet"/>
        <w:spacing w:after="80" w:line="280" w:lineRule="auto"/>
        <w:ind w:left="720" w:hanging="360"/>
      </w:pPr>
      <w:r>
        <w:t>GPU 供应节奏、液冷/机柜能力、客户验收和交付周期。</w:t>
      </w:r>
    </w:p>
    <w:p>
      <w:pPr>
        <w:pStyle w:val="ListBullet"/>
        <w:spacing w:after="80" w:line="280" w:lineRule="auto"/>
        <w:ind w:left="720" w:hanging="360"/>
      </w:pPr>
      <w:r>
        <w:t>CSG Commercial Client 增速和 AI PC / Windows 更新周期。</w:t>
      </w:r>
    </w:p>
    <w:p>
      <w:pPr>
        <w:pStyle w:val="ListBullet"/>
        <w:spacing w:after="80" w:line="280" w:lineRule="auto"/>
        <w:ind w:left="720" w:hanging="360"/>
      </w:pPr>
      <w:r>
        <w:t>净债务、短期债务滚动、利息成本和回购/分红节奏。</w:t>
      </w:r>
    </w:p>
    <w:p>
      <w:pPr>
        <w:pStyle w:val="ListBullet"/>
        <w:spacing w:after="80" w:line="280" w:lineRule="auto"/>
        <w:ind w:left="720" w:hanging="360"/>
      </w:pPr>
      <w:r>
        <w:t>竞争对手 Supermicro、HPE、Lenovo 的 AI server margin 和订单变化。</w:t>
      </w:r>
    </w:p>
    <w:p>
      <w:pPr>
        <w:pStyle w:val="Heading1"/>
      </w:pPr>
      <w:r>
        <w:t>十二、研究结论</w:t>
      </w:r>
    </w:p>
    <w:p>
      <w:pPr>
        <w:pStyle w:val="Heading2"/>
      </w:pPr>
      <w:r>
        <w:t>12.1 投资亮点</w:t>
      </w:r>
    </w:p>
    <w:p>
      <w:pPr>
        <w:pStyle w:val="ListBullet"/>
        <w:spacing w:after="80" w:line="280" w:lineRule="auto"/>
        <w:ind w:left="720" w:hanging="360"/>
      </w:pPr>
      <w:r>
        <w:t>Dell 已成为 AI 服务器规模化落地的核心受益者，FY2027 Q1 AI server revenue 达 161.32 亿美元。</w:t>
      </w:r>
    </w:p>
    <w:p>
      <w:pPr>
        <w:pStyle w:val="ListBullet"/>
        <w:spacing w:after="80" w:line="280" w:lineRule="auto"/>
        <w:ind w:left="720" w:hanging="360"/>
      </w:pPr>
      <w:r>
        <w:t>FY2027 Q1 AI orders 244 亿美元，FY2026 期末 AI backlog 430 亿美元，收入可见度强。</w:t>
      </w:r>
    </w:p>
    <w:p>
      <w:pPr>
        <w:pStyle w:val="ListBullet"/>
        <w:spacing w:after="80" w:line="280" w:lineRule="auto"/>
        <w:ind w:left="720" w:hanging="360"/>
      </w:pPr>
      <w:r>
        <w:t>ISG 收入 FY2027 Q1 同比增长 181%，营业利润同比增长 206%，公司增长中枢明显上移。</w:t>
      </w:r>
    </w:p>
    <w:p>
      <w:pPr>
        <w:pStyle w:val="ListBullet"/>
        <w:spacing w:after="80" w:line="280" w:lineRule="auto"/>
        <w:ind w:left="720" w:hanging="360"/>
      </w:pPr>
      <w:r>
        <w:t>CSG 商用 PC 仍提供现金流底盘，Commercial Client FY2027 Q1 收入同比增长 18%。</w:t>
      </w:r>
    </w:p>
    <w:p>
      <w:pPr>
        <w:pStyle w:val="ListBullet"/>
        <w:spacing w:after="80" w:line="280" w:lineRule="auto"/>
        <w:ind w:left="720" w:hanging="360"/>
      </w:pPr>
      <w:r>
        <w:t>FY2026 调整后自由现金流 115.08 亿美元，支持高回购、分红和债务管理。</w:t>
      </w:r>
    </w:p>
    <w:p>
      <w:pPr>
        <w:pStyle w:val="ListBullet"/>
        <w:spacing w:after="80" w:line="280" w:lineRule="auto"/>
        <w:ind w:left="720" w:hanging="360"/>
      </w:pPr>
      <w:r>
        <w:t>企业客户、存储、服务、融资和全球交付能力，使 Dell 相比纯硬件组装商具备更完整的 AI 基础设施交付能力。</w:t>
      </w:r>
    </w:p>
    <w:p>
      <w:pPr>
        <w:pStyle w:val="Heading2"/>
      </w:pPr>
      <w:r>
        <w:t>12.2 审慎事项</w:t>
      </w:r>
    </w:p>
    <w:p>
      <w:pPr>
        <w:pStyle w:val="ListBullet"/>
        <w:spacing w:after="80" w:line="280" w:lineRule="auto"/>
        <w:ind w:left="720" w:hanging="360"/>
      </w:pPr>
      <w:r>
        <w:t>Dell 不是 NVIDIA 式高毛利平台公司，AI 服务器收入高增会带来毛利率和营运资本压力。</w:t>
      </w:r>
    </w:p>
    <w:p>
      <w:pPr>
        <w:pStyle w:val="ListBullet"/>
        <w:spacing w:after="80" w:line="280" w:lineRule="auto"/>
        <w:ind w:left="720" w:hanging="360"/>
      </w:pPr>
      <w:r>
        <w:t>FY2027 Q1 毛利率降至 17.8%，说明 AI mix 对利润率的稀释真实存在。</w:t>
      </w:r>
    </w:p>
    <w:p>
      <w:pPr>
        <w:pStyle w:val="ListBullet"/>
        <w:spacing w:after="80" w:line="280" w:lineRule="auto"/>
        <w:ind w:left="720" w:hanging="360"/>
      </w:pPr>
      <w:r>
        <w:t>总债务和供应链应付款规模较大，负权益结构使传统杠杆指标失真，必须看现金流和净债务。</w:t>
      </w:r>
    </w:p>
    <w:p>
      <w:pPr>
        <w:pStyle w:val="ListBullet"/>
        <w:spacing w:after="80" w:line="280" w:lineRule="auto"/>
        <w:ind w:left="720" w:hanging="360"/>
      </w:pPr>
      <w:r>
        <w:t>若存储、服务和企业 AI 解决方案不能随服务器出货提升，Dell 估值仍可能被限制在硬件集成商区间。</w:t>
      </w:r>
    </w:p>
    <w:p>
      <w:pPr>
        <w:pStyle w:val="Heading2"/>
      </w:pPr>
      <w:r>
        <w:t>12.3 最终判断</w:t>
      </w:r>
    </w:p>
    <w:tbl>
      <w:tblPr>
        <w:tblStyle w:val="TableGrid"/>
        <w:tblW w:type="dxa" w:w="9360"/>
        <w:jc w:val="center"/>
        <w:tblLook w:firstColumn="1" w:firstRow="1" w:lastColumn="0" w:lastRow="0" w:noHBand="0" w:noVBand="1" w:val="04A0"/>
        <w:tblInd w:w="120" w:type="dxa"/>
      </w:tblPr>
      <w:tblGrid>
        <w:gridCol w:w="9360"/>
      </w:tblGrid>
      <w:tr>
        <w:tc>
          <w:tcPr>
            <w:tcW w:type="dxa" w:w="9360"/>
            <w:shd w:fill="EAF4EA"/>
            <w:tcMar>
              <w:top w:w="80" w:type="dxa"/>
              <w:bottom w:w="80" w:type="dxa"/>
              <w:start w:w="120" w:type="dxa"/>
              <w:end w:w="120" w:type="dxa"/>
            </w:tcMar>
            <w:vAlign w:val="center"/>
          </w:tcPr>
          <w:p>
            <w:r>
              <w:rPr>
                <w:b/>
                <w:color w:val="1F4D78"/>
              </w:rPr>
              <w:t>结论：</w:t>
            </w:r>
            <w:r>
              <w:t xml:space="preserve"> Dell 是 AI 基础设施周期中最值得跟踪的“交付层龙头”之一。短期股价弹性来自 AI 服务器订单和 FY2027 指引上修，中期估值质量取决于毛利率、存储 attach、自由现金流和净债务改善。适合积极关注，但需要用财务杠杆和现金转换纪律约束 AI 叙事。</w:t>
            </w:r>
          </w:p>
        </w:tc>
      </w:tr>
    </w:tbl>
    <w:p/>
    <w:p>
      <w:pPr>
        <w:pStyle w:val="Heading2"/>
      </w:pPr>
      <w:r>
        <w:t>资料来源</w:t>
      </w:r>
    </w:p>
    <w:p>
      <w:pPr>
        <w:spacing w:after="80"/>
      </w:pPr>
      <w:r>
        <w:rPr>
          <w:color w:val="585858"/>
          <w:sz w:val="18"/>
        </w:rPr>
        <w:t>Dell Technologies Investor Relations, Quarterly Results page. https://investors.delltechnologies.com/financial-information/quarterly-results</w:t>
      </w:r>
    </w:p>
    <w:p>
      <w:pPr>
        <w:spacing w:after="80"/>
      </w:pPr>
      <w:r>
        <w:rPr>
          <w:color w:val="585858"/>
          <w:sz w:val="18"/>
        </w:rPr>
        <w:t>Dell Technologies, Dell Technologies Delivers First Quarter Fiscal 2027 Financial Results, May 28, 2026. https://investors.delltechnologies.com/static-files/ef369f17-2b83-4fd4-9a37-6b6ab53ac9c5</w:t>
      </w:r>
    </w:p>
    <w:p>
      <w:pPr>
        <w:spacing w:after="80"/>
      </w:pPr>
      <w:r>
        <w:rPr>
          <w:color w:val="585858"/>
          <w:sz w:val="18"/>
        </w:rPr>
        <w:t>Dell Technologies, Q1 FY27 Financial Tables. https://investors.delltechnologies.com/static-files/05af7a65-5059-4955-a4b3-7f79494b664c</w:t>
      </w:r>
    </w:p>
    <w:p>
      <w:pPr>
        <w:spacing w:after="80"/>
      </w:pPr>
      <w:r>
        <w:rPr>
          <w:color w:val="585858"/>
          <w:sz w:val="18"/>
        </w:rPr>
        <w:t>Dell Technologies, Dell Technologies Delivers Fourth Quarter and Full-Year Fiscal 2026 Results, Feb. 26, 2026. https://investors.delltechnologies.com/static-files/cbb4c668-2613-4d5c-a7dc-98fe4592b5a5</w:t>
      </w:r>
    </w:p>
    <w:p>
      <w:pPr>
        <w:spacing w:after="80"/>
      </w:pPr>
      <w:r>
        <w:rPr>
          <w:color w:val="585858"/>
          <w:sz w:val="18"/>
        </w:rPr>
        <w:t>Dell Technologies, Q4 FY26 Financial Tables. https://investors.delltechnologies.com/static-files/6903dc65-c074-41ae-abf4-dc9053eb1c2a</w:t>
      </w:r>
    </w:p>
    <w:p>
      <w:pPr>
        <w:spacing w:after="80"/>
      </w:pPr>
      <w:r>
        <w:rPr>
          <w:color w:val="585858"/>
          <w:sz w:val="18"/>
        </w:rPr>
        <w:t>Dell Technologies Investor Relations, SEC Filings page. https://investors.delltechnologies.com/financial-information/sec-filings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5858"/>
        <w:sz w:val="18"/>
      </w:rPr>
      <w:t>仅供研究参考，不构成投资建议</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