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erif CJK SC" w:hAnsi="Noto Serif CJK SC" w:eastAsia="Noto Serif CJK SC"/>
          <w:b/>
          <w:color w:val="1F4E79"/>
          <w:sz w:val="52"/>
        </w:rPr>
        <w:t>四篇AI算力链文章</w:t>
        <w:br/>
        <w:t>摘要总结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/>
          <w:color w:val="566573"/>
          <w:sz w:val="26"/>
        </w:rPr>
        <w:t>PCB钻针｜光模块上游｜高通AI推理｜英特尔反转</w:t>
      </w:r>
    </w:p>
    <w:p>
      <w:pPr>
        <w:jc w:val="center"/>
      </w:pPr>
      <w:r>
        <w:rPr>
          <w:rFonts w:ascii="Noto Sans CJK SC" w:hAnsi="Noto Sans CJK SC" w:eastAsia="Noto Sans CJK SC"/>
          <w:color w:val="7F8C8D"/>
          <w:sz w:val="21"/>
        </w:rPr>
        <w:t>整理日期：2026年6月20日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9972"/>
      </w:tblGrid>
      <w:tr>
        <w:tc>
          <w:tcPr>
            <w:tcW w:type="dxa" w:w="9972"/>
            <w:shd w:fill="F2F4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整理说明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本文基于用户提供的四篇文章进行归纳整理，重点提炼产业链逻辑、核心矛盾、受益环节与风险点。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文中数字、公司事件与投资判断均来自原文内容，未进行外部事实核验。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本文用于阅读、讨论和二次创作参考，不构成任何投资建议。</w:t>
            </w:r>
          </w:p>
        </w:tc>
      </w:tr>
    </w:tbl>
    <w:p/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一、总摘要：四篇文章共同讲的是“AI算力链再定价”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四篇文章虽然分别落在PCB钻针、光模块上游、高通和英特尔四个不同对象上，但主线高度一致：AI算力需求正在把产业链里原本被低估的环节重新定价，尤其是材料、设备、耗材、封装、推理芯片和先进制造等“隐形瓶颈”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过去市场更容易关注GPU、服务器、光模块成品等显性环节；现在文章强调的机会正在向上游扩散：谁能解决有效供给、良率、客户认证、材料卡位、软件生态和资本投入问题，谁就更可能承接AI基础设施投资的下一阶段红利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一句话总判断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AI算力链的投资焦点，正在从“有没有需求”转向“谁能提供可验证、可量产、可被客户长期绑定的有效供给”。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越是卡在材料、设备、测试、封装、客户认证和软件生态中的瓶颈环节，越容易出现利润率提升和估值重构。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二、四篇文章定位速览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文章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一句话摘要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最关键变量</w:t>
            </w:r>
          </w:p>
        </w:tc>
      </w:tr>
      <w:tr>
        <w:trPr>
          <w:cantSplit w:val="true"/>
        </w:trPr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PCB钻针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高端微钻、M9材料、纳米级碳化钨粉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从普通制造业耗材，重估为AI服务器PCB扩产中的关键瓶颈耗材。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高端微钻能力、上游棒材与碳化钨粉、客户认证周期</w:t>
            </w:r>
          </w:p>
        </w:tc>
      </w:tr>
      <w:tr>
        <w:trPr>
          <w:cantSplit w:val="true"/>
        </w:trP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光模块上游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芯片、设备、无源器件、锡膏耗材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光模块利润并不主要留在封装厂，而是流向上游芯片、测试设备、耦合设备和高端耗材。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1.6T/3.2T升级、国产测试设备突破、高端锡膏替代</w:t>
            </w:r>
          </w:p>
        </w:tc>
      </w:tr>
      <w:tr>
        <w:trPr>
          <w:cantSplit w:val="true"/>
        </w:trPr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高通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AI推理加速器、Dragonfly、AI200/AI250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股价上涨的核心不是手机业务，而是市场开始为数据中心AI推理故事重新定价。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6月24日投资者日、新客户、收入路径、TCO和软件生态</w:t>
            </w:r>
          </w:p>
        </w:tc>
      </w:tr>
      <w:tr>
        <w:trPr>
          <w:cantSplit w:val="true"/>
        </w:trP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英特尔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陈立武改革、先进封装、材料、代工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英特尔试图从传统制造公司转向材料与先进封装平台公司，靠组织、资本和路线图完成困境反转。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18A良率、EMIB量产、客户信任、政府/产业资本支持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三、单篇摘要一：PCB钻针——从低景气耗材到AI PCB核心瓶颈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1. 核心逻辑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原文认为，PCB钻针行业在不到两年时间内完成了从“低景气加工型行业”到“AI算力链核心耗材”的产业重定价。推动因素不是单纯扩产，而是GB200、Rubin等AI服务器架构带来PCB高多层、微孔化和高难度加工需求，显著提升钻针消耗量和高端微钻价格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2. 三阶段模型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行业状态</w:t>
            </w:r>
          </w:p>
        </w:tc>
        <w:tc>
          <w:tcPr>
            <w:tcW w:type="dxa" w:w="2493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定价逻辑</w:t>
            </w:r>
          </w:p>
        </w:tc>
      </w:tr>
      <w:tr>
        <w:trPr>
          <w:cantSplit w:val="true"/>
        </w:trPr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阶段一：低景气筑底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2025年之前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消费电子和普通服务器为主，需求低迷、同质化竞争、价格战明显。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按“原材料+加工费”定价，技术差异难以形成溢价。</w:t>
            </w:r>
          </w:p>
        </w:tc>
      </w:tr>
      <w:tr>
        <w:trPr>
          <w:cantSplit w:val="true"/>
        </w:trP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阶段二：双寡头强化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2025年至2026年初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GB200放量，AI服务器带动PCB层数、孔密度和加工难度提升，鼎泰高科与金洲精工优势放大。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市场开始把钻针理解为AI PCB扩产中的瓶颈耗材，量价齐升。</w:t>
            </w:r>
          </w:p>
        </w:tc>
      </w:tr>
      <w:tr>
        <w:trPr>
          <w:cantSplit w:val="true"/>
        </w:trPr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阶段三：多元竞合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2026Q1以后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Rubin全面投产，并购潮带动二线厂商和新势力入局，格局由双寡头转向“头部+新势力”。</w:t>
            </w:r>
          </w:p>
        </w:tc>
        <w:tc>
          <w:tcPr>
            <w:tcW w:type="dxa" w:w="2493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从头部业绩弹性扩散到全行业供给重构和资产重估。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3. 真正的胜负手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第一，能否做出适配M9材料的高端微钻。高端板材更硬、更难加工，普通产能无法直接转化为有效供给。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第二，能否掌握或稳定获得纳米级碳化钨粉和高端棒材。原文将上游材料定义为决定扩产能否落地的核心变量。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第三，能否通过头部PCB客户的长周期认证。高端微钻断针可能导致整块高多层PCB报废，客户验证周期长、导入后粘性强。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4. 产业启示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这一篇文章最重要的启示是：“扩产能”不等于“扩有效供给”。高端钻针的价值不只在加工环节，而在材料、设备、工艺、涂层、一致性控制和客户认证共同构成的系统能力。后续跟踪应重点看M9材料验证进展、0.2mm以下微钻占比、涂层钻针占比、纳米级碳化钨粉国产化和下游核心客户导入情况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四、单篇摘要二：光模块上游——利润在芯片，弹性在设备与耗材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1. 核心逻辑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原文指出，中国厂商在光模块封装环节拥有全球优势，但封装本身更像“高端组装”，利润率不如上游芯片、设备和耗材。光模块产业链的关键不是只看出货量，而要拆分BOM成本和产线投资，找出利润集中、壁垒更高、国产替代弹性更大的环节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2. 上游四层金字塔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价值与壁垒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基础原材料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InP、GaAs衬底，高速基材，锡粉、陶瓷粉料等。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单品价值占比不一定高，但高端衬底长期被海外垄断，是底层卡脖子环节。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核心芯片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DSP、驱动芯片、TIA、EML激光器、硅光芯片等。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BOM成本大头，DSP和高端光芯片利润率高，国产替代难度也最大。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无源器件与结构件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透镜、光隔离器、陶瓷基座、高速PCB、金属结构件等。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国内厂商已有较强竞争力，属于“稳健但弹性有限”的环节。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封装制造设备与耗材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测试老化、光学耦合、贴片、AOI、锡膏等。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扩产周期中确定性强，设备投资占比高，高端耗材具备量价齐升属性。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3. 价值链重点排序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物料端：DSP和高端光芯片拿走大部分利润，其中DSP和高速光芯片仍是高壁垒、强海外主导环节。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设备端：产线投资中老化测试设备价值量最高，其次是光学耦合，再到共晶贴片、普通固晶和AOI。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耗材端：微电子锡膏具备“高频消耗+技术升级+国产替代”三重逻辑，原文将其类比为光模块产业链里的“钻针级”赛道。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4. 产业启示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这篇文章的结论是，光模块成品厂虽然处于AI算力显性需求中心，但利润弹性更值得向上游寻找。短期更具业绩兑现确定性的方向可能是测试设备、光学耦合设备、共晶贴片设备和高端锡膏；中长期更大但更难的方向，则是DSP、高端EML、硅光芯片和高端衬底国产替代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五、单篇摘要三：高通——AI推理故事能否完成第二曲线重估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1. 核心逻辑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原文认为，高通近期股价上涨的核心并不是手机业务改善，而是市场开始给高通的数据中心AI推理故事定价。手机基带、安卓周期、苹果流失和联发科竞争仍然压制传统估值，但AI推理可能打开新的估值框架。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2. 为什么是AI推理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训练侧高度依赖英伟达CUDA生态，集中度高、成本敏感度相对较低；推理侧更像“供水系统”，每个token成本、功耗、内存容量和TCO更关键。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高通过去在手机SoC中积累的低功耗计算、连接和系统集成能力，与推理数据中心的能效诉求存在逻辑上的可迁移性。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AI200和AI250收在Dragonfly数据中心品牌下，卖点包括机柜级推理、较大LPDDR内存容量、能效和总拥有成本。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3. 市场等待的验证点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验证点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市场想看到什么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新客户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除HUMAIN以外，是否出现第二个主权AI客户、AI云客户或西方云厂商。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决定高通AI200/AI250是否只是样板单，还是可复制的商业机会。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收入路径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2026商业化、2027爬坡、2028-2029规模化收入框架是否清晰。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决定AI故事能否进入市场模型，而不是停留在叙事层面。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TCO与软件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每token成本、每瓦性能、部署和迁移成本、软件兼容是否能讲清并被验证。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决定客户是否愿意把推理负载从成熟GPU生态迁移出来。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4. 风险与结论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高通的机会在于推理市场可能走向多元化，尤其是主权AI、AI云和端云协同客户需要英伟达之外的方案。但风险同样明显：手机基本盘仍有苹果基带退出压力，PC端受到英伟达、联发科和微软联手冲击，数据中心业务也需要证明新客户、软件生态和收入兑现能力。原文对6月24日投资者日的判断是：若有新客户、收入框架和TCO/软件细节，重估可继续；若只是重复愿景，则可能出现“利好出尽”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六、单篇摘要四：英特尔——陈立武治下的困境反转与范式迁移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1. 核心逻辑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第四篇文章围绕英特尔CEO陈立武接受No Priors播客访谈展开。原文认为，陈立武正在把英特尔从一家传统制造公司，转向更强调先进封装、材料科学、系统级方案和工程师文化的平台型公司。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2. 改革主线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改革方向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原文要点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战略意义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组织与文化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砍掉一半管理层级，让工程团队直接向CEO汇报，关键岗位亲自招聘。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修复官僚化问题，重建工程师文化和客户响应速度。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资产负债表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通过政府注资、英伟达投资和市场回升修复财务压力。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为代工、封装和新材料等重资本业务争取时间与信任背书。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技术路线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18A、14A及更先进节点继续推进，同时强化EMIB、玻璃基板、人造金刚石、GaN、SiC、InP等材料方向。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不只与台积电竞争制程微缩，而是试图在先进封装和材料平台上寻找差异化。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AI与CPU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智能体AI和推理需求推动CPU重要性回升，CPU与GPU配比可能从1:8向1:4演变。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为英特尔数据中心CPU和系统方案提供新的需求叙事。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3. 成功要素与风险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成功要素：路线图清晰、资本运作能力突出、材料与先进封装具备差异化、组织效率开始改善。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核心风险：18A及后续节点的良率和成本、EMIB量产良率、少数大客户依赖、地缘政治不确定性、代工业务资本消耗和长周期竞争。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color w:val="2C3E50"/>
          <w:sz w:val="27"/>
        </w:rPr>
        <w:t>4. 产业启示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英特尔这篇文章与前三篇的共同点在于，它同样强调“瓶颈处重估”。只是PCB钻针和光模块文章强调微观耗材与设备瓶颈，高通强调推理计算瓶颈，英特尔则把瓶颈上升到国家级制造、先进封装、材料和资本结构层面。后续跟踪应聚焦18A量产进度、EMIB客户与良率、英伟达定制CPU合作反馈、代工毛利率以及陈立武持续组织改造成效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七、横向对比：四篇文章的共同框架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199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199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PCB钻针</w:t>
            </w:r>
          </w:p>
        </w:tc>
        <w:tc>
          <w:tcPr>
            <w:tcW w:type="dxa" w:w="199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光模块上游</w:t>
            </w:r>
          </w:p>
        </w:tc>
        <w:tc>
          <w:tcPr>
            <w:tcW w:type="dxa" w:w="199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高通</w:t>
            </w:r>
          </w:p>
        </w:tc>
        <w:tc>
          <w:tcPr>
            <w:tcW w:type="dxa" w:w="199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英特尔</w:t>
            </w:r>
          </w:p>
        </w:tc>
      </w:tr>
      <w:tr>
        <w:trPr>
          <w:cantSplit w:val="true"/>
        </w:trPr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重估起点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AI PCB高多层、微孔化带来钻针量价齐升。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800G/1.6T/3.2T升级带来芯片、设备、耗材价值提升。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AI推理需求让市场重新评价高通的低功耗计算能力。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AI与供应链安全推动先进制造、封装和材料战略价值上升。</w:t>
            </w:r>
          </w:p>
        </w:tc>
      </w:tr>
      <w:tr>
        <w:trPr>
          <w:cantSplit w:val="true"/>
        </w:trPr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核心瓶颈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M9材料加工、高端微钻、纳米碳化钨粉、高精度磨床。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DSP/光芯片、测试老化、光学耦合、高端锡膏。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新客户、TCO、软件生态、收入兑现。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18A良率、EMIB量产、客户信任、资本持续投入。</w:t>
            </w:r>
          </w:p>
        </w:tc>
      </w:tr>
      <w:tr>
        <w:trPr>
          <w:cantSplit w:val="true"/>
        </w:trPr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受益方式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有效供给紧缺带来价格和利润率提升，并购重估二线产能。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设备订单、高端耗材消耗和国产替代带来业绩弹性。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若AI200/AI250落地，估值从手机周期股向AI推理设计公司切换。</w:t>
            </w:r>
          </w:p>
        </w:tc>
        <w:tc>
          <w:tcPr>
            <w:tcW w:type="dxa" w:w="199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若技术路线兑现，市值从困境反转走向平台型半导体公司重估。</w:t>
            </w:r>
          </w:p>
        </w:tc>
      </w:tr>
      <w:tr>
        <w:trPr>
          <w:cantSplit w:val="true"/>
        </w:trPr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最大风险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盲目扩产、材料短缺、良率不足、客户认证不通过。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芯片国产替代难、设备突破慢、下游扩产节奏波动。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发布会不及预期、没有新客户、软件迁移难、传统业务下滑。</w:t>
            </w:r>
          </w:p>
        </w:tc>
        <w:tc>
          <w:tcPr>
            <w:tcW w:type="dxa" w:w="19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5"/>
              </w:rPr>
              <w:t>制程和封装落地不及预期、资本开支压力、政治和客户集中风险。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八、可复用的产业链分析框架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先判断需求是否已经从主题叙事变成实际订单。PCB钻针看GB200/Rubin，光模块看1.6T/3.2T扩产，高通看AI200/AI250客户，英特尔看代工与封装客户。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再判断供给是不是“有效供给”。名义产能可以靠资本快速扩张，但高端微钻、测试设备、推理软件生态和先进封装良率都需要时间验证。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第三看瓶颈是否具备客户粘性。一旦进入头部PCB、光模块、云厂商或晶圆代工客户体系，替换成本高，利润和估值更容易稳定。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第四看国产替代是否从“价格替代”升级为“供应安全替代”。文章中的钨材料、测试仪器、高端锡膏、先进制造都体现出供应链安全的溢价。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最后看估值阶段。早期买的是故事，中期看订单和收入框架，后期必须看毛利率、良率、现金流和客户复购。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九、后续跟踪清单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C9CA"/>
          <w:left w:val="single" w:sz="6" w:space="0" w:color="BFC9CA"/>
          <w:bottom w:val="single" w:sz="6" w:space="0" w:color="BFC9CA"/>
          <w:right w:val="single" w:sz="6" w:space="0" w:color="BFC9CA"/>
          <w:insideH w:val="single" w:sz="6" w:space="0" w:color="BFC9CA"/>
          <w:insideV w:val="single" w:sz="6" w:space="0" w:color="BFC9CA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应重点跟踪的指标</w:t>
            </w:r>
          </w:p>
        </w:tc>
        <w:tc>
          <w:tcPr>
            <w:tcW w:type="dxa" w:w="3324"/>
            <w:shd w:fill="1F4E79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判断意义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PCB钻针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0.2mm以下微钻占比、M9材料验证、涂层钻针占比、纳米WC粉国产化、高端棒材供应、核心PCB客户导入。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判断扩产是否能变成高端有效供给。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光模块上游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1.6T/3.2T订单、测试老化设备国产替代、耦合设备订单、高端锡膏客户认证、DSP与光芯片国产替代进展。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判断上游设备与耗材能否获得比封装环节更高弹性。</w:t>
            </w:r>
          </w:p>
        </w:tc>
      </w:tr>
      <w:tr>
        <w:trPr>
          <w:cantSplit w:val="true"/>
        </w:trPr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高通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投资者日披露的新客户、AI200/AI250商业化节奏、数据中心收入框架、TCO实测、软件工具链兼容性。</w:t>
            </w:r>
          </w:p>
        </w:tc>
        <w:tc>
          <w:tcPr>
            <w:tcW w:type="dxa" w:w="3324"/>
            <w:shd w:fill="FAFA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判断AI推理故事能否从估值预期进入业绩模型。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英特尔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18A/14A良率、EMIB量产客户、英伟达定制CPU合作、代工毛利率、政府及产业资本后续支持、管理层执行力。</w:t>
            </w:r>
          </w:p>
        </w:tc>
        <w:tc>
          <w:tcPr>
            <w:tcW w:type="dxa" w:w="3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52" w:lineRule="auto" w:after="0"/>
            </w:pPr>
            <w:r>
              <w:rPr>
                <w:rFonts w:ascii="Noto Sans CJK SC" w:hAnsi="Noto Sans CJK SC" w:eastAsia="Noto Sans CJK SC"/>
                <w:sz w:val="17"/>
              </w:rPr>
              <w:t>判断困境反转是阶段性情绪，还是长期平台化重估。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4"/>
        </w:rPr>
        <w:t>十、最终总结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四篇文章共同指向一个结论：AI算力链已经不再只是GPU和服务器的故事，而是正在向“材料—设备—耗材—封装—推理—先进制造”全链条扩散。越靠近真实瓶颈、越难被快速复制、越需要客户认证和工程积累的环节，越可能在AI基础设施扩张中获得超额回报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PCB钻针代表“小耗材大瓶颈”，光模块上游代表“封装之外的利润迁移”，高通代表“从端侧低功耗能力向云端推理迁移”，英特尔代表“国家级制造与先进封装平台的困境反转”。这四类机会的共性不是概念，而是能否把需求变成可交付、可验证、可盈利的有效供给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因此，后续研究不能只看扩产公告、股价涨幅或主题热度，而应持续追踪订单、良率、客户认证、材料来源、设备交付、软件生态和财务兑现。真正值得重视的公司，不一定是讲故事最响的，而是能在关键瓶颈处稳定交付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9972"/>
      </w:tblGrid>
      <w:tr>
        <w:tc>
          <w:tcPr>
            <w:tcW w:type="dxa" w:w="9972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使用提示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这份摘要适合用作投研会议纪要、产业链复盘、二次写作提纲或内部分享材料。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• 若用于正式发布，建议进一步核验原文中的股价、财务预测、市场份额、客户订单和并购进展。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6"/>
      </w:rPr>
      <w:t>四篇AI算力链文章摘要总结｜基于用户提供材料整理｜不构成投资建议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