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Microsoft YaHei"/>
          <w:b/>
          <w:color w:val="141F30"/>
          <w:sz w:val="44"/>
        </w:rPr>
        <w:t>高通公司深度研究报告</w:t>
      </w:r>
    </w:p>
    <w:p>
      <w:pPr>
        <w:jc w:val="center"/>
      </w:pPr>
      <w:r>
        <w:rPr>
          <w:color w:val="585858"/>
          <w:sz w:val="24"/>
        </w:rPr>
        <w:t>QUALCOMM Incorporated（NASDAQ: QCOM）</w:t>
      </w:r>
    </w:p>
    <w:tbl>
      <w:tblPr>
        <w:tblStyle w:val="TableGrid"/>
        <w:tblW w:type="dxa" w:w="9360"/>
        <w:jc w:val="center"/>
        <w:tblLook w:firstColumn="1" w:firstRow="1" w:lastColumn="0" w:lastRow="0" w:noHBand="0" w:noVBand="1" w:val="04A0"/>
        <w:tblInd w:w="120" w:type="dxa"/>
      </w:tblPr>
      <w:tblGrid>
        <w:gridCol w:w="2200"/>
        <w:gridCol w:w="7160"/>
      </w:tblGrid>
      <w:tr>
        <w:trPr>
          <w:tblHeader w:val="true"/>
        </w:trPr>
        <w:tc>
          <w:tcPr>
            <w:tcW w:type="dxa" w:w="2200"/>
            <w:shd w:fill="E8EEF5"/>
            <w:tcMar>
              <w:top w:w="80" w:type="dxa"/>
              <w:bottom w:w="80" w:type="dxa"/>
              <w:start w:w="120" w:type="dxa"/>
              <w:end w:w="120" w:type="dxa"/>
            </w:tcMar>
            <w:vAlign w:val="center"/>
          </w:tcPr>
          <w:p>
            <w:pPr>
              <w:jc w:val="center"/>
            </w:pPr>
            <w:r>
              <w:rPr>
                <w:b/>
                <w:sz w:val="19"/>
              </w:rPr>
              <w:t>报告要素</w:t>
            </w:r>
          </w:p>
        </w:tc>
        <w:tc>
          <w:tcPr>
            <w:tcW w:type="dxa" w:w="7160"/>
            <w:shd w:fill="E8EEF5"/>
            <w:tcMar>
              <w:top w:w="80" w:type="dxa"/>
              <w:bottom w:w="80" w:type="dxa"/>
              <w:start w:w="120" w:type="dxa"/>
              <w:end w:w="120" w:type="dxa"/>
            </w:tcMar>
            <w:vAlign w:val="center"/>
          </w:tcPr>
          <w:p>
            <w:pPr>
              <w:jc w:val="center"/>
            </w:pPr>
            <w:r>
              <w:rPr>
                <w:b/>
                <w:sz w:val="19"/>
              </w:rPr>
              <w:t>内容</w:t>
            </w:r>
          </w:p>
        </w:tc>
      </w:tr>
      <w:tr>
        <w:tc>
          <w:tcPr>
            <w:tcW w:type="dxa" w:w="2200"/>
            <w:tcMar>
              <w:top w:w="80" w:type="dxa"/>
              <w:bottom w:w="80" w:type="dxa"/>
              <w:start w:w="120" w:type="dxa"/>
              <w:end w:w="120" w:type="dxa"/>
            </w:tcMar>
            <w:vAlign w:val="center"/>
          </w:tcPr>
          <w:p>
            <w:pPr>
              <w:jc w:val="center"/>
            </w:pPr>
            <w:r>
              <w:rPr>
                <w:sz w:val="19"/>
              </w:rPr>
              <w:t>报告日期</w:t>
            </w:r>
          </w:p>
        </w:tc>
        <w:tc>
          <w:tcPr>
            <w:tcW w:type="dxa" w:w="7160"/>
            <w:tcMar>
              <w:top w:w="80" w:type="dxa"/>
              <w:bottom w:w="80" w:type="dxa"/>
              <w:start w:w="120" w:type="dxa"/>
              <w:end w:w="120" w:type="dxa"/>
            </w:tcMar>
            <w:vAlign w:val="center"/>
          </w:tcPr>
          <w:p>
            <w:pPr>
              <w:jc w:val="left"/>
            </w:pPr>
            <w:r>
              <w:rPr>
                <w:sz w:val="19"/>
              </w:rPr>
              <w:t>2026年6月4日</w:t>
            </w:r>
          </w:p>
        </w:tc>
      </w:tr>
      <w:tr>
        <w:tc>
          <w:tcPr>
            <w:tcW w:type="dxa" w:w="2200"/>
            <w:tcMar>
              <w:top w:w="80" w:type="dxa"/>
              <w:bottom w:w="80" w:type="dxa"/>
              <w:start w:w="120" w:type="dxa"/>
              <w:end w:w="120" w:type="dxa"/>
            </w:tcMar>
            <w:vAlign w:val="center"/>
          </w:tcPr>
          <w:p>
            <w:pPr>
              <w:jc w:val="center"/>
            </w:pPr>
            <w:r>
              <w:rPr>
                <w:sz w:val="19"/>
              </w:rPr>
              <w:t>研究对象</w:t>
            </w:r>
          </w:p>
        </w:tc>
        <w:tc>
          <w:tcPr>
            <w:tcW w:type="dxa" w:w="7160"/>
            <w:tcMar>
              <w:top w:w="80" w:type="dxa"/>
              <w:bottom w:w="80" w:type="dxa"/>
              <w:start w:w="120" w:type="dxa"/>
              <w:end w:w="120" w:type="dxa"/>
            </w:tcMar>
            <w:vAlign w:val="center"/>
          </w:tcPr>
          <w:p>
            <w:pPr>
              <w:jc w:val="left"/>
            </w:pPr>
            <w:r>
              <w:rPr>
                <w:sz w:val="19"/>
              </w:rPr>
              <w:t>QUALCOMM Incorporated（高通，NASDAQ: QCOM）</w:t>
            </w:r>
          </w:p>
        </w:tc>
      </w:tr>
      <w:tr>
        <w:tc>
          <w:tcPr>
            <w:tcW w:type="dxa" w:w="2200"/>
            <w:tcMar>
              <w:top w:w="80" w:type="dxa"/>
              <w:bottom w:w="80" w:type="dxa"/>
              <w:start w:w="120" w:type="dxa"/>
              <w:end w:w="120" w:type="dxa"/>
            </w:tcMar>
            <w:vAlign w:val="center"/>
          </w:tcPr>
          <w:p>
            <w:pPr>
              <w:jc w:val="center"/>
            </w:pPr>
            <w:r>
              <w:rPr>
                <w:sz w:val="19"/>
              </w:rPr>
              <w:t>研究主题</w:t>
            </w:r>
          </w:p>
        </w:tc>
        <w:tc>
          <w:tcPr>
            <w:tcW w:type="dxa" w:w="7160"/>
            <w:tcMar>
              <w:top w:w="80" w:type="dxa"/>
              <w:bottom w:w="80" w:type="dxa"/>
              <w:start w:w="120" w:type="dxa"/>
              <w:end w:w="120" w:type="dxa"/>
            </w:tcMar>
            <w:vAlign w:val="center"/>
          </w:tcPr>
          <w:p>
            <w:pPr>
              <w:jc w:val="left"/>
            </w:pPr>
            <w:r>
              <w:rPr>
                <w:sz w:val="19"/>
              </w:rPr>
              <w:t>端侧 AI Agent、Snapdragon 平台、车载智能、工业/物联网边缘 AI、授权业务、数据中心定制硅</w:t>
            </w:r>
          </w:p>
        </w:tc>
      </w:tr>
      <w:tr>
        <w:tc>
          <w:tcPr>
            <w:tcW w:type="dxa" w:w="2200"/>
            <w:tcMar>
              <w:top w:w="80" w:type="dxa"/>
              <w:bottom w:w="80" w:type="dxa"/>
              <w:start w:w="120" w:type="dxa"/>
              <w:end w:w="120" w:type="dxa"/>
            </w:tcMar>
            <w:vAlign w:val="center"/>
          </w:tcPr>
          <w:p>
            <w:pPr>
              <w:jc w:val="center"/>
            </w:pPr>
            <w:r>
              <w:rPr>
                <w:sz w:val="19"/>
              </w:rPr>
              <w:t>报告形式</w:t>
            </w:r>
          </w:p>
        </w:tc>
        <w:tc>
          <w:tcPr>
            <w:tcW w:type="dxa" w:w="7160"/>
            <w:tcMar>
              <w:top w:w="80" w:type="dxa"/>
              <w:bottom w:w="80" w:type="dxa"/>
              <w:start w:w="120" w:type="dxa"/>
              <w:end w:w="120" w:type="dxa"/>
            </w:tcMar>
            <w:vAlign w:val="center"/>
          </w:tcPr>
          <w:p>
            <w:pPr>
              <w:jc w:val="left"/>
            </w:pPr>
            <w:r>
              <w:rPr>
                <w:sz w:val="19"/>
              </w:rPr>
              <w:t>参照英伟达公司深度研报结构，强化业务、技术路线、财务数据、竞争格局和风险分析</w:t>
            </w:r>
          </w:p>
        </w:tc>
      </w:tr>
      <w:tr>
        <w:tc>
          <w:tcPr>
            <w:tcW w:type="dxa" w:w="2200"/>
            <w:tcMar>
              <w:top w:w="80" w:type="dxa"/>
              <w:bottom w:w="80" w:type="dxa"/>
              <w:start w:w="120" w:type="dxa"/>
              <w:end w:w="120" w:type="dxa"/>
            </w:tcMar>
            <w:vAlign w:val="center"/>
          </w:tcPr>
          <w:p>
            <w:pPr>
              <w:jc w:val="center"/>
            </w:pPr>
            <w:r>
              <w:rPr>
                <w:sz w:val="19"/>
              </w:rPr>
              <w:t>资料边界</w:t>
            </w:r>
          </w:p>
        </w:tc>
        <w:tc>
          <w:tcPr>
            <w:tcW w:type="dxa" w:w="7160"/>
            <w:tcMar>
              <w:top w:w="80" w:type="dxa"/>
              <w:bottom w:w="80" w:type="dxa"/>
              <w:start w:w="120" w:type="dxa"/>
              <w:end w:w="120" w:type="dxa"/>
            </w:tcMar>
            <w:vAlign w:val="center"/>
          </w:tcPr>
          <w:p>
            <w:pPr>
              <w:jc w:val="left"/>
            </w:pPr>
            <w:r>
              <w:rPr>
                <w:sz w:val="19"/>
              </w:rPr>
              <w:t>截至 2026年6月4日可获取的公开资料；最新财务口径为 FY2026 Q2，季度截至 2026年3月29日</w:t>
            </w:r>
          </w:p>
        </w:tc>
      </w:tr>
    </w:tbl>
    <w:p/>
    <w:p>
      <w:pPr>
        <w:spacing w:after="120" w:line="264" w:lineRule="auto"/>
      </w:pPr>
      <w:r>
        <w:rPr>
          <w:sz w:val="22"/>
        </w:rPr>
        <w:t>免责声明：本报告仅用于研究和信息参考，不构成任何投资建议、买卖建议或收益承诺。高通估值和股价受智能手机周期、AI PC/车载渗透率、客户集中度、授权谈判、出口政策、并购整合和市场流动性影响较大，实际投资决策需结合实时行情和个人风险承受能力。</w:t>
      </w:r>
    </w:p>
    <w:p>
      <w:pPr>
        <w:pStyle w:val="Heading1"/>
      </w:pPr>
      <w:r>
        <w:t>目录</w:t>
      </w:r>
    </w:p>
    <w:p>
      <w:pPr>
        <w:pStyle w:val="ListBullet"/>
        <w:spacing w:after="80" w:line="280" w:lineRule="auto"/>
        <w:ind w:left="720" w:hanging="360"/>
      </w:pPr>
      <w:r>
        <w:t>一、公司基本情况</w:t>
      </w:r>
    </w:p>
    <w:p>
      <w:pPr>
        <w:pStyle w:val="ListBullet"/>
        <w:spacing w:after="80" w:line="280" w:lineRule="auto"/>
        <w:ind w:left="720" w:hanging="360"/>
      </w:pPr>
      <w:r>
        <w:t>二、发展沿革与战略演进</w:t>
      </w:r>
    </w:p>
    <w:p>
      <w:pPr>
        <w:pStyle w:val="ListBullet"/>
        <w:spacing w:after="80" w:line="280" w:lineRule="auto"/>
        <w:ind w:left="720" w:hanging="360"/>
      </w:pPr>
      <w:r>
        <w:t>三、业务和技术体系</w:t>
      </w:r>
    </w:p>
    <w:p>
      <w:pPr>
        <w:pStyle w:val="ListBullet"/>
        <w:spacing w:after="80" w:line="280" w:lineRule="auto"/>
        <w:ind w:left="720" w:hanging="360"/>
      </w:pPr>
      <w:r>
        <w:t>四、AI Agent 生态链与商业模式</w:t>
      </w:r>
    </w:p>
    <w:p>
      <w:pPr>
        <w:pStyle w:val="ListBullet"/>
        <w:spacing w:after="80" w:line="280" w:lineRule="auto"/>
        <w:ind w:left="720" w:hanging="360"/>
      </w:pPr>
      <w:r>
        <w:t>五、行业竞争格局</w:t>
      </w:r>
    </w:p>
    <w:p>
      <w:pPr>
        <w:pStyle w:val="ListBullet"/>
        <w:spacing w:after="80" w:line="280" w:lineRule="auto"/>
        <w:ind w:left="720" w:hanging="360"/>
      </w:pPr>
      <w:r>
        <w:t>六、管理层与治理结构</w:t>
      </w:r>
    </w:p>
    <w:p>
      <w:pPr>
        <w:pStyle w:val="ListBullet"/>
        <w:spacing w:after="80" w:line="280" w:lineRule="auto"/>
        <w:ind w:left="720" w:hanging="360"/>
      </w:pPr>
      <w:r>
        <w:t>七、财务会计信息</w:t>
      </w:r>
    </w:p>
    <w:p>
      <w:pPr>
        <w:pStyle w:val="ListBullet"/>
        <w:spacing w:after="80" w:line="280" w:lineRule="auto"/>
        <w:ind w:left="720" w:hanging="360"/>
      </w:pPr>
      <w:r>
        <w:t>八、主营业务收入与分部分析</w:t>
      </w:r>
    </w:p>
    <w:p>
      <w:pPr>
        <w:pStyle w:val="ListBullet"/>
        <w:spacing w:after="80" w:line="280" w:lineRule="auto"/>
        <w:ind w:left="720" w:hanging="360"/>
      </w:pPr>
      <w:r>
        <w:t>九、估值框架与研究评级</w:t>
      </w:r>
    </w:p>
    <w:p>
      <w:pPr>
        <w:pStyle w:val="ListBullet"/>
        <w:spacing w:after="80" w:line="280" w:lineRule="auto"/>
        <w:ind w:left="720" w:hanging="360"/>
      </w:pPr>
      <w:r>
        <w:t>十、主要风险因素</w:t>
      </w:r>
    </w:p>
    <w:p>
      <w:pPr>
        <w:pStyle w:val="ListBullet"/>
        <w:spacing w:after="80" w:line="280" w:lineRule="auto"/>
        <w:ind w:left="720" w:hanging="360"/>
      </w:pPr>
      <w:r>
        <w:t>十一、财务数据核查及跟踪指标</w:t>
      </w:r>
    </w:p>
    <w:p>
      <w:pPr>
        <w:pStyle w:val="ListBullet"/>
        <w:spacing w:after="80" w:line="280" w:lineRule="auto"/>
        <w:ind w:left="720" w:hanging="360"/>
      </w:pPr>
      <w:r>
        <w:t>十二、研究结论</w:t>
      </w:r>
    </w:p>
    <w:p>
      <w:pPr>
        <w:pStyle w:val="Heading1"/>
      </w:pPr>
      <w:r>
        <w:t>一、公司基本情况</w:t>
      </w:r>
    </w:p>
    <w:p>
      <w:pPr>
        <w:pStyle w:val="Heading2"/>
      </w:pPr>
      <w:r>
        <w:t>1.1 基本信息</w:t>
      </w:r>
    </w:p>
    <w:tbl>
      <w:tblPr>
        <w:tblStyle w:val="TableGrid"/>
        <w:tblW w:type="dxa" w:w="9360"/>
        <w:jc w:val="center"/>
        <w:tblLook w:firstColumn="1" w:firstRow="1" w:lastColumn="0" w:lastRow="0" w:noHBand="0" w:noVBand="1" w:val="04A0"/>
        <w:tblInd w:w="120" w:type="dxa"/>
      </w:tblPr>
      <w:tblGrid>
        <w:gridCol w:w="2600"/>
        <w:gridCol w:w="6760"/>
      </w:tblGrid>
      <w:tr>
        <w:trPr>
          <w:tblHeader w:val="true"/>
        </w:trPr>
        <w:tc>
          <w:tcPr>
            <w:tcW w:type="dxa" w:w="2600"/>
            <w:shd w:fill="E8EEF5"/>
            <w:tcMar>
              <w:top w:w="80" w:type="dxa"/>
              <w:bottom w:w="80" w:type="dxa"/>
              <w:start w:w="120" w:type="dxa"/>
              <w:end w:w="120" w:type="dxa"/>
            </w:tcMar>
            <w:vAlign w:val="center"/>
          </w:tcPr>
          <w:p>
            <w:pPr>
              <w:jc w:val="center"/>
            </w:pPr>
            <w:r>
              <w:rPr>
                <w:b/>
                <w:sz w:val="19"/>
              </w:rPr>
              <w:t>项目</w:t>
            </w:r>
          </w:p>
        </w:tc>
        <w:tc>
          <w:tcPr>
            <w:tcW w:type="dxa" w:w="6760"/>
            <w:shd w:fill="E8EEF5"/>
            <w:tcMar>
              <w:top w:w="80" w:type="dxa"/>
              <w:bottom w:w="80" w:type="dxa"/>
              <w:start w:w="120" w:type="dxa"/>
              <w:end w:w="120" w:type="dxa"/>
            </w:tcMar>
            <w:vAlign w:val="center"/>
          </w:tcPr>
          <w:p>
            <w:pPr>
              <w:jc w:val="center"/>
            </w:pPr>
            <w:r>
              <w:rPr>
                <w:b/>
                <w:sz w:val="19"/>
              </w:rPr>
              <w:t>内容</w:t>
            </w:r>
          </w:p>
        </w:tc>
      </w:tr>
      <w:tr>
        <w:tc>
          <w:tcPr>
            <w:tcW w:type="dxa" w:w="2600"/>
            <w:tcMar>
              <w:top w:w="80" w:type="dxa"/>
              <w:bottom w:w="80" w:type="dxa"/>
              <w:start w:w="120" w:type="dxa"/>
              <w:end w:w="120" w:type="dxa"/>
            </w:tcMar>
            <w:vAlign w:val="center"/>
          </w:tcPr>
          <w:p>
            <w:pPr>
              <w:jc w:val="center"/>
            </w:pPr>
            <w:r>
              <w:rPr>
                <w:sz w:val="19"/>
              </w:rPr>
              <w:t>公司名称</w:t>
            </w:r>
          </w:p>
        </w:tc>
        <w:tc>
          <w:tcPr>
            <w:tcW w:type="dxa" w:w="6760"/>
            <w:tcMar>
              <w:top w:w="80" w:type="dxa"/>
              <w:bottom w:w="80" w:type="dxa"/>
              <w:start w:w="120" w:type="dxa"/>
              <w:end w:w="120" w:type="dxa"/>
            </w:tcMar>
            <w:vAlign w:val="center"/>
          </w:tcPr>
          <w:p>
            <w:pPr>
              <w:jc w:val="left"/>
            </w:pPr>
            <w:r>
              <w:rPr>
                <w:sz w:val="19"/>
              </w:rPr>
              <w:t>QUALCOMM Incorporated</w:t>
            </w:r>
          </w:p>
        </w:tc>
      </w:tr>
      <w:tr>
        <w:tc>
          <w:tcPr>
            <w:tcW w:type="dxa" w:w="2600"/>
            <w:tcMar>
              <w:top w:w="80" w:type="dxa"/>
              <w:bottom w:w="80" w:type="dxa"/>
              <w:start w:w="120" w:type="dxa"/>
              <w:end w:w="120" w:type="dxa"/>
            </w:tcMar>
            <w:vAlign w:val="center"/>
          </w:tcPr>
          <w:p>
            <w:pPr>
              <w:jc w:val="center"/>
            </w:pPr>
            <w:r>
              <w:rPr>
                <w:sz w:val="19"/>
              </w:rPr>
              <w:t>交易代码</w:t>
            </w:r>
          </w:p>
        </w:tc>
        <w:tc>
          <w:tcPr>
            <w:tcW w:type="dxa" w:w="6760"/>
            <w:tcMar>
              <w:top w:w="80" w:type="dxa"/>
              <w:bottom w:w="80" w:type="dxa"/>
              <w:start w:w="120" w:type="dxa"/>
              <w:end w:w="120" w:type="dxa"/>
            </w:tcMar>
            <w:vAlign w:val="center"/>
          </w:tcPr>
          <w:p>
            <w:pPr>
              <w:jc w:val="left"/>
            </w:pPr>
            <w:r>
              <w:rPr>
                <w:sz w:val="19"/>
              </w:rPr>
              <w:t>NASDAQ: QCOM</w:t>
            </w:r>
          </w:p>
        </w:tc>
      </w:tr>
      <w:tr>
        <w:tc>
          <w:tcPr>
            <w:tcW w:type="dxa" w:w="2600"/>
            <w:tcMar>
              <w:top w:w="80" w:type="dxa"/>
              <w:bottom w:w="80" w:type="dxa"/>
              <w:start w:w="120" w:type="dxa"/>
              <w:end w:w="120" w:type="dxa"/>
            </w:tcMar>
            <w:vAlign w:val="center"/>
          </w:tcPr>
          <w:p>
            <w:pPr>
              <w:jc w:val="center"/>
            </w:pPr>
            <w:r>
              <w:rPr>
                <w:sz w:val="19"/>
              </w:rPr>
              <w:t>总部</w:t>
            </w:r>
          </w:p>
        </w:tc>
        <w:tc>
          <w:tcPr>
            <w:tcW w:type="dxa" w:w="6760"/>
            <w:tcMar>
              <w:top w:w="80" w:type="dxa"/>
              <w:bottom w:w="80" w:type="dxa"/>
              <w:start w:w="120" w:type="dxa"/>
              <w:end w:w="120" w:type="dxa"/>
            </w:tcMar>
            <w:vAlign w:val="center"/>
          </w:tcPr>
          <w:p>
            <w:pPr>
              <w:jc w:val="left"/>
            </w:pPr>
            <w:r>
              <w:rPr>
                <w:sz w:val="19"/>
              </w:rPr>
              <w:t>美国加利福尼亚州圣迭戈</w:t>
            </w:r>
          </w:p>
        </w:tc>
      </w:tr>
      <w:tr>
        <w:tc>
          <w:tcPr>
            <w:tcW w:type="dxa" w:w="2600"/>
            <w:tcMar>
              <w:top w:w="80" w:type="dxa"/>
              <w:bottom w:w="80" w:type="dxa"/>
              <w:start w:w="120" w:type="dxa"/>
              <w:end w:w="120" w:type="dxa"/>
            </w:tcMar>
            <w:vAlign w:val="center"/>
          </w:tcPr>
          <w:p>
            <w:pPr>
              <w:jc w:val="center"/>
            </w:pPr>
            <w:r>
              <w:rPr>
                <w:sz w:val="19"/>
              </w:rPr>
              <w:t>核心定位</w:t>
            </w:r>
          </w:p>
        </w:tc>
        <w:tc>
          <w:tcPr>
            <w:tcW w:type="dxa" w:w="6760"/>
            <w:tcMar>
              <w:top w:w="80" w:type="dxa"/>
              <w:bottom w:w="80" w:type="dxa"/>
              <w:start w:w="120" w:type="dxa"/>
              <w:end w:w="120" w:type="dxa"/>
            </w:tcMar>
            <w:vAlign w:val="center"/>
          </w:tcPr>
          <w:p>
            <w:pPr>
              <w:jc w:val="left"/>
            </w:pPr>
            <w:r>
              <w:rPr>
                <w:sz w:val="19"/>
              </w:rPr>
              <w:t>移动通信、智能终端 SoC、车载智能、物联网边缘 AI 与蜂窝专利授权平台</w:t>
            </w:r>
          </w:p>
        </w:tc>
      </w:tr>
      <w:tr>
        <w:tc>
          <w:tcPr>
            <w:tcW w:type="dxa" w:w="2600"/>
            <w:tcMar>
              <w:top w:w="80" w:type="dxa"/>
              <w:bottom w:w="80" w:type="dxa"/>
              <w:start w:w="120" w:type="dxa"/>
              <w:end w:w="120" w:type="dxa"/>
            </w:tcMar>
            <w:vAlign w:val="center"/>
          </w:tcPr>
          <w:p>
            <w:pPr>
              <w:jc w:val="center"/>
            </w:pPr>
            <w:r>
              <w:rPr>
                <w:sz w:val="19"/>
              </w:rPr>
              <w:t>主要分部</w:t>
            </w:r>
          </w:p>
        </w:tc>
        <w:tc>
          <w:tcPr>
            <w:tcW w:type="dxa" w:w="6760"/>
            <w:tcMar>
              <w:top w:w="80" w:type="dxa"/>
              <w:bottom w:w="80" w:type="dxa"/>
              <w:start w:w="120" w:type="dxa"/>
              <w:end w:w="120" w:type="dxa"/>
            </w:tcMar>
            <w:vAlign w:val="center"/>
          </w:tcPr>
          <w:p>
            <w:pPr>
              <w:jc w:val="left"/>
            </w:pPr>
            <w:r>
              <w:rPr>
                <w:sz w:val="19"/>
              </w:rPr>
              <w:t>QCT（芯片与系统）、QTL（技术授权）</w:t>
            </w:r>
          </w:p>
        </w:tc>
      </w:tr>
      <w:tr>
        <w:tc>
          <w:tcPr>
            <w:tcW w:type="dxa" w:w="2600"/>
            <w:tcMar>
              <w:top w:w="80" w:type="dxa"/>
              <w:bottom w:w="80" w:type="dxa"/>
              <w:start w:w="120" w:type="dxa"/>
              <w:end w:w="120" w:type="dxa"/>
            </w:tcMar>
            <w:vAlign w:val="center"/>
          </w:tcPr>
          <w:p>
            <w:pPr>
              <w:jc w:val="center"/>
            </w:pPr>
            <w:r>
              <w:rPr>
                <w:sz w:val="19"/>
              </w:rPr>
              <w:t>最新季度</w:t>
            </w:r>
          </w:p>
        </w:tc>
        <w:tc>
          <w:tcPr>
            <w:tcW w:type="dxa" w:w="6760"/>
            <w:tcMar>
              <w:top w:w="80" w:type="dxa"/>
              <w:bottom w:w="80" w:type="dxa"/>
              <w:start w:w="120" w:type="dxa"/>
              <w:end w:w="120" w:type="dxa"/>
            </w:tcMar>
            <w:vAlign w:val="center"/>
          </w:tcPr>
          <w:p>
            <w:pPr>
              <w:jc w:val="left"/>
            </w:pPr>
            <w:r>
              <w:rPr>
                <w:sz w:val="19"/>
              </w:rPr>
              <w:t>FY2026 Q2，季度截至 2026年3月29日，公告日 2026年4月29日</w:t>
            </w:r>
          </w:p>
        </w:tc>
      </w:tr>
    </w:tbl>
    <w:p/>
    <w:p>
      <w:pPr>
        <w:pStyle w:val="Heading2"/>
      </w:pPr>
      <w:r>
        <w:t>1.2 公司定位</w:t>
      </w:r>
    </w:p>
    <w:p>
      <w:pPr>
        <w:spacing w:after="120" w:line="264" w:lineRule="auto"/>
      </w:pPr>
      <w:r>
        <w:rPr>
          <w:sz w:val="22"/>
        </w:rPr>
        <w:t>高通的核心价值不是云端训练算力，而是“端侧 AI Agent 的入口平台”。与英伟达代表 AI 工厂不同，高通代表 AI 从云端下沉到手机、PC、汽车、XR、工业终端和联网设备后的芯片与连接底座。其竞争优势来自 Snapdragon 计算平台、调制解调器和射频系统、低功耗 NPU、无线连接协议、车载数字底盘以及 QTL 授权现金流。</w:t>
      </w:r>
    </w:p>
    <w:p>
      <w:pPr>
        <w:spacing w:after="120" w:line="264" w:lineRule="auto"/>
      </w:pPr>
      <w:r>
        <w:rPr>
          <w:sz w:val="22"/>
        </w:rPr>
        <w:t>在 AI Agent 生态链中，高通最值得关注的并非单一手机芯片周期，而是端侧推理、隐私保护、低延迟交互、车载/工业 Physical AI 与多模态感知需求共同抬升终端算力价值量。若 AI Agent 从“云端聊天工具”演进为“常驻个人设备和物理世界的操作系统层”，高通的战略位置将明显提升。</w:t>
      </w:r>
    </w:p>
    <w:p>
      <w:pPr>
        <w:pStyle w:val="Heading1"/>
      </w:pPr>
      <w:r>
        <w:t>二、发展沿革与战略演进</w:t>
      </w:r>
    </w:p>
    <w:p>
      <w:pPr>
        <w:pStyle w:val="Heading2"/>
      </w:pPr>
      <w:r>
        <w:t>2.1 简要历史沿革</w:t>
      </w:r>
    </w:p>
    <w:p>
      <w:pPr>
        <w:pStyle w:val="ListBullet"/>
        <w:spacing w:after="80" w:line="280" w:lineRule="auto"/>
        <w:ind w:left="720" w:hanging="360"/>
      </w:pPr>
      <w:r>
        <w:t>1985年，公司成立，早期围绕 CDMA 通信技术开展研发和商业化。</w:t>
      </w:r>
    </w:p>
    <w:p>
      <w:pPr>
        <w:pStyle w:val="ListBullet"/>
        <w:spacing w:after="80" w:line="280" w:lineRule="auto"/>
        <w:ind w:left="720" w:hanging="360"/>
      </w:pPr>
      <w:r>
        <w:t>1990年代至2000年代，高通通过 CDMA、3G、4G 专利和基带芯片建立移动通信产业链核心地位。</w:t>
      </w:r>
    </w:p>
    <w:p>
      <w:pPr>
        <w:pStyle w:val="ListBullet"/>
        <w:spacing w:after="80" w:line="280" w:lineRule="auto"/>
        <w:ind w:left="720" w:hanging="360"/>
      </w:pPr>
      <w:r>
        <w:t>2010年代，Snapdragon SoC 成为安卓高端手机核心平台，并形成 CPU、GPU、ISP、DSP、NPU、Modem-RF 一体化路线。</w:t>
      </w:r>
    </w:p>
    <w:p>
      <w:pPr>
        <w:pStyle w:val="ListBullet"/>
        <w:spacing w:after="80" w:line="280" w:lineRule="auto"/>
        <w:ind w:left="720" w:hanging="360"/>
      </w:pPr>
      <w:r>
        <w:t>2020年代，公司从手机平台向汽车、PC、XR、工业物联网和边缘 AI 扩张，提出以 AI、连接和低功耗计算驱动的多终端战略。</w:t>
      </w:r>
    </w:p>
    <w:p>
      <w:pPr>
        <w:pStyle w:val="ListBullet"/>
        <w:spacing w:after="80" w:line="280" w:lineRule="auto"/>
        <w:ind w:left="720" w:hanging="360"/>
      </w:pPr>
      <w:r>
        <w:t>2025-2026年，公司财务披露显示汽车与 IoT 业务增长显著，同时披露数据中心定制硅初始出货计划，战略边界从终端芯片延伸至边缘与部分云端加速场景。</w:t>
      </w:r>
    </w:p>
    <w:p>
      <w:pPr>
        <w:pStyle w:val="Heading2"/>
      </w:pPr>
      <w:r>
        <w:t>2.2 战略演进</w:t>
      </w:r>
    </w:p>
    <w:tbl>
      <w:tblPr>
        <w:tblStyle w:val="TableGrid"/>
        <w:tblW w:type="dxa" w:w="9360"/>
        <w:jc w:val="center"/>
        <w:tblLook w:firstColumn="1" w:firstRow="1" w:lastColumn="0" w:lastRow="0" w:noHBand="0" w:noVBand="1" w:val="04A0"/>
        <w:tblInd w:w="120" w:type="dxa"/>
      </w:tblPr>
      <w:tblGrid>
        <w:gridCol w:w="1900"/>
        <w:gridCol w:w="3200"/>
        <w:gridCol w:w="4260"/>
      </w:tblGrid>
      <w:tr>
        <w:trPr>
          <w:tblHeader w:val="true"/>
        </w:trPr>
        <w:tc>
          <w:tcPr>
            <w:tcW w:type="dxa" w:w="1900"/>
            <w:shd w:fill="E8EEF5"/>
            <w:tcMar>
              <w:top w:w="80" w:type="dxa"/>
              <w:bottom w:w="80" w:type="dxa"/>
              <w:start w:w="120" w:type="dxa"/>
              <w:end w:w="120" w:type="dxa"/>
            </w:tcMar>
            <w:vAlign w:val="center"/>
          </w:tcPr>
          <w:p>
            <w:pPr>
              <w:jc w:val="center"/>
            </w:pPr>
            <w:r>
              <w:rPr>
                <w:b/>
                <w:sz w:val="19"/>
              </w:rPr>
              <w:t>阶段</w:t>
            </w:r>
          </w:p>
        </w:tc>
        <w:tc>
          <w:tcPr>
            <w:tcW w:type="dxa" w:w="3200"/>
            <w:shd w:fill="E8EEF5"/>
            <w:tcMar>
              <w:top w:w="80" w:type="dxa"/>
              <w:bottom w:w="80" w:type="dxa"/>
              <w:start w:w="120" w:type="dxa"/>
              <w:end w:w="120" w:type="dxa"/>
            </w:tcMar>
            <w:vAlign w:val="center"/>
          </w:tcPr>
          <w:p>
            <w:pPr>
              <w:jc w:val="center"/>
            </w:pPr>
            <w:r>
              <w:rPr>
                <w:b/>
                <w:sz w:val="19"/>
              </w:rPr>
              <w:t>核心战略</w:t>
            </w:r>
          </w:p>
        </w:tc>
        <w:tc>
          <w:tcPr>
            <w:tcW w:type="dxa" w:w="4260"/>
            <w:shd w:fill="E8EEF5"/>
            <w:tcMar>
              <w:top w:w="80" w:type="dxa"/>
              <w:bottom w:w="80" w:type="dxa"/>
              <w:start w:w="120" w:type="dxa"/>
              <w:end w:w="120" w:type="dxa"/>
            </w:tcMar>
            <w:vAlign w:val="center"/>
          </w:tcPr>
          <w:p>
            <w:pPr>
              <w:jc w:val="center"/>
            </w:pPr>
            <w:r>
              <w:rPr>
                <w:b/>
                <w:sz w:val="19"/>
              </w:rPr>
              <w:t>研究含义</w:t>
            </w:r>
          </w:p>
        </w:tc>
      </w:tr>
      <w:tr>
        <w:tc>
          <w:tcPr>
            <w:tcW w:type="dxa" w:w="1900"/>
            <w:tcMar>
              <w:top w:w="80" w:type="dxa"/>
              <w:bottom w:w="80" w:type="dxa"/>
              <w:start w:w="120" w:type="dxa"/>
              <w:end w:w="120" w:type="dxa"/>
            </w:tcMar>
            <w:vAlign w:val="center"/>
          </w:tcPr>
          <w:p>
            <w:pPr>
              <w:jc w:val="center"/>
            </w:pPr>
            <w:r>
              <w:rPr>
                <w:sz w:val="19"/>
              </w:rPr>
              <w:t>通信专利阶段</w:t>
            </w:r>
          </w:p>
        </w:tc>
        <w:tc>
          <w:tcPr>
            <w:tcW w:type="dxa" w:w="3200"/>
            <w:tcMar>
              <w:top w:w="80" w:type="dxa"/>
              <w:bottom w:w="80" w:type="dxa"/>
              <w:start w:w="120" w:type="dxa"/>
              <w:end w:w="120" w:type="dxa"/>
            </w:tcMar>
            <w:vAlign w:val="center"/>
          </w:tcPr>
          <w:p>
            <w:pPr>
              <w:jc w:val="left"/>
            </w:pPr>
            <w:r>
              <w:rPr>
                <w:sz w:val="19"/>
              </w:rPr>
              <w:t>蜂窝通信标准、专利授权、基带芯片</w:t>
            </w:r>
          </w:p>
        </w:tc>
        <w:tc>
          <w:tcPr>
            <w:tcW w:type="dxa" w:w="4260"/>
            <w:tcMar>
              <w:top w:w="80" w:type="dxa"/>
              <w:bottom w:w="80" w:type="dxa"/>
              <w:start w:w="120" w:type="dxa"/>
              <w:end w:w="120" w:type="dxa"/>
            </w:tcMar>
            <w:vAlign w:val="center"/>
          </w:tcPr>
          <w:p>
            <w:pPr>
              <w:jc w:val="left"/>
            </w:pPr>
            <w:r>
              <w:rPr>
                <w:sz w:val="19"/>
              </w:rPr>
              <w:t>QTL 授权业务形成高利润现金流和行业准入壁垒</w:t>
            </w:r>
          </w:p>
        </w:tc>
      </w:tr>
      <w:tr>
        <w:tc>
          <w:tcPr>
            <w:tcW w:type="dxa" w:w="1900"/>
            <w:tcMar>
              <w:top w:w="80" w:type="dxa"/>
              <w:bottom w:w="80" w:type="dxa"/>
              <w:start w:w="120" w:type="dxa"/>
              <w:end w:w="120" w:type="dxa"/>
            </w:tcMar>
            <w:vAlign w:val="center"/>
          </w:tcPr>
          <w:p>
            <w:pPr>
              <w:jc w:val="center"/>
            </w:pPr>
            <w:r>
              <w:rPr>
                <w:sz w:val="19"/>
              </w:rPr>
              <w:t>智能手机 SoC 阶段</w:t>
            </w:r>
          </w:p>
        </w:tc>
        <w:tc>
          <w:tcPr>
            <w:tcW w:type="dxa" w:w="3200"/>
            <w:tcMar>
              <w:top w:w="80" w:type="dxa"/>
              <w:bottom w:w="80" w:type="dxa"/>
              <w:start w:w="120" w:type="dxa"/>
              <w:end w:w="120" w:type="dxa"/>
            </w:tcMar>
            <w:vAlign w:val="center"/>
          </w:tcPr>
          <w:p>
            <w:pPr>
              <w:jc w:val="left"/>
            </w:pPr>
            <w:r>
              <w:rPr>
                <w:sz w:val="19"/>
              </w:rPr>
              <w:t>Snapdragon 平台、安卓旗舰、Modem-RF 集成</w:t>
            </w:r>
          </w:p>
        </w:tc>
        <w:tc>
          <w:tcPr>
            <w:tcW w:type="dxa" w:w="4260"/>
            <w:tcMar>
              <w:top w:w="80" w:type="dxa"/>
              <w:bottom w:w="80" w:type="dxa"/>
              <w:start w:w="120" w:type="dxa"/>
              <w:end w:w="120" w:type="dxa"/>
            </w:tcMar>
            <w:vAlign w:val="center"/>
          </w:tcPr>
          <w:p>
            <w:pPr>
              <w:jc w:val="left"/>
            </w:pPr>
            <w:r>
              <w:rPr>
                <w:sz w:val="19"/>
              </w:rPr>
              <w:t>手机仍是收入基本盘，也是端侧 AI 的最大用户入口</w:t>
            </w:r>
          </w:p>
        </w:tc>
      </w:tr>
      <w:tr>
        <w:tc>
          <w:tcPr>
            <w:tcW w:type="dxa" w:w="1900"/>
            <w:tcMar>
              <w:top w:w="80" w:type="dxa"/>
              <w:bottom w:w="80" w:type="dxa"/>
              <w:start w:w="120" w:type="dxa"/>
              <w:end w:w="120" w:type="dxa"/>
            </w:tcMar>
            <w:vAlign w:val="center"/>
          </w:tcPr>
          <w:p>
            <w:pPr>
              <w:jc w:val="center"/>
            </w:pPr>
            <w:r>
              <w:rPr>
                <w:sz w:val="19"/>
              </w:rPr>
              <w:t>多终端扩张阶段</w:t>
            </w:r>
          </w:p>
        </w:tc>
        <w:tc>
          <w:tcPr>
            <w:tcW w:type="dxa" w:w="3200"/>
            <w:tcMar>
              <w:top w:w="80" w:type="dxa"/>
              <w:bottom w:w="80" w:type="dxa"/>
              <w:start w:w="120" w:type="dxa"/>
              <w:end w:w="120" w:type="dxa"/>
            </w:tcMar>
            <w:vAlign w:val="center"/>
          </w:tcPr>
          <w:p>
            <w:pPr>
              <w:jc w:val="left"/>
            </w:pPr>
            <w:r>
              <w:rPr>
                <w:sz w:val="19"/>
              </w:rPr>
              <w:t>汽车、PC、XR、工业 IoT、边缘 AI</w:t>
            </w:r>
          </w:p>
        </w:tc>
        <w:tc>
          <w:tcPr>
            <w:tcW w:type="dxa" w:w="4260"/>
            <w:tcMar>
              <w:top w:w="80" w:type="dxa"/>
              <w:bottom w:w="80" w:type="dxa"/>
              <w:start w:w="120" w:type="dxa"/>
              <w:end w:w="120" w:type="dxa"/>
            </w:tcMar>
            <w:vAlign w:val="center"/>
          </w:tcPr>
          <w:p>
            <w:pPr>
              <w:jc w:val="left"/>
            </w:pPr>
            <w:r>
              <w:rPr>
                <w:sz w:val="19"/>
              </w:rPr>
              <w:t>分散手机周期风险，提高单客户和单场景之外的成长弹性</w:t>
            </w:r>
          </w:p>
        </w:tc>
      </w:tr>
      <w:tr>
        <w:tc>
          <w:tcPr>
            <w:tcW w:type="dxa" w:w="1900"/>
            <w:tcMar>
              <w:top w:w="80" w:type="dxa"/>
              <w:bottom w:w="80" w:type="dxa"/>
              <w:start w:w="120" w:type="dxa"/>
              <w:end w:w="120" w:type="dxa"/>
            </w:tcMar>
            <w:vAlign w:val="center"/>
          </w:tcPr>
          <w:p>
            <w:pPr>
              <w:jc w:val="center"/>
            </w:pPr>
            <w:r>
              <w:rPr>
                <w:sz w:val="19"/>
              </w:rPr>
              <w:t>Agentic AI 阶段</w:t>
            </w:r>
          </w:p>
        </w:tc>
        <w:tc>
          <w:tcPr>
            <w:tcW w:type="dxa" w:w="3200"/>
            <w:tcMar>
              <w:top w:w="80" w:type="dxa"/>
              <w:bottom w:w="80" w:type="dxa"/>
              <w:start w:w="120" w:type="dxa"/>
              <w:end w:w="120" w:type="dxa"/>
            </w:tcMar>
            <w:vAlign w:val="center"/>
          </w:tcPr>
          <w:p>
            <w:pPr>
              <w:jc w:val="left"/>
            </w:pPr>
            <w:r>
              <w:rPr>
                <w:sz w:val="19"/>
              </w:rPr>
              <w:t>端侧 NPU、低功耗推理、车载/工业 Physical AI、数据中心定制硅</w:t>
            </w:r>
          </w:p>
        </w:tc>
        <w:tc>
          <w:tcPr>
            <w:tcW w:type="dxa" w:w="4260"/>
            <w:tcMar>
              <w:top w:w="80" w:type="dxa"/>
              <w:bottom w:w="80" w:type="dxa"/>
              <w:start w:w="120" w:type="dxa"/>
              <w:end w:w="120" w:type="dxa"/>
            </w:tcMar>
            <w:vAlign w:val="center"/>
          </w:tcPr>
          <w:p>
            <w:pPr>
              <w:jc w:val="left"/>
            </w:pPr>
            <w:r>
              <w:rPr>
                <w:sz w:val="19"/>
              </w:rPr>
              <w:t>把 AI Agent 从应用层机会转化为终端硬件更新、连接升级和系统集成机会</w:t>
            </w:r>
          </w:p>
        </w:tc>
      </w:tr>
    </w:tbl>
    <w:p/>
    <w:p>
      <w:pPr>
        <w:pStyle w:val="Heading1"/>
      </w:pPr>
      <w:r>
        <w:t>三、业务和技术体系</w:t>
      </w:r>
    </w:p>
    <w:p>
      <w:pPr>
        <w:pStyle w:val="Heading2"/>
      </w:pPr>
      <w:r>
        <w:t>3.1 产品体系</w:t>
      </w:r>
    </w:p>
    <w:tbl>
      <w:tblPr>
        <w:tblStyle w:val="TableGrid"/>
        <w:tblW w:type="dxa" w:w="9360"/>
        <w:jc w:val="center"/>
        <w:tblLook w:firstColumn="1" w:firstRow="1" w:lastColumn="0" w:lastRow="0" w:noHBand="0" w:noVBand="1" w:val="04A0"/>
        <w:tblInd w:w="120" w:type="dxa"/>
      </w:tblPr>
      <w:tblGrid>
        <w:gridCol w:w="1700"/>
        <w:gridCol w:w="3700"/>
        <w:gridCol w:w="3960"/>
      </w:tblGrid>
      <w:tr>
        <w:trPr>
          <w:tblHeader w:val="true"/>
        </w:trPr>
        <w:tc>
          <w:tcPr>
            <w:tcW w:type="dxa" w:w="1700"/>
            <w:shd w:fill="F2F4F7"/>
            <w:tcMar>
              <w:top w:w="80" w:type="dxa"/>
              <w:bottom w:w="80" w:type="dxa"/>
              <w:start w:w="120" w:type="dxa"/>
              <w:end w:w="120" w:type="dxa"/>
            </w:tcMar>
            <w:vAlign w:val="center"/>
          </w:tcPr>
          <w:p>
            <w:pPr>
              <w:jc w:val="center"/>
            </w:pPr>
            <w:r>
              <w:rPr>
                <w:b/>
                <w:sz w:val="19"/>
              </w:rPr>
              <w:t>产品/平台</w:t>
            </w:r>
          </w:p>
        </w:tc>
        <w:tc>
          <w:tcPr>
            <w:tcW w:type="dxa" w:w="3700"/>
            <w:shd w:fill="F2F4F7"/>
            <w:tcMar>
              <w:top w:w="80" w:type="dxa"/>
              <w:bottom w:w="80" w:type="dxa"/>
              <w:start w:w="120" w:type="dxa"/>
              <w:end w:w="120" w:type="dxa"/>
            </w:tcMar>
            <w:vAlign w:val="center"/>
          </w:tcPr>
          <w:p>
            <w:pPr>
              <w:jc w:val="center"/>
            </w:pPr>
            <w:r>
              <w:rPr>
                <w:b/>
                <w:sz w:val="19"/>
              </w:rPr>
              <w:t>主要内容</w:t>
            </w:r>
          </w:p>
        </w:tc>
        <w:tc>
          <w:tcPr>
            <w:tcW w:type="dxa" w:w="3960"/>
            <w:shd w:fill="F2F4F7"/>
            <w:tcMar>
              <w:top w:w="80" w:type="dxa"/>
              <w:bottom w:w="80" w:type="dxa"/>
              <w:start w:w="120" w:type="dxa"/>
              <w:end w:w="120" w:type="dxa"/>
            </w:tcMar>
            <w:vAlign w:val="center"/>
          </w:tcPr>
          <w:p>
            <w:pPr>
              <w:jc w:val="center"/>
            </w:pPr>
            <w:r>
              <w:rPr>
                <w:b/>
                <w:sz w:val="19"/>
              </w:rPr>
              <w:t>AI Agent 相关性</w:t>
            </w:r>
          </w:p>
        </w:tc>
      </w:tr>
      <w:tr>
        <w:tc>
          <w:tcPr>
            <w:tcW w:type="dxa" w:w="1700"/>
            <w:tcMar>
              <w:top w:w="80" w:type="dxa"/>
              <w:bottom w:w="80" w:type="dxa"/>
              <w:start w:w="120" w:type="dxa"/>
              <w:end w:w="120" w:type="dxa"/>
            </w:tcMar>
            <w:vAlign w:val="center"/>
          </w:tcPr>
          <w:p>
            <w:pPr>
              <w:jc w:val="center"/>
            </w:pPr>
            <w:r>
              <w:rPr>
                <w:sz w:val="19"/>
              </w:rPr>
              <w:t>Snapdragon 手机平台</w:t>
            </w:r>
          </w:p>
        </w:tc>
        <w:tc>
          <w:tcPr>
            <w:tcW w:type="dxa" w:w="3700"/>
            <w:tcMar>
              <w:top w:w="80" w:type="dxa"/>
              <w:bottom w:w="80" w:type="dxa"/>
              <w:start w:w="120" w:type="dxa"/>
              <w:end w:w="120" w:type="dxa"/>
            </w:tcMar>
            <w:vAlign w:val="center"/>
          </w:tcPr>
          <w:p>
            <w:pPr>
              <w:jc w:val="left"/>
            </w:pPr>
            <w:r>
              <w:rPr>
                <w:sz w:val="19"/>
              </w:rPr>
              <w:t>旗舰安卓 SoC、Modem-RF、NPU、ISP、图形与音视频能力</w:t>
            </w:r>
          </w:p>
        </w:tc>
        <w:tc>
          <w:tcPr>
            <w:tcW w:type="dxa" w:w="3960"/>
            <w:tcMar>
              <w:top w:w="80" w:type="dxa"/>
              <w:bottom w:w="80" w:type="dxa"/>
              <w:start w:w="120" w:type="dxa"/>
              <w:end w:w="120" w:type="dxa"/>
            </w:tcMar>
            <w:vAlign w:val="center"/>
          </w:tcPr>
          <w:p>
            <w:pPr>
              <w:jc w:val="left"/>
            </w:pPr>
            <w:r>
              <w:rPr>
                <w:sz w:val="19"/>
              </w:rPr>
              <w:t>最直接的个人 AI Agent 入口，承接语音、多模态感知、端侧推理和隐私计算</w:t>
            </w:r>
          </w:p>
        </w:tc>
      </w:tr>
      <w:tr>
        <w:tc>
          <w:tcPr>
            <w:tcW w:type="dxa" w:w="1700"/>
            <w:tcMar>
              <w:top w:w="80" w:type="dxa"/>
              <w:bottom w:w="80" w:type="dxa"/>
              <w:start w:w="120" w:type="dxa"/>
              <w:end w:w="120" w:type="dxa"/>
            </w:tcMar>
            <w:vAlign w:val="center"/>
          </w:tcPr>
          <w:p>
            <w:pPr>
              <w:jc w:val="center"/>
            </w:pPr>
            <w:r>
              <w:rPr>
                <w:sz w:val="19"/>
              </w:rPr>
              <w:t>Snapdragon X 系列 PC</w:t>
            </w:r>
          </w:p>
        </w:tc>
        <w:tc>
          <w:tcPr>
            <w:tcW w:type="dxa" w:w="3700"/>
            <w:tcMar>
              <w:top w:w="80" w:type="dxa"/>
              <w:bottom w:w="80" w:type="dxa"/>
              <w:start w:w="120" w:type="dxa"/>
              <w:end w:w="120" w:type="dxa"/>
            </w:tcMar>
            <w:vAlign w:val="center"/>
          </w:tcPr>
          <w:p>
            <w:pPr>
              <w:jc w:val="left"/>
            </w:pPr>
            <w:r>
              <w:rPr>
                <w:sz w:val="19"/>
              </w:rPr>
              <w:t>面向 Windows on Arm 的 AI PC 平台，强调低功耗与本地 NPU</w:t>
            </w:r>
          </w:p>
        </w:tc>
        <w:tc>
          <w:tcPr>
            <w:tcW w:type="dxa" w:w="3960"/>
            <w:tcMar>
              <w:top w:w="80" w:type="dxa"/>
              <w:bottom w:w="80" w:type="dxa"/>
              <w:start w:w="120" w:type="dxa"/>
              <w:end w:w="120" w:type="dxa"/>
            </w:tcMar>
            <w:vAlign w:val="center"/>
          </w:tcPr>
          <w:p>
            <w:pPr>
              <w:jc w:val="left"/>
            </w:pPr>
            <w:r>
              <w:rPr>
                <w:sz w:val="19"/>
              </w:rPr>
              <w:t>本地办公 Agent、代码/内容生成、会议助手和企业端侧推理的核心载体</w:t>
            </w:r>
          </w:p>
        </w:tc>
      </w:tr>
      <w:tr>
        <w:tc>
          <w:tcPr>
            <w:tcW w:type="dxa" w:w="1700"/>
            <w:tcMar>
              <w:top w:w="80" w:type="dxa"/>
              <w:bottom w:w="80" w:type="dxa"/>
              <w:start w:w="120" w:type="dxa"/>
              <w:end w:w="120" w:type="dxa"/>
            </w:tcMar>
            <w:vAlign w:val="center"/>
          </w:tcPr>
          <w:p>
            <w:pPr>
              <w:jc w:val="center"/>
            </w:pPr>
            <w:r>
              <w:rPr>
                <w:sz w:val="19"/>
              </w:rPr>
              <w:t>Automotive / Digital Chassis</w:t>
            </w:r>
          </w:p>
        </w:tc>
        <w:tc>
          <w:tcPr>
            <w:tcW w:type="dxa" w:w="3700"/>
            <w:tcMar>
              <w:top w:w="80" w:type="dxa"/>
              <w:bottom w:w="80" w:type="dxa"/>
              <w:start w:w="120" w:type="dxa"/>
              <w:end w:w="120" w:type="dxa"/>
            </w:tcMar>
            <w:vAlign w:val="center"/>
          </w:tcPr>
          <w:p>
            <w:pPr>
              <w:jc w:val="left"/>
            </w:pPr>
            <w:r>
              <w:rPr>
                <w:sz w:val="19"/>
              </w:rPr>
              <w:t>智能座舱、ADAS、自动驾驶、连接与云服务平台</w:t>
            </w:r>
          </w:p>
        </w:tc>
        <w:tc>
          <w:tcPr>
            <w:tcW w:type="dxa" w:w="3960"/>
            <w:tcMar>
              <w:top w:w="80" w:type="dxa"/>
              <w:bottom w:w="80" w:type="dxa"/>
              <w:start w:w="120" w:type="dxa"/>
              <w:end w:w="120" w:type="dxa"/>
            </w:tcMar>
            <w:vAlign w:val="center"/>
          </w:tcPr>
          <w:p>
            <w:pPr>
              <w:jc w:val="left"/>
            </w:pPr>
            <w:r>
              <w:rPr>
                <w:sz w:val="19"/>
              </w:rPr>
              <w:t>车载 Agent、座舱交互、驾驶辅助和道路感知属于 Physical AI 的重要场景</w:t>
            </w:r>
          </w:p>
        </w:tc>
      </w:tr>
      <w:tr>
        <w:tc>
          <w:tcPr>
            <w:tcW w:type="dxa" w:w="1700"/>
            <w:tcMar>
              <w:top w:w="80" w:type="dxa"/>
              <w:bottom w:w="80" w:type="dxa"/>
              <w:start w:w="120" w:type="dxa"/>
              <w:end w:w="120" w:type="dxa"/>
            </w:tcMar>
            <w:vAlign w:val="center"/>
          </w:tcPr>
          <w:p>
            <w:pPr>
              <w:jc w:val="center"/>
            </w:pPr>
            <w:r>
              <w:rPr>
                <w:sz w:val="19"/>
              </w:rPr>
              <w:t>IoT / Dragonwing</w:t>
            </w:r>
          </w:p>
        </w:tc>
        <w:tc>
          <w:tcPr>
            <w:tcW w:type="dxa" w:w="3700"/>
            <w:tcMar>
              <w:top w:w="80" w:type="dxa"/>
              <w:bottom w:w="80" w:type="dxa"/>
              <w:start w:w="120" w:type="dxa"/>
              <w:end w:w="120" w:type="dxa"/>
            </w:tcMar>
            <w:vAlign w:val="center"/>
          </w:tcPr>
          <w:p>
            <w:pPr>
              <w:jc w:val="left"/>
            </w:pPr>
            <w:r>
              <w:rPr>
                <w:sz w:val="19"/>
              </w:rPr>
              <w:t>工业、企业、网络边缘、机器人、零售和摄像头等平台</w:t>
            </w:r>
          </w:p>
        </w:tc>
        <w:tc>
          <w:tcPr>
            <w:tcW w:type="dxa" w:w="3960"/>
            <w:tcMar>
              <w:top w:w="80" w:type="dxa"/>
              <w:bottom w:w="80" w:type="dxa"/>
              <w:start w:w="120" w:type="dxa"/>
              <w:end w:w="120" w:type="dxa"/>
            </w:tcMar>
            <w:vAlign w:val="center"/>
          </w:tcPr>
          <w:p>
            <w:pPr>
              <w:jc w:val="left"/>
            </w:pPr>
            <w:r>
              <w:rPr>
                <w:sz w:val="19"/>
              </w:rPr>
              <w:t>把 Agent 能力部署到工厂、物流、门店和专业设备，形成边缘 AI 网络</w:t>
            </w:r>
          </w:p>
        </w:tc>
      </w:tr>
      <w:tr>
        <w:tc>
          <w:tcPr>
            <w:tcW w:type="dxa" w:w="1700"/>
            <w:tcMar>
              <w:top w:w="80" w:type="dxa"/>
              <w:bottom w:w="80" w:type="dxa"/>
              <w:start w:w="120" w:type="dxa"/>
              <w:end w:w="120" w:type="dxa"/>
            </w:tcMar>
            <w:vAlign w:val="center"/>
          </w:tcPr>
          <w:p>
            <w:pPr>
              <w:jc w:val="center"/>
            </w:pPr>
            <w:r>
              <w:rPr>
                <w:sz w:val="19"/>
              </w:rPr>
              <w:t>Connectivity / Modem-RF</w:t>
            </w:r>
          </w:p>
        </w:tc>
        <w:tc>
          <w:tcPr>
            <w:tcW w:type="dxa" w:w="3700"/>
            <w:tcMar>
              <w:top w:w="80" w:type="dxa"/>
              <w:bottom w:w="80" w:type="dxa"/>
              <w:start w:w="120" w:type="dxa"/>
              <w:end w:w="120" w:type="dxa"/>
            </w:tcMar>
            <w:vAlign w:val="center"/>
          </w:tcPr>
          <w:p>
            <w:pPr>
              <w:jc w:val="left"/>
            </w:pPr>
            <w:r>
              <w:rPr>
                <w:sz w:val="19"/>
              </w:rPr>
              <w:t>5G、Wi-Fi、蓝牙、射频前端和连接系统</w:t>
            </w:r>
          </w:p>
        </w:tc>
        <w:tc>
          <w:tcPr>
            <w:tcW w:type="dxa" w:w="3960"/>
            <w:tcMar>
              <w:top w:w="80" w:type="dxa"/>
              <w:bottom w:w="80" w:type="dxa"/>
              <w:start w:w="120" w:type="dxa"/>
              <w:end w:w="120" w:type="dxa"/>
            </w:tcMar>
            <w:vAlign w:val="center"/>
          </w:tcPr>
          <w:p>
            <w:pPr>
              <w:jc w:val="left"/>
            </w:pPr>
            <w:r>
              <w:rPr>
                <w:sz w:val="19"/>
              </w:rPr>
              <w:t>Agent 常驻化要求低延迟、低功耗、高可靠连接，连接能力是端云协同基础</w:t>
            </w:r>
          </w:p>
        </w:tc>
      </w:tr>
      <w:tr>
        <w:tc>
          <w:tcPr>
            <w:tcW w:type="dxa" w:w="1700"/>
            <w:tcMar>
              <w:top w:w="80" w:type="dxa"/>
              <w:bottom w:w="80" w:type="dxa"/>
              <w:start w:w="120" w:type="dxa"/>
              <w:end w:w="120" w:type="dxa"/>
            </w:tcMar>
            <w:vAlign w:val="center"/>
          </w:tcPr>
          <w:p>
            <w:pPr>
              <w:jc w:val="center"/>
            </w:pPr>
            <w:r>
              <w:rPr>
                <w:sz w:val="19"/>
              </w:rPr>
              <w:t>QTL 授权</w:t>
            </w:r>
          </w:p>
        </w:tc>
        <w:tc>
          <w:tcPr>
            <w:tcW w:type="dxa" w:w="3700"/>
            <w:tcMar>
              <w:top w:w="80" w:type="dxa"/>
              <w:bottom w:w="80" w:type="dxa"/>
              <w:start w:w="120" w:type="dxa"/>
              <w:end w:w="120" w:type="dxa"/>
            </w:tcMar>
            <w:vAlign w:val="center"/>
          </w:tcPr>
          <w:p>
            <w:pPr>
              <w:jc w:val="left"/>
            </w:pPr>
            <w:r>
              <w:rPr>
                <w:sz w:val="19"/>
              </w:rPr>
              <w:t>蜂窝通信标准必要专利和授权收入</w:t>
            </w:r>
          </w:p>
        </w:tc>
        <w:tc>
          <w:tcPr>
            <w:tcW w:type="dxa" w:w="3960"/>
            <w:tcMar>
              <w:top w:w="80" w:type="dxa"/>
              <w:bottom w:w="80" w:type="dxa"/>
              <w:start w:w="120" w:type="dxa"/>
              <w:end w:w="120" w:type="dxa"/>
            </w:tcMar>
            <w:vAlign w:val="center"/>
          </w:tcPr>
          <w:p>
            <w:pPr>
              <w:jc w:val="left"/>
            </w:pPr>
            <w:r>
              <w:rPr>
                <w:sz w:val="19"/>
              </w:rPr>
              <w:t>不直接等同 AI，但提供高利润现金流和通信生态壁垒</w:t>
            </w:r>
          </w:p>
        </w:tc>
      </w:tr>
    </w:tbl>
    <w:p/>
    <w:p>
      <w:pPr>
        <w:pStyle w:val="Heading2"/>
      </w:pPr>
      <w:r>
        <w:t>3.2 端侧 AI Agent 路线</w:t>
      </w:r>
    </w:p>
    <w:p>
      <w:pPr>
        <w:spacing w:after="120" w:line="264" w:lineRule="auto"/>
      </w:pPr>
      <w:r>
        <w:rPr>
          <w:sz w:val="22"/>
        </w:rPr>
        <w:t>高通的 Agent 路线不是“训练更大的模型”，而是让模型在终端上持续、低功耗、安全地运行。端侧 Agent 的价值在于低延迟、隐私保护、离线可用、传感器融合和个性化上下文保留。手机、PC、汽车和工业终端都具备天然传感器与身份入口，适合形成常驻式智能代理。</w:t>
      </w:r>
    </w:p>
    <w:tbl>
      <w:tblPr>
        <w:tblStyle w:val="TableGrid"/>
        <w:tblW w:type="dxa" w:w="9360"/>
        <w:jc w:val="center"/>
        <w:tblLook w:firstColumn="1" w:firstRow="1" w:lastColumn="0" w:lastRow="0" w:noHBand="0" w:noVBand="1" w:val="04A0"/>
        <w:tblInd w:w="120" w:type="dxa"/>
      </w:tblPr>
      <w:tblGrid>
        <w:gridCol w:w="9360"/>
      </w:tblGrid>
      <w:tr>
        <w:tc>
          <w:tcPr>
            <w:tcW w:type="dxa" w:w="9360"/>
            <w:shd w:fill="EAF4EA"/>
            <w:tcMar>
              <w:top w:w="80" w:type="dxa"/>
              <w:bottom w:w="80" w:type="dxa"/>
              <w:start w:w="120" w:type="dxa"/>
              <w:end w:w="120" w:type="dxa"/>
            </w:tcMar>
            <w:vAlign w:val="center"/>
          </w:tcPr>
          <w:p>
            <w:r>
              <w:rPr>
                <w:b/>
                <w:color w:val="1F4D78"/>
              </w:rPr>
              <w:t>核心判断：</w:t>
            </w:r>
            <w:r>
              <w:t xml:space="preserve"> 高通的长期弹性来自“端侧 AI 渗透率提升 + 终端硬件更新周期 + 汽车/工业场景拓展”的组合，而不是单纯手机出货量增长。AI Agent 越从云端迁移到本地设备，高通的 NPU、Modem-RF、传感器处理和安全能力越具价值。</w:t>
            </w:r>
          </w:p>
        </w:tc>
      </w:tr>
    </w:tbl>
    <w:p/>
    <w:p>
      <w:pPr>
        <w:pStyle w:val="Heading2"/>
      </w:pPr>
      <w:r>
        <w:t>3.3 数据中心定制硅与边缘云协同</w:t>
      </w:r>
    </w:p>
    <w:p>
      <w:pPr>
        <w:spacing w:after="120" w:line="264" w:lineRule="auto"/>
      </w:pPr>
      <w:r>
        <w:rPr>
          <w:sz w:val="22"/>
        </w:rPr>
        <w:t>高通在数据中心 AI 训练 GPU 上并不具备英伟达式主导地位，但其低功耗设计、Arm SoC、连接 IP 和定制硅能力使其可以参与特定客户的推理或加速项目。FY2026 Q2 财报材料披露，公司预计数据中心定制硅项目将在 2026 年内开始初始出货。该业务更适合被视为可选增量，而非当前估值的主驱动。</w:t>
      </w:r>
    </w:p>
    <w:p>
      <w:pPr>
        <w:spacing w:after="120" w:line="264" w:lineRule="auto"/>
      </w:pPr>
      <w:r>
        <w:rPr>
          <w:sz w:val="22"/>
        </w:rPr>
        <w:t>若高通完成对 Alphawave Semi 的收购，公司的高速 SerDes、有线连接和定制硅能力将增强，有助于补足数据中心互联短板。但在报告日 2026年6月4日，该交易仍不应按已完成并表处理。</w:t>
      </w:r>
    </w:p>
    <w:p>
      <w:pPr>
        <w:pStyle w:val="Heading2"/>
      </w:pPr>
      <w:r>
        <w:t>3.4 技术护城河</w:t>
      </w:r>
    </w:p>
    <w:p>
      <w:pPr>
        <w:pStyle w:val="ListBullet"/>
        <w:spacing w:after="80" w:line="280" w:lineRule="auto"/>
        <w:ind w:left="720" w:hanging="360"/>
      </w:pPr>
      <w:r>
        <w:t>通信标准与专利：QTL 授权业务建立在长期蜂窝标准积累之上，是高利润率和现金流稳定性的关键。</w:t>
      </w:r>
    </w:p>
    <w:p>
      <w:pPr>
        <w:pStyle w:val="ListBullet"/>
        <w:spacing w:after="80" w:line="280" w:lineRule="auto"/>
        <w:ind w:left="720" w:hanging="360"/>
      </w:pPr>
      <w:r>
        <w:t>SoC 集成能力：CPU、GPU、NPU、ISP、DSP、Modem-RF 与电源管理的系统级协同，是端侧 AI 性能/功耗比的核心。</w:t>
      </w:r>
    </w:p>
    <w:p>
      <w:pPr>
        <w:pStyle w:val="ListBullet"/>
        <w:spacing w:after="80" w:line="280" w:lineRule="auto"/>
        <w:ind w:left="720" w:hanging="360"/>
      </w:pPr>
      <w:r>
        <w:t>安卓旗舰生态：高通与三星、小米、荣耀、OPPO、vivo 等安卓客户绑定深，旗舰机更新推动平台迭代。</w:t>
      </w:r>
    </w:p>
    <w:p>
      <w:pPr>
        <w:pStyle w:val="ListBullet"/>
        <w:spacing w:after="80" w:line="280" w:lineRule="auto"/>
        <w:ind w:left="720" w:hanging="360"/>
      </w:pPr>
      <w:r>
        <w:t>车载设计周期：汽车芯片验证和量产周期长，一旦进入车型平台，客户黏性和收入可见度高于消费电子。</w:t>
      </w:r>
    </w:p>
    <w:p>
      <w:pPr>
        <w:pStyle w:val="ListBullet"/>
        <w:spacing w:after="80" w:line="280" w:lineRule="auto"/>
        <w:ind w:left="720" w:hanging="360"/>
      </w:pPr>
      <w:r>
        <w:t>低功耗 AI：端侧 Agent 需要在电池、热设计和隐私约束下运行，高通的边缘推理经验具备差异化。</w:t>
      </w:r>
    </w:p>
    <w:p>
      <w:pPr>
        <w:pStyle w:val="Heading1"/>
      </w:pPr>
      <w:r>
        <w:t>四、AI Agent 生态链与商业模式</w:t>
      </w:r>
    </w:p>
    <w:p>
      <w:pPr>
        <w:pStyle w:val="Heading2"/>
      </w:pPr>
      <w:r>
        <w:t>4.1 产业链映射</w:t>
      </w:r>
    </w:p>
    <w:tbl>
      <w:tblPr>
        <w:tblStyle w:val="TableGrid"/>
        <w:tblW w:type="dxa" w:w="9360"/>
        <w:jc w:val="center"/>
        <w:tblLook w:firstColumn="1" w:firstRow="1" w:lastColumn="0" w:lastRow="0" w:noHBand="0" w:noVBand="1" w:val="04A0"/>
        <w:tblInd w:w="120" w:type="dxa"/>
      </w:tblPr>
      <w:tblGrid>
        <w:gridCol w:w="1700"/>
        <w:gridCol w:w="2500"/>
        <w:gridCol w:w="3100"/>
        <w:gridCol w:w="2060"/>
      </w:tblGrid>
      <w:tr>
        <w:trPr>
          <w:tblHeader w:val="true"/>
        </w:trPr>
        <w:tc>
          <w:tcPr>
            <w:tcW w:type="dxa" w:w="1700"/>
            <w:shd w:fill="E8EEF5"/>
            <w:tcMar>
              <w:top w:w="80" w:type="dxa"/>
              <w:bottom w:w="80" w:type="dxa"/>
              <w:start w:w="120" w:type="dxa"/>
              <w:end w:w="120" w:type="dxa"/>
            </w:tcMar>
            <w:vAlign w:val="center"/>
          </w:tcPr>
          <w:p>
            <w:pPr>
              <w:jc w:val="center"/>
            </w:pPr>
            <w:r>
              <w:rPr>
                <w:b/>
                <w:sz w:val="19"/>
              </w:rPr>
              <w:t>AI Agent 生态层</w:t>
            </w:r>
          </w:p>
        </w:tc>
        <w:tc>
          <w:tcPr>
            <w:tcW w:type="dxa" w:w="2500"/>
            <w:shd w:fill="E8EEF5"/>
            <w:tcMar>
              <w:top w:w="80" w:type="dxa"/>
              <w:bottom w:w="80" w:type="dxa"/>
              <w:start w:w="120" w:type="dxa"/>
              <w:end w:w="120" w:type="dxa"/>
            </w:tcMar>
            <w:vAlign w:val="center"/>
          </w:tcPr>
          <w:p>
            <w:pPr>
              <w:jc w:val="center"/>
            </w:pPr>
            <w:r>
              <w:rPr>
                <w:b/>
                <w:sz w:val="19"/>
              </w:rPr>
              <w:t>高通卡位</w:t>
            </w:r>
          </w:p>
        </w:tc>
        <w:tc>
          <w:tcPr>
            <w:tcW w:type="dxa" w:w="3100"/>
            <w:shd w:fill="E8EEF5"/>
            <w:tcMar>
              <w:top w:w="80" w:type="dxa"/>
              <w:bottom w:w="80" w:type="dxa"/>
              <w:start w:w="120" w:type="dxa"/>
              <w:end w:w="120" w:type="dxa"/>
            </w:tcMar>
            <w:vAlign w:val="center"/>
          </w:tcPr>
          <w:p>
            <w:pPr>
              <w:jc w:val="center"/>
            </w:pPr>
            <w:r>
              <w:rPr>
                <w:b/>
                <w:sz w:val="19"/>
              </w:rPr>
              <w:t>受益逻辑</w:t>
            </w:r>
          </w:p>
        </w:tc>
        <w:tc>
          <w:tcPr>
            <w:tcW w:type="dxa" w:w="2060"/>
            <w:shd w:fill="E8EEF5"/>
            <w:tcMar>
              <w:top w:w="80" w:type="dxa"/>
              <w:bottom w:w="80" w:type="dxa"/>
              <w:start w:w="120" w:type="dxa"/>
              <w:end w:w="120" w:type="dxa"/>
            </w:tcMar>
            <w:vAlign w:val="center"/>
          </w:tcPr>
          <w:p>
            <w:pPr>
              <w:jc w:val="center"/>
            </w:pPr>
            <w:r>
              <w:rPr>
                <w:b/>
                <w:sz w:val="19"/>
              </w:rPr>
              <w:t>A股/产业映射方向</w:t>
            </w:r>
          </w:p>
        </w:tc>
      </w:tr>
      <w:tr>
        <w:tc>
          <w:tcPr>
            <w:tcW w:type="dxa" w:w="1700"/>
            <w:tcMar>
              <w:top w:w="80" w:type="dxa"/>
              <w:bottom w:w="80" w:type="dxa"/>
              <w:start w:w="120" w:type="dxa"/>
              <w:end w:w="120" w:type="dxa"/>
            </w:tcMar>
            <w:vAlign w:val="center"/>
          </w:tcPr>
          <w:p>
            <w:pPr>
              <w:jc w:val="center"/>
            </w:pPr>
            <w:r>
              <w:rPr>
                <w:sz w:val="19"/>
              </w:rPr>
              <w:t>AI Agent 应用入口</w:t>
            </w:r>
          </w:p>
        </w:tc>
        <w:tc>
          <w:tcPr>
            <w:tcW w:type="dxa" w:w="2500"/>
            <w:tcMar>
              <w:top w:w="80" w:type="dxa"/>
              <w:bottom w:w="80" w:type="dxa"/>
              <w:start w:w="120" w:type="dxa"/>
              <w:end w:w="120" w:type="dxa"/>
            </w:tcMar>
            <w:vAlign w:val="center"/>
          </w:tcPr>
          <w:p>
            <w:pPr>
              <w:jc w:val="left"/>
            </w:pPr>
            <w:r>
              <w:rPr>
                <w:sz w:val="19"/>
              </w:rPr>
              <w:t>手机、AI PC、车载座舱、XR</w:t>
            </w:r>
          </w:p>
        </w:tc>
        <w:tc>
          <w:tcPr>
            <w:tcW w:type="dxa" w:w="3100"/>
            <w:tcMar>
              <w:top w:w="80" w:type="dxa"/>
              <w:bottom w:w="80" w:type="dxa"/>
              <w:start w:w="120" w:type="dxa"/>
              <w:end w:w="120" w:type="dxa"/>
            </w:tcMar>
            <w:vAlign w:val="center"/>
          </w:tcPr>
          <w:p>
            <w:pPr>
              <w:jc w:val="left"/>
            </w:pPr>
            <w:r>
              <w:rPr>
                <w:sz w:val="19"/>
              </w:rPr>
              <w:t>Agent 常驻化推动终端换机、NPU 升级和多模态交互需求</w:t>
            </w:r>
          </w:p>
        </w:tc>
        <w:tc>
          <w:tcPr>
            <w:tcW w:type="dxa" w:w="2060"/>
            <w:tcMar>
              <w:top w:w="80" w:type="dxa"/>
              <w:bottom w:w="80" w:type="dxa"/>
              <w:start w:w="120" w:type="dxa"/>
              <w:end w:w="120" w:type="dxa"/>
            </w:tcMar>
            <w:vAlign w:val="center"/>
          </w:tcPr>
          <w:p>
            <w:pPr>
              <w:jc w:val="left"/>
            </w:pPr>
            <w:r>
              <w:rPr>
                <w:sz w:val="19"/>
              </w:rPr>
              <w:t>消费电子、AI PC、智能座舱</w:t>
            </w:r>
          </w:p>
        </w:tc>
      </w:tr>
      <w:tr>
        <w:tc>
          <w:tcPr>
            <w:tcW w:type="dxa" w:w="1700"/>
            <w:tcMar>
              <w:top w:w="80" w:type="dxa"/>
              <w:bottom w:w="80" w:type="dxa"/>
              <w:start w:w="120" w:type="dxa"/>
              <w:end w:w="120" w:type="dxa"/>
            </w:tcMar>
            <w:vAlign w:val="center"/>
          </w:tcPr>
          <w:p>
            <w:pPr>
              <w:jc w:val="center"/>
            </w:pPr>
            <w:r>
              <w:rPr>
                <w:sz w:val="19"/>
              </w:rPr>
              <w:t>Agent Security</w:t>
            </w:r>
          </w:p>
        </w:tc>
        <w:tc>
          <w:tcPr>
            <w:tcW w:type="dxa" w:w="2500"/>
            <w:tcMar>
              <w:top w:w="80" w:type="dxa"/>
              <w:bottom w:w="80" w:type="dxa"/>
              <w:start w:w="120" w:type="dxa"/>
              <w:end w:w="120" w:type="dxa"/>
            </w:tcMar>
            <w:vAlign w:val="center"/>
          </w:tcPr>
          <w:p>
            <w:pPr>
              <w:jc w:val="left"/>
            </w:pPr>
            <w:r>
              <w:rPr>
                <w:sz w:val="19"/>
              </w:rPr>
              <w:t>Secure processor、可信执行环境、端侧隐私计算</w:t>
            </w:r>
          </w:p>
        </w:tc>
        <w:tc>
          <w:tcPr>
            <w:tcW w:type="dxa" w:w="3100"/>
            <w:tcMar>
              <w:top w:w="80" w:type="dxa"/>
              <w:bottom w:w="80" w:type="dxa"/>
              <w:start w:w="120" w:type="dxa"/>
              <w:end w:w="120" w:type="dxa"/>
            </w:tcMar>
            <w:vAlign w:val="center"/>
          </w:tcPr>
          <w:p>
            <w:pPr>
              <w:jc w:val="left"/>
            </w:pPr>
            <w:r>
              <w:rPr>
                <w:sz w:val="19"/>
              </w:rPr>
              <w:t>本地运行降低数据外传风险，终端安全成为 Agent 落地前提</w:t>
            </w:r>
          </w:p>
        </w:tc>
        <w:tc>
          <w:tcPr>
            <w:tcW w:type="dxa" w:w="2060"/>
            <w:tcMar>
              <w:top w:w="80" w:type="dxa"/>
              <w:bottom w:w="80" w:type="dxa"/>
              <w:start w:w="120" w:type="dxa"/>
              <w:end w:w="120" w:type="dxa"/>
            </w:tcMar>
            <w:vAlign w:val="center"/>
          </w:tcPr>
          <w:p>
            <w:pPr>
              <w:jc w:val="left"/>
            </w:pPr>
            <w:r>
              <w:rPr>
                <w:sz w:val="19"/>
              </w:rPr>
              <w:t>终端安全、信创安全、身份认证</w:t>
            </w:r>
          </w:p>
        </w:tc>
      </w:tr>
      <w:tr>
        <w:tc>
          <w:tcPr>
            <w:tcW w:type="dxa" w:w="1700"/>
            <w:tcMar>
              <w:top w:w="80" w:type="dxa"/>
              <w:bottom w:w="80" w:type="dxa"/>
              <w:start w:w="120" w:type="dxa"/>
              <w:end w:w="120" w:type="dxa"/>
            </w:tcMar>
            <w:vAlign w:val="center"/>
          </w:tcPr>
          <w:p>
            <w:pPr>
              <w:jc w:val="center"/>
            </w:pPr>
            <w:r>
              <w:rPr>
                <w:sz w:val="19"/>
              </w:rPr>
              <w:t>AI 互联</w:t>
            </w:r>
          </w:p>
        </w:tc>
        <w:tc>
          <w:tcPr>
            <w:tcW w:type="dxa" w:w="2500"/>
            <w:tcMar>
              <w:top w:w="80" w:type="dxa"/>
              <w:bottom w:w="80" w:type="dxa"/>
              <w:start w:w="120" w:type="dxa"/>
              <w:end w:w="120" w:type="dxa"/>
            </w:tcMar>
            <w:vAlign w:val="center"/>
          </w:tcPr>
          <w:p>
            <w:pPr>
              <w:jc w:val="left"/>
            </w:pPr>
            <w:r>
              <w:rPr>
                <w:sz w:val="19"/>
              </w:rPr>
              <w:t>5G、Wi-Fi、蓝牙、Modem-RF、潜在高速有线 IP</w:t>
            </w:r>
          </w:p>
        </w:tc>
        <w:tc>
          <w:tcPr>
            <w:tcW w:type="dxa" w:w="3100"/>
            <w:tcMar>
              <w:top w:w="80" w:type="dxa"/>
              <w:bottom w:w="80" w:type="dxa"/>
              <w:start w:w="120" w:type="dxa"/>
              <w:end w:w="120" w:type="dxa"/>
            </w:tcMar>
            <w:vAlign w:val="center"/>
          </w:tcPr>
          <w:p>
            <w:pPr>
              <w:jc w:val="left"/>
            </w:pPr>
            <w:r>
              <w:rPr>
                <w:sz w:val="19"/>
              </w:rPr>
              <w:t>端云协同需要低延迟连接和多设备协作，连接价值量提升</w:t>
            </w:r>
          </w:p>
        </w:tc>
        <w:tc>
          <w:tcPr>
            <w:tcW w:type="dxa" w:w="2060"/>
            <w:tcMar>
              <w:top w:w="80" w:type="dxa"/>
              <w:bottom w:w="80" w:type="dxa"/>
              <w:start w:w="120" w:type="dxa"/>
              <w:end w:w="120" w:type="dxa"/>
            </w:tcMar>
            <w:vAlign w:val="center"/>
          </w:tcPr>
          <w:p>
            <w:pPr>
              <w:jc w:val="left"/>
            </w:pPr>
            <w:r>
              <w:rPr>
                <w:sz w:val="19"/>
              </w:rPr>
              <w:t>连接器、射频、通信模组、边缘网关</w:t>
            </w:r>
          </w:p>
        </w:tc>
      </w:tr>
      <w:tr>
        <w:tc>
          <w:tcPr>
            <w:tcW w:type="dxa" w:w="1700"/>
            <w:tcMar>
              <w:top w:w="80" w:type="dxa"/>
              <w:bottom w:w="80" w:type="dxa"/>
              <w:start w:w="120" w:type="dxa"/>
              <w:end w:w="120" w:type="dxa"/>
            </w:tcMar>
            <w:vAlign w:val="center"/>
          </w:tcPr>
          <w:p>
            <w:pPr>
              <w:jc w:val="center"/>
            </w:pPr>
            <w:r>
              <w:rPr>
                <w:sz w:val="19"/>
              </w:rPr>
              <w:t>Physical AI</w:t>
            </w:r>
          </w:p>
        </w:tc>
        <w:tc>
          <w:tcPr>
            <w:tcW w:type="dxa" w:w="2500"/>
            <w:tcMar>
              <w:top w:w="80" w:type="dxa"/>
              <w:bottom w:w="80" w:type="dxa"/>
              <w:start w:w="120" w:type="dxa"/>
              <w:end w:w="120" w:type="dxa"/>
            </w:tcMar>
            <w:vAlign w:val="center"/>
          </w:tcPr>
          <w:p>
            <w:pPr>
              <w:jc w:val="left"/>
            </w:pPr>
            <w:r>
              <w:rPr>
                <w:sz w:val="19"/>
              </w:rPr>
              <w:t>汽车、机器人、工业 IoT、摄像头和传感器终端</w:t>
            </w:r>
          </w:p>
        </w:tc>
        <w:tc>
          <w:tcPr>
            <w:tcW w:type="dxa" w:w="3100"/>
            <w:tcMar>
              <w:top w:w="80" w:type="dxa"/>
              <w:bottom w:w="80" w:type="dxa"/>
              <w:start w:w="120" w:type="dxa"/>
              <w:end w:w="120" w:type="dxa"/>
            </w:tcMar>
            <w:vAlign w:val="center"/>
          </w:tcPr>
          <w:p>
            <w:pPr>
              <w:jc w:val="left"/>
            </w:pPr>
            <w:r>
              <w:rPr>
                <w:sz w:val="19"/>
              </w:rPr>
              <w:t>Agent 从对话走向物理世界，要求感知、决策和控制一体化</w:t>
            </w:r>
          </w:p>
        </w:tc>
        <w:tc>
          <w:tcPr>
            <w:tcW w:type="dxa" w:w="2060"/>
            <w:tcMar>
              <w:top w:w="80" w:type="dxa"/>
              <w:bottom w:w="80" w:type="dxa"/>
              <w:start w:w="120" w:type="dxa"/>
              <w:end w:w="120" w:type="dxa"/>
            </w:tcMar>
            <w:vAlign w:val="center"/>
          </w:tcPr>
          <w:p>
            <w:pPr>
              <w:jc w:val="left"/>
            </w:pPr>
            <w:r>
              <w:rPr>
                <w:sz w:val="19"/>
              </w:rPr>
              <w:t>智能驾驶、机器人、工业边缘 AI</w:t>
            </w:r>
          </w:p>
        </w:tc>
      </w:tr>
      <w:tr>
        <w:tc>
          <w:tcPr>
            <w:tcW w:type="dxa" w:w="1700"/>
            <w:tcMar>
              <w:top w:w="80" w:type="dxa"/>
              <w:bottom w:w="80" w:type="dxa"/>
              <w:start w:w="120" w:type="dxa"/>
              <w:end w:w="120" w:type="dxa"/>
            </w:tcMar>
            <w:vAlign w:val="center"/>
          </w:tcPr>
          <w:p>
            <w:pPr>
              <w:jc w:val="center"/>
            </w:pPr>
            <w:r>
              <w:rPr>
                <w:sz w:val="19"/>
              </w:rPr>
              <w:t>定制硅/边缘云</w:t>
            </w:r>
          </w:p>
        </w:tc>
        <w:tc>
          <w:tcPr>
            <w:tcW w:type="dxa" w:w="2500"/>
            <w:tcMar>
              <w:top w:w="80" w:type="dxa"/>
              <w:bottom w:w="80" w:type="dxa"/>
              <w:start w:w="120" w:type="dxa"/>
              <w:end w:w="120" w:type="dxa"/>
            </w:tcMar>
            <w:vAlign w:val="center"/>
          </w:tcPr>
          <w:p>
            <w:pPr>
              <w:jc w:val="left"/>
            </w:pPr>
            <w:r>
              <w:rPr>
                <w:sz w:val="19"/>
              </w:rPr>
              <w:t>数据中心定制硅初始出货计划、Alphawave 相关能力</w:t>
            </w:r>
          </w:p>
        </w:tc>
        <w:tc>
          <w:tcPr>
            <w:tcW w:type="dxa" w:w="3100"/>
            <w:tcMar>
              <w:top w:w="80" w:type="dxa"/>
              <w:bottom w:w="80" w:type="dxa"/>
              <w:start w:w="120" w:type="dxa"/>
              <w:end w:w="120" w:type="dxa"/>
            </w:tcMar>
            <w:vAlign w:val="center"/>
          </w:tcPr>
          <w:p>
            <w:pPr>
              <w:jc w:val="left"/>
            </w:pPr>
            <w:r>
              <w:rPr>
                <w:sz w:val="19"/>
              </w:rPr>
              <w:t>若客户需要低功耗推理 ASIC，高通具备参与机会</w:t>
            </w:r>
          </w:p>
        </w:tc>
        <w:tc>
          <w:tcPr>
            <w:tcW w:type="dxa" w:w="2060"/>
            <w:tcMar>
              <w:top w:w="80" w:type="dxa"/>
              <w:bottom w:w="80" w:type="dxa"/>
              <w:start w:w="120" w:type="dxa"/>
              <w:end w:w="120" w:type="dxa"/>
            </w:tcMar>
            <w:vAlign w:val="center"/>
          </w:tcPr>
          <w:p>
            <w:pPr>
              <w:jc w:val="left"/>
            </w:pPr>
            <w:r>
              <w:rPr>
                <w:sz w:val="19"/>
              </w:rPr>
              <w:t>AI ASIC、服务器、封测与高速互联</w:t>
            </w:r>
          </w:p>
        </w:tc>
      </w:tr>
    </w:tbl>
    <w:p/>
    <w:p>
      <w:pPr>
        <w:pStyle w:val="Heading2"/>
      </w:pPr>
      <w:r>
        <w:t>4.2 商业模式</w:t>
      </w:r>
    </w:p>
    <w:p>
      <w:pPr>
        <w:spacing w:after="120" w:line="264" w:lineRule="auto"/>
      </w:pPr>
      <w:r>
        <w:rPr>
          <w:sz w:val="22"/>
        </w:rPr>
        <w:t>高通商业模式由“芯片销售 + 专利授权”双轮驱动。QCT 分部销售手机、汽车和 IoT 芯片及相关系统，收入弹性更强但受周期影响；QTL 分部通过技术授权获得高利润率收入，稳定性更高但受监管、客户谈判和诉讼影响。</w:t>
      </w:r>
    </w:p>
    <w:p>
      <w:pPr>
        <w:spacing w:after="120" w:line="264" w:lineRule="auto"/>
      </w:pPr>
      <w:r>
        <w:rPr>
          <w:sz w:val="22"/>
        </w:rPr>
        <w:t>AI Agent 时代的商业模式变化在于：单一 SoC 的价值不再只由 CPU/GPU 性能决定，而由 NPU 算力、传感器处理、连接、隐私、安全、系统软件和生态工具共同决定。高通若能把 Snapdragon 平台从手机芯片扩展为端侧 Agent 平台，其商业价值将从“供应链零部件”上移到“终端 AI 操作底座”。</w:t>
      </w:r>
    </w:p>
    <w:p>
      <w:pPr>
        <w:pStyle w:val="Heading2"/>
      </w:pPr>
      <w:r>
        <w:t>4.3 客户结构</w:t>
      </w:r>
    </w:p>
    <w:p>
      <w:pPr>
        <w:spacing w:after="120" w:line="264" w:lineRule="auto"/>
      </w:pPr>
      <w:r>
        <w:rPr>
          <w:sz w:val="22"/>
        </w:rPr>
        <w:t>公司客户包括全球安卓手机 OEM、汽车厂商与 Tier 1、PC OEM、工业/企业设备商、运营商和专利授权客户。手机客户结构仍具集中度，且苹果自研基带长期构成不确定性；汽车和 IoT 则是分散手机周期、提升成长可见度的关键。</w:t>
      </w:r>
    </w:p>
    <w:p>
      <w:pPr>
        <w:pStyle w:val="Heading1"/>
      </w:pPr>
      <w:r>
        <w:t>五、行业竞争格局</w:t>
      </w:r>
    </w:p>
    <w:p>
      <w:pPr>
        <w:pStyle w:val="Heading2"/>
      </w:pPr>
      <w:r>
        <w:t>5.1 竞争者矩阵</w:t>
      </w:r>
    </w:p>
    <w:tbl>
      <w:tblPr>
        <w:tblStyle w:val="TableGrid"/>
        <w:tblW w:type="dxa" w:w="9360"/>
        <w:jc w:val="center"/>
        <w:tblLook w:firstColumn="1" w:firstRow="1" w:lastColumn="0" w:lastRow="0" w:noHBand="0" w:noVBand="1" w:val="04A0"/>
        <w:tblInd w:w="120" w:type="dxa"/>
      </w:tblPr>
      <w:tblGrid>
        <w:gridCol w:w="1600"/>
        <w:gridCol w:w="2200"/>
        <w:gridCol w:w="2900"/>
        <w:gridCol w:w="2660"/>
      </w:tblGrid>
      <w:tr>
        <w:trPr>
          <w:tblHeader w:val="true"/>
        </w:trPr>
        <w:tc>
          <w:tcPr>
            <w:tcW w:type="dxa" w:w="1600"/>
            <w:shd w:fill="F2F4F7"/>
            <w:tcMar>
              <w:top w:w="80" w:type="dxa"/>
              <w:bottom w:w="80" w:type="dxa"/>
              <w:start w:w="120" w:type="dxa"/>
              <w:end w:w="120" w:type="dxa"/>
            </w:tcMar>
            <w:vAlign w:val="center"/>
          </w:tcPr>
          <w:p>
            <w:pPr>
              <w:jc w:val="center"/>
            </w:pPr>
            <w:r>
              <w:rPr>
                <w:b/>
                <w:sz w:val="19"/>
              </w:rPr>
              <w:t>领域</w:t>
            </w:r>
          </w:p>
        </w:tc>
        <w:tc>
          <w:tcPr>
            <w:tcW w:type="dxa" w:w="2200"/>
            <w:shd w:fill="F2F4F7"/>
            <w:tcMar>
              <w:top w:w="80" w:type="dxa"/>
              <w:bottom w:w="80" w:type="dxa"/>
              <w:start w:w="120" w:type="dxa"/>
              <w:end w:w="120" w:type="dxa"/>
            </w:tcMar>
            <w:vAlign w:val="center"/>
          </w:tcPr>
          <w:p>
            <w:pPr>
              <w:jc w:val="center"/>
            </w:pPr>
            <w:r>
              <w:rPr>
                <w:b/>
                <w:sz w:val="19"/>
              </w:rPr>
              <w:t>主要竞争者</w:t>
            </w:r>
          </w:p>
        </w:tc>
        <w:tc>
          <w:tcPr>
            <w:tcW w:type="dxa" w:w="2900"/>
            <w:shd w:fill="F2F4F7"/>
            <w:tcMar>
              <w:top w:w="80" w:type="dxa"/>
              <w:bottom w:w="80" w:type="dxa"/>
              <w:start w:w="120" w:type="dxa"/>
              <w:end w:w="120" w:type="dxa"/>
            </w:tcMar>
            <w:vAlign w:val="center"/>
          </w:tcPr>
          <w:p>
            <w:pPr>
              <w:jc w:val="center"/>
            </w:pPr>
            <w:r>
              <w:rPr>
                <w:b/>
                <w:sz w:val="19"/>
              </w:rPr>
              <w:t>高通优势</w:t>
            </w:r>
          </w:p>
        </w:tc>
        <w:tc>
          <w:tcPr>
            <w:tcW w:type="dxa" w:w="2660"/>
            <w:shd w:fill="F2F4F7"/>
            <w:tcMar>
              <w:top w:w="80" w:type="dxa"/>
              <w:bottom w:w="80" w:type="dxa"/>
              <w:start w:w="120" w:type="dxa"/>
              <w:end w:w="120" w:type="dxa"/>
            </w:tcMar>
            <w:vAlign w:val="center"/>
          </w:tcPr>
          <w:p>
            <w:pPr>
              <w:jc w:val="center"/>
            </w:pPr>
            <w:r>
              <w:rPr>
                <w:b/>
                <w:sz w:val="19"/>
              </w:rPr>
              <w:t>主要压力</w:t>
            </w:r>
          </w:p>
        </w:tc>
      </w:tr>
      <w:tr>
        <w:tc>
          <w:tcPr>
            <w:tcW w:type="dxa" w:w="1600"/>
            <w:tcMar>
              <w:top w:w="80" w:type="dxa"/>
              <w:bottom w:w="80" w:type="dxa"/>
              <w:start w:w="120" w:type="dxa"/>
              <w:end w:w="120" w:type="dxa"/>
            </w:tcMar>
            <w:vAlign w:val="center"/>
          </w:tcPr>
          <w:p>
            <w:pPr>
              <w:jc w:val="center"/>
            </w:pPr>
            <w:r>
              <w:rPr>
                <w:sz w:val="19"/>
              </w:rPr>
              <w:t>高端手机 SoC</w:t>
            </w:r>
          </w:p>
        </w:tc>
        <w:tc>
          <w:tcPr>
            <w:tcW w:type="dxa" w:w="2200"/>
            <w:tcMar>
              <w:top w:w="80" w:type="dxa"/>
              <w:bottom w:w="80" w:type="dxa"/>
              <w:start w:w="120" w:type="dxa"/>
              <w:end w:w="120" w:type="dxa"/>
            </w:tcMar>
            <w:vAlign w:val="center"/>
          </w:tcPr>
          <w:p>
            <w:pPr>
              <w:jc w:val="left"/>
            </w:pPr>
            <w:r>
              <w:rPr>
                <w:sz w:val="19"/>
              </w:rPr>
              <w:t>Apple、MediaTek、Samsung、Unisoc</w:t>
            </w:r>
          </w:p>
        </w:tc>
        <w:tc>
          <w:tcPr>
            <w:tcW w:type="dxa" w:w="2900"/>
            <w:tcMar>
              <w:top w:w="80" w:type="dxa"/>
              <w:bottom w:w="80" w:type="dxa"/>
              <w:start w:w="120" w:type="dxa"/>
              <w:end w:w="120" w:type="dxa"/>
            </w:tcMar>
            <w:vAlign w:val="center"/>
          </w:tcPr>
          <w:p>
            <w:pPr>
              <w:jc w:val="left"/>
            </w:pPr>
            <w:r>
              <w:rPr>
                <w:sz w:val="19"/>
              </w:rPr>
              <w:t>安卓旗舰生态、Modem-RF、NPU 与系统集成</w:t>
            </w:r>
          </w:p>
        </w:tc>
        <w:tc>
          <w:tcPr>
            <w:tcW w:type="dxa" w:w="2660"/>
            <w:tcMar>
              <w:top w:w="80" w:type="dxa"/>
              <w:bottom w:w="80" w:type="dxa"/>
              <w:start w:w="120" w:type="dxa"/>
              <w:end w:w="120" w:type="dxa"/>
            </w:tcMar>
            <w:vAlign w:val="center"/>
          </w:tcPr>
          <w:p>
            <w:pPr>
              <w:jc w:val="left"/>
            </w:pPr>
            <w:r>
              <w:rPr>
                <w:sz w:val="19"/>
              </w:rPr>
              <w:t>苹果自研生态封闭，MediaTek 在中高端持续进攻</w:t>
            </w:r>
          </w:p>
        </w:tc>
      </w:tr>
      <w:tr>
        <w:tc>
          <w:tcPr>
            <w:tcW w:type="dxa" w:w="1600"/>
            <w:tcMar>
              <w:top w:w="80" w:type="dxa"/>
              <w:bottom w:w="80" w:type="dxa"/>
              <w:start w:w="120" w:type="dxa"/>
              <w:end w:w="120" w:type="dxa"/>
            </w:tcMar>
            <w:vAlign w:val="center"/>
          </w:tcPr>
          <w:p>
            <w:pPr>
              <w:jc w:val="center"/>
            </w:pPr>
            <w:r>
              <w:rPr>
                <w:sz w:val="19"/>
              </w:rPr>
              <w:t>AI PC</w:t>
            </w:r>
          </w:p>
        </w:tc>
        <w:tc>
          <w:tcPr>
            <w:tcW w:type="dxa" w:w="2200"/>
            <w:tcMar>
              <w:top w:w="80" w:type="dxa"/>
              <w:bottom w:w="80" w:type="dxa"/>
              <w:start w:w="120" w:type="dxa"/>
              <w:end w:w="120" w:type="dxa"/>
            </w:tcMar>
            <w:vAlign w:val="center"/>
          </w:tcPr>
          <w:p>
            <w:pPr>
              <w:jc w:val="left"/>
            </w:pPr>
            <w:r>
              <w:rPr>
                <w:sz w:val="19"/>
              </w:rPr>
              <w:t>Apple、Intel、AMD、NVIDIA、MediaTek</w:t>
            </w:r>
          </w:p>
        </w:tc>
        <w:tc>
          <w:tcPr>
            <w:tcW w:type="dxa" w:w="2900"/>
            <w:tcMar>
              <w:top w:w="80" w:type="dxa"/>
              <w:bottom w:w="80" w:type="dxa"/>
              <w:start w:w="120" w:type="dxa"/>
              <w:end w:w="120" w:type="dxa"/>
            </w:tcMar>
            <w:vAlign w:val="center"/>
          </w:tcPr>
          <w:p>
            <w:pPr>
              <w:jc w:val="left"/>
            </w:pPr>
            <w:r>
              <w:rPr>
                <w:sz w:val="19"/>
              </w:rPr>
              <w:t>Arm 低功耗、NPU、移动连接和 Windows on Arm 先发</w:t>
            </w:r>
          </w:p>
        </w:tc>
        <w:tc>
          <w:tcPr>
            <w:tcW w:type="dxa" w:w="2660"/>
            <w:tcMar>
              <w:top w:w="80" w:type="dxa"/>
              <w:bottom w:w="80" w:type="dxa"/>
              <w:start w:w="120" w:type="dxa"/>
              <w:end w:w="120" w:type="dxa"/>
            </w:tcMar>
            <w:vAlign w:val="center"/>
          </w:tcPr>
          <w:p>
            <w:pPr>
              <w:jc w:val="left"/>
            </w:pPr>
            <w:r>
              <w:rPr>
                <w:sz w:val="19"/>
              </w:rPr>
              <w:t>软件兼容、企业采购惯性、x86 生态壁垒</w:t>
            </w:r>
          </w:p>
        </w:tc>
      </w:tr>
      <w:tr>
        <w:tc>
          <w:tcPr>
            <w:tcW w:type="dxa" w:w="1600"/>
            <w:tcMar>
              <w:top w:w="80" w:type="dxa"/>
              <w:bottom w:w="80" w:type="dxa"/>
              <w:start w:w="120" w:type="dxa"/>
              <w:end w:w="120" w:type="dxa"/>
            </w:tcMar>
            <w:vAlign w:val="center"/>
          </w:tcPr>
          <w:p>
            <w:pPr>
              <w:jc w:val="center"/>
            </w:pPr>
            <w:r>
              <w:rPr>
                <w:sz w:val="19"/>
              </w:rPr>
              <w:t>汽车智能化</w:t>
            </w:r>
          </w:p>
        </w:tc>
        <w:tc>
          <w:tcPr>
            <w:tcW w:type="dxa" w:w="2200"/>
            <w:tcMar>
              <w:top w:w="80" w:type="dxa"/>
              <w:bottom w:w="80" w:type="dxa"/>
              <w:start w:w="120" w:type="dxa"/>
              <w:end w:w="120" w:type="dxa"/>
            </w:tcMar>
            <w:vAlign w:val="center"/>
          </w:tcPr>
          <w:p>
            <w:pPr>
              <w:jc w:val="left"/>
            </w:pPr>
            <w:r>
              <w:rPr>
                <w:sz w:val="19"/>
              </w:rPr>
              <w:t>NVIDIA、Mobileye、Renesas、TI、NXP</w:t>
            </w:r>
          </w:p>
        </w:tc>
        <w:tc>
          <w:tcPr>
            <w:tcW w:type="dxa" w:w="2900"/>
            <w:tcMar>
              <w:top w:w="80" w:type="dxa"/>
              <w:bottom w:w="80" w:type="dxa"/>
              <w:start w:w="120" w:type="dxa"/>
              <w:end w:w="120" w:type="dxa"/>
            </w:tcMar>
            <w:vAlign w:val="center"/>
          </w:tcPr>
          <w:p>
            <w:pPr>
              <w:jc w:val="left"/>
            </w:pPr>
            <w:r>
              <w:rPr>
                <w:sz w:val="19"/>
              </w:rPr>
              <w:t>座舱+连接+ADAS 平台化能力，车厂合作广泛</w:t>
            </w:r>
          </w:p>
        </w:tc>
        <w:tc>
          <w:tcPr>
            <w:tcW w:type="dxa" w:w="2660"/>
            <w:tcMar>
              <w:top w:w="80" w:type="dxa"/>
              <w:bottom w:w="80" w:type="dxa"/>
              <w:start w:w="120" w:type="dxa"/>
              <w:end w:w="120" w:type="dxa"/>
            </w:tcMar>
            <w:vAlign w:val="center"/>
          </w:tcPr>
          <w:p>
            <w:pPr>
              <w:jc w:val="left"/>
            </w:pPr>
            <w:r>
              <w:rPr>
                <w:sz w:val="19"/>
              </w:rPr>
              <w:t>高阶自动驾驶算力和软件生态竞争激烈</w:t>
            </w:r>
          </w:p>
        </w:tc>
      </w:tr>
      <w:tr>
        <w:tc>
          <w:tcPr>
            <w:tcW w:type="dxa" w:w="1600"/>
            <w:tcMar>
              <w:top w:w="80" w:type="dxa"/>
              <w:bottom w:w="80" w:type="dxa"/>
              <w:start w:w="120" w:type="dxa"/>
              <w:end w:w="120" w:type="dxa"/>
            </w:tcMar>
            <w:vAlign w:val="center"/>
          </w:tcPr>
          <w:p>
            <w:pPr>
              <w:jc w:val="center"/>
            </w:pPr>
            <w:r>
              <w:rPr>
                <w:sz w:val="19"/>
              </w:rPr>
              <w:t>工业/IoT 边缘 AI</w:t>
            </w:r>
          </w:p>
        </w:tc>
        <w:tc>
          <w:tcPr>
            <w:tcW w:type="dxa" w:w="2200"/>
            <w:tcMar>
              <w:top w:w="80" w:type="dxa"/>
              <w:bottom w:w="80" w:type="dxa"/>
              <w:start w:w="120" w:type="dxa"/>
              <w:end w:w="120" w:type="dxa"/>
            </w:tcMar>
            <w:vAlign w:val="center"/>
          </w:tcPr>
          <w:p>
            <w:pPr>
              <w:jc w:val="left"/>
            </w:pPr>
            <w:r>
              <w:rPr>
                <w:sz w:val="19"/>
              </w:rPr>
              <w:t>NVIDIA Jetson、Intel、NXP、Ambarella、瑞芯微等</w:t>
            </w:r>
          </w:p>
        </w:tc>
        <w:tc>
          <w:tcPr>
            <w:tcW w:type="dxa" w:w="2900"/>
            <w:tcMar>
              <w:top w:w="80" w:type="dxa"/>
              <w:bottom w:w="80" w:type="dxa"/>
              <w:start w:w="120" w:type="dxa"/>
              <w:end w:w="120" w:type="dxa"/>
            </w:tcMar>
            <w:vAlign w:val="center"/>
          </w:tcPr>
          <w:p>
            <w:pPr>
              <w:jc w:val="left"/>
            </w:pPr>
            <w:r>
              <w:rPr>
                <w:sz w:val="19"/>
              </w:rPr>
              <w:t>低功耗连接、端侧推理、蜂窝/无线集成</w:t>
            </w:r>
          </w:p>
        </w:tc>
        <w:tc>
          <w:tcPr>
            <w:tcW w:type="dxa" w:w="2660"/>
            <w:tcMar>
              <w:top w:w="80" w:type="dxa"/>
              <w:bottom w:w="80" w:type="dxa"/>
              <w:start w:w="120" w:type="dxa"/>
              <w:end w:w="120" w:type="dxa"/>
            </w:tcMar>
            <w:vAlign w:val="center"/>
          </w:tcPr>
          <w:p>
            <w:pPr>
              <w:jc w:val="left"/>
            </w:pPr>
            <w:r>
              <w:rPr>
                <w:sz w:val="19"/>
              </w:rPr>
              <w:t>场景碎片化、客户定制成本高</w:t>
            </w:r>
          </w:p>
        </w:tc>
      </w:tr>
      <w:tr>
        <w:tc>
          <w:tcPr>
            <w:tcW w:type="dxa" w:w="1600"/>
            <w:tcMar>
              <w:top w:w="80" w:type="dxa"/>
              <w:bottom w:w="80" w:type="dxa"/>
              <w:start w:w="120" w:type="dxa"/>
              <w:end w:w="120" w:type="dxa"/>
            </w:tcMar>
            <w:vAlign w:val="center"/>
          </w:tcPr>
          <w:p>
            <w:pPr>
              <w:jc w:val="center"/>
            </w:pPr>
            <w:r>
              <w:rPr>
                <w:sz w:val="19"/>
              </w:rPr>
              <w:t>数据中心/定制硅</w:t>
            </w:r>
          </w:p>
        </w:tc>
        <w:tc>
          <w:tcPr>
            <w:tcW w:type="dxa" w:w="2200"/>
            <w:tcMar>
              <w:top w:w="80" w:type="dxa"/>
              <w:bottom w:w="80" w:type="dxa"/>
              <w:start w:w="120" w:type="dxa"/>
              <w:end w:w="120" w:type="dxa"/>
            </w:tcMar>
            <w:vAlign w:val="center"/>
          </w:tcPr>
          <w:p>
            <w:pPr>
              <w:jc w:val="left"/>
            </w:pPr>
            <w:r>
              <w:rPr>
                <w:sz w:val="19"/>
              </w:rPr>
              <w:t>Broadcom、Marvell、NVIDIA、AMD、云厂商自研团队</w:t>
            </w:r>
          </w:p>
        </w:tc>
        <w:tc>
          <w:tcPr>
            <w:tcW w:type="dxa" w:w="2900"/>
            <w:tcMar>
              <w:top w:w="80" w:type="dxa"/>
              <w:bottom w:w="80" w:type="dxa"/>
              <w:start w:w="120" w:type="dxa"/>
              <w:end w:w="120" w:type="dxa"/>
            </w:tcMar>
            <w:vAlign w:val="center"/>
          </w:tcPr>
          <w:p>
            <w:pPr>
              <w:jc w:val="left"/>
            </w:pPr>
            <w:r>
              <w:rPr>
                <w:sz w:val="19"/>
              </w:rPr>
              <w:t>低功耗 SoC、连接 IP、定制硅经验</w:t>
            </w:r>
          </w:p>
        </w:tc>
        <w:tc>
          <w:tcPr>
            <w:tcW w:type="dxa" w:w="2660"/>
            <w:tcMar>
              <w:top w:w="80" w:type="dxa"/>
              <w:bottom w:w="80" w:type="dxa"/>
              <w:start w:w="120" w:type="dxa"/>
              <w:end w:w="120" w:type="dxa"/>
            </w:tcMar>
            <w:vAlign w:val="center"/>
          </w:tcPr>
          <w:p>
            <w:pPr>
              <w:jc w:val="left"/>
            </w:pPr>
            <w:r>
              <w:rPr>
                <w:sz w:val="19"/>
              </w:rPr>
              <w:t>高通仍是新进入者，客户验证和规模化存在不确定性</w:t>
            </w:r>
          </w:p>
        </w:tc>
      </w:tr>
    </w:tbl>
    <w:p/>
    <w:p>
      <w:pPr>
        <w:pStyle w:val="Heading2"/>
      </w:pPr>
      <w:r>
        <w:t>5.2 竞争格局判断</w:t>
      </w:r>
    </w:p>
    <w:p>
      <w:pPr>
        <w:spacing w:after="120" w:line="264" w:lineRule="auto"/>
      </w:pPr>
      <w:r>
        <w:rPr>
          <w:sz w:val="22"/>
        </w:rPr>
        <w:t>高通不是英伟达的直接替代者，而是 AI 从云端向终端扩散后的核心受益公司。英伟达主导训练和高端通用推理，高通主导低功耗端侧推理和联网终端入口；两者在 AI Agent 生态链中的位置互补多于直接冲突。</w:t>
      </w:r>
    </w:p>
    <w:p>
      <w:pPr>
        <w:spacing w:after="120" w:line="264" w:lineRule="auto"/>
      </w:pPr>
      <w:r>
        <w:rPr>
          <w:sz w:val="22"/>
        </w:rPr>
        <w:t>中期竞争焦点在 AI PC 和智能汽车。AI PC 决定高通能否突破手机之外的大规模计算市场；汽车业务决定高通能否形成更长周期、更高可见度的第二增长曲线。数据中心定制硅若兑现，将提升估值想象空间，但短期仍应按可选项处理。</w:t>
      </w:r>
    </w:p>
    <w:p>
      <w:pPr>
        <w:pStyle w:val="Heading1"/>
      </w:pPr>
      <w:r>
        <w:t>六、管理层与治理结构</w:t>
      </w:r>
    </w:p>
    <w:p>
      <w:pPr>
        <w:pStyle w:val="Heading2"/>
      </w:pPr>
      <w:r>
        <w:t>6.1 核心管理层</w:t>
      </w:r>
    </w:p>
    <w:tbl>
      <w:tblPr>
        <w:tblStyle w:val="TableGrid"/>
        <w:tblW w:type="dxa" w:w="9360"/>
        <w:jc w:val="center"/>
        <w:tblLook w:firstColumn="1" w:firstRow="1" w:lastColumn="0" w:lastRow="0" w:noHBand="0" w:noVBand="1" w:val="04A0"/>
        <w:tblInd w:w="120" w:type="dxa"/>
      </w:tblPr>
      <w:tblGrid>
        <w:gridCol w:w="2300"/>
        <w:gridCol w:w="2600"/>
        <w:gridCol w:w="4460"/>
      </w:tblGrid>
      <w:tr>
        <w:trPr>
          <w:tblHeader w:val="true"/>
        </w:trPr>
        <w:tc>
          <w:tcPr>
            <w:tcW w:type="dxa" w:w="2300"/>
            <w:shd w:fill="E8EEF5"/>
            <w:tcMar>
              <w:top w:w="80" w:type="dxa"/>
              <w:bottom w:w="80" w:type="dxa"/>
              <w:start w:w="120" w:type="dxa"/>
              <w:end w:w="120" w:type="dxa"/>
            </w:tcMar>
            <w:vAlign w:val="center"/>
          </w:tcPr>
          <w:p>
            <w:pPr>
              <w:jc w:val="center"/>
            </w:pPr>
            <w:r>
              <w:rPr>
                <w:b/>
                <w:sz w:val="19"/>
              </w:rPr>
              <w:t>人员</w:t>
            </w:r>
          </w:p>
        </w:tc>
        <w:tc>
          <w:tcPr>
            <w:tcW w:type="dxa" w:w="2600"/>
            <w:shd w:fill="E8EEF5"/>
            <w:tcMar>
              <w:top w:w="80" w:type="dxa"/>
              <w:bottom w:w="80" w:type="dxa"/>
              <w:start w:w="120" w:type="dxa"/>
              <w:end w:w="120" w:type="dxa"/>
            </w:tcMar>
            <w:vAlign w:val="center"/>
          </w:tcPr>
          <w:p>
            <w:pPr>
              <w:jc w:val="center"/>
            </w:pPr>
            <w:r>
              <w:rPr>
                <w:b/>
                <w:sz w:val="19"/>
              </w:rPr>
              <w:t>职务</w:t>
            </w:r>
          </w:p>
        </w:tc>
        <w:tc>
          <w:tcPr>
            <w:tcW w:type="dxa" w:w="4460"/>
            <w:shd w:fill="E8EEF5"/>
            <w:tcMar>
              <w:top w:w="80" w:type="dxa"/>
              <w:bottom w:w="80" w:type="dxa"/>
              <w:start w:w="120" w:type="dxa"/>
              <w:end w:w="120" w:type="dxa"/>
            </w:tcMar>
            <w:vAlign w:val="center"/>
          </w:tcPr>
          <w:p>
            <w:pPr>
              <w:jc w:val="center"/>
            </w:pPr>
            <w:r>
              <w:rPr>
                <w:b/>
                <w:sz w:val="19"/>
              </w:rPr>
              <w:t>研究关注点</w:t>
            </w:r>
          </w:p>
        </w:tc>
      </w:tr>
      <w:tr>
        <w:tc>
          <w:tcPr>
            <w:tcW w:type="dxa" w:w="2300"/>
            <w:tcMar>
              <w:top w:w="80" w:type="dxa"/>
              <w:bottom w:w="80" w:type="dxa"/>
              <w:start w:w="120" w:type="dxa"/>
              <w:end w:w="120" w:type="dxa"/>
            </w:tcMar>
            <w:vAlign w:val="center"/>
          </w:tcPr>
          <w:p>
            <w:pPr>
              <w:jc w:val="center"/>
            </w:pPr>
            <w:r>
              <w:rPr>
                <w:sz w:val="19"/>
              </w:rPr>
              <w:t>Cristiano Amon</w:t>
            </w:r>
          </w:p>
        </w:tc>
        <w:tc>
          <w:tcPr>
            <w:tcW w:type="dxa" w:w="2600"/>
            <w:tcMar>
              <w:top w:w="80" w:type="dxa"/>
              <w:bottom w:w="80" w:type="dxa"/>
              <w:start w:w="120" w:type="dxa"/>
              <w:end w:w="120" w:type="dxa"/>
            </w:tcMar>
            <w:vAlign w:val="center"/>
          </w:tcPr>
          <w:p>
            <w:pPr>
              <w:jc w:val="left"/>
            </w:pPr>
            <w:r>
              <w:rPr>
                <w:sz w:val="19"/>
              </w:rPr>
              <w:t>President and Chief Executive Officer</w:t>
            </w:r>
          </w:p>
        </w:tc>
        <w:tc>
          <w:tcPr>
            <w:tcW w:type="dxa" w:w="4460"/>
            <w:tcMar>
              <w:top w:w="80" w:type="dxa"/>
              <w:bottom w:w="80" w:type="dxa"/>
              <w:start w:w="120" w:type="dxa"/>
              <w:end w:w="120" w:type="dxa"/>
            </w:tcMar>
            <w:vAlign w:val="center"/>
          </w:tcPr>
          <w:p>
            <w:pPr>
              <w:jc w:val="left"/>
            </w:pPr>
            <w:r>
              <w:rPr>
                <w:sz w:val="19"/>
              </w:rPr>
              <w:t>主导公司从手机 SoC 向端侧 AI、汽车、PC、IoT 和数据中心定制硅扩张</w:t>
            </w:r>
          </w:p>
        </w:tc>
      </w:tr>
      <w:tr>
        <w:tc>
          <w:tcPr>
            <w:tcW w:type="dxa" w:w="2300"/>
            <w:tcMar>
              <w:top w:w="80" w:type="dxa"/>
              <w:bottom w:w="80" w:type="dxa"/>
              <w:start w:w="120" w:type="dxa"/>
              <w:end w:w="120" w:type="dxa"/>
            </w:tcMar>
            <w:vAlign w:val="center"/>
          </w:tcPr>
          <w:p>
            <w:pPr>
              <w:jc w:val="center"/>
            </w:pPr>
            <w:r>
              <w:rPr>
                <w:sz w:val="19"/>
              </w:rPr>
              <w:t>Akash Palkhiwala</w:t>
            </w:r>
          </w:p>
        </w:tc>
        <w:tc>
          <w:tcPr>
            <w:tcW w:type="dxa" w:w="2600"/>
            <w:tcMar>
              <w:top w:w="80" w:type="dxa"/>
              <w:bottom w:w="80" w:type="dxa"/>
              <w:start w:w="120" w:type="dxa"/>
              <w:end w:w="120" w:type="dxa"/>
            </w:tcMar>
            <w:vAlign w:val="center"/>
          </w:tcPr>
          <w:p>
            <w:pPr>
              <w:jc w:val="left"/>
            </w:pPr>
            <w:r>
              <w:rPr>
                <w:sz w:val="19"/>
              </w:rPr>
              <w:t>Chief Financial Officer / Chief Operating Officer</w:t>
            </w:r>
          </w:p>
        </w:tc>
        <w:tc>
          <w:tcPr>
            <w:tcW w:type="dxa" w:w="4460"/>
            <w:tcMar>
              <w:top w:w="80" w:type="dxa"/>
              <w:bottom w:w="80" w:type="dxa"/>
              <w:start w:w="120" w:type="dxa"/>
              <w:end w:w="120" w:type="dxa"/>
            </w:tcMar>
            <w:vAlign w:val="center"/>
          </w:tcPr>
          <w:p>
            <w:pPr>
              <w:jc w:val="left"/>
            </w:pPr>
            <w:r>
              <w:rPr>
                <w:sz w:val="19"/>
              </w:rPr>
              <w:t>资本配置、回购、利润率、库存和多元化业务投入节奏</w:t>
            </w:r>
          </w:p>
        </w:tc>
      </w:tr>
      <w:tr>
        <w:tc>
          <w:tcPr>
            <w:tcW w:type="dxa" w:w="2300"/>
            <w:tcMar>
              <w:top w:w="80" w:type="dxa"/>
              <w:bottom w:w="80" w:type="dxa"/>
              <w:start w:w="120" w:type="dxa"/>
              <w:end w:w="120" w:type="dxa"/>
            </w:tcMar>
            <w:vAlign w:val="center"/>
          </w:tcPr>
          <w:p>
            <w:pPr>
              <w:jc w:val="center"/>
            </w:pPr>
            <w:r>
              <w:rPr>
                <w:sz w:val="19"/>
              </w:rPr>
              <w:t>Alex Rogers</w:t>
            </w:r>
          </w:p>
        </w:tc>
        <w:tc>
          <w:tcPr>
            <w:tcW w:type="dxa" w:w="2600"/>
            <w:tcMar>
              <w:top w:w="80" w:type="dxa"/>
              <w:bottom w:w="80" w:type="dxa"/>
              <w:start w:w="120" w:type="dxa"/>
              <w:end w:w="120" w:type="dxa"/>
            </w:tcMar>
            <w:vAlign w:val="center"/>
          </w:tcPr>
          <w:p>
            <w:pPr>
              <w:jc w:val="left"/>
            </w:pPr>
            <w:r>
              <w:rPr>
                <w:sz w:val="19"/>
              </w:rPr>
              <w:t>President, QTL and Global Affairs</w:t>
            </w:r>
          </w:p>
        </w:tc>
        <w:tc>
          <w:tcPr>
            <w:tcW w:type="dxa" w:w="4460"/>
            <w:tcMar>
              <w:top w:w="80" w:type="dxa"/>
              <w:bottom w:w="80" w:type="dxa"/>
              <w:start w:w="120" w:type="dxa"/>
              <w:end w:w="120" w:type="dxa"/>
            </w:tcMar>
            <w:vAlign w:val="center"/>
          </w:tcPr>
          <w:p>
            <w:pPr>
              <w:jc w:val="left"/>
            </w:pPr>
            <w:r>
              <w:rPr>
                <w:sz w:val="19"/>
              </w:rPr>
              <w:t>授权业务、监管关系、专利谈判和全球政策风险管理</w:t>
            </w:r>
          </w:p>
        </w:tc>
      </w:tr>
    </w:tbl>
    <w:p/>
    <w:p>
      <w:pPr>
        <w:pStyle w:val="Heading2"/>
      </w:pPr>
      <w:r>
        <w:t>6.2 股东回报与资本配置</w:t>
      </w:r>
    </w:p>
    <w:p>
      <w:pPr>
        <w:spacing w:after="120" w:line="264" w:lineRule="auto"/>
      </w:pPr>
      <w:r>
        <w:rPr>
          <w:sz w:val="22"/>
        </w:rPr>
        <w:t>高通现金流较强，长期通过回购和分红回馈股东。FY2026 前六个月，公司经营现金流约 74.14 亿美元，回购股票约 54.42 亿美元，支付股息约 18.95 亿美元。考虑到手机业务周期性和 AI/汽车/IoT 扩张投入并存，研究重点应放在回购是否与增长投入保持平衡，以及并购能否补足战略短板。</w:t>
      </w:r>
    </w:p>
    <w:p>
      <w:pPr>
        <w:pStyle w:val="Heading1"/>
      </w:pPr>
      <w:r>
        <w:t>七、财务会计信息</w:t>
      </w:r>
    </w:p>
    <w:p>
      <w:pPr>
        <w:pStyle w:val="Heading2"/>
      </w:pPr>
      <w:r>
        <w:t>7.1 最新季度财务</w:t>
      </w:r>
    </w:p>
    <w:p>
      <w:pPr>
        <w:spacing w:after="80"/>
      </w:pPr>
      <w:r>
        <w:rPr>
          <w:color w:val="585858"/>
          <w:sz w:val="18"/>
        </w:rPr>
        <w:t>数据来源：Qualcomm FY2026 Q2 业绩公告，季度截至 2026年3月29日。金额单位：亿美元，EPS 为美元。</w:t>
      </w:r>
    </w:p>
    <w:tbl>
      <w:tblPr>
        <w:tblStyle w:val="TableGrid"/>
        <w:tblW w:type="dxa" w:w="9360"/>
        <w:jc w:val="center"/>
        <w:tblLook w:firstColumn="1" w:firstRow="1" w:lastColumn="0" w:lastRow="0" w:noHBand="0" w:noVBand="1" w:val="04A0"/>
        <w:tblInd w:w="120" w:type="dxa"/>
      </w:tblPr>
      <w:tblGrid>
        <w:gridCol w:w="1800"/>
        <w:gridCol w:w="1700"/>
        <w:gridCol w:w="1500"/>
        <w:gridCol w:w="4360"/>
      </w:tblGrid>
      <w:tr>
        <w:trPr>
          <w:tblHeader w:val="true"/>
        </w:trPr>
        <w:tc>
          <w:tcPr>
            <w:tcW w:type="dxa" w:w="1800"/>
            <w:shd w:fill="E8EEF5"/>
            <w:tcMar>
              <w:top w:w="80" w:type="dxa"/>
              <w:bottom w:w="80" w:type="dxa"/>
              <w:start w:w="120" w:type="dxa"/>
              <w:end w:w="120" w:type="dxa"/>
            </w:tcMar>
            <w:vAlign w:val="center"/>
          </w:tcPr>
          <w:p>
            <w:pPr>
              <w:jc w:val="center"/>
            </w:pPr>
            <w:r>
              <w:rPr>
                <w:b/>
                <w:sz w:val="19"/>
              </w:rPr>
              <w:t>指标</w:t>
            </w:r>
          </w:p>
        </w:tc>
        <w:tc>
          <w:tcPr>
            <w:tcW w:type="dxa" w:w="1700"/>
            <w:shd w:fill="E8EEF5"/>
            <w:tcMar>
              <w:top w:w="80" w:type="dxa"/>
              <w:bottom w:w="80" w:type="dxa"/>
              <w:start w:w="120" w:type="dxa"/>
              <w:end w:w="120" w:type="dxa"/>
            </w:tcMar>
            <w:vAlign w:val="center"/>
          </w:tcPr>
          <w:p>
            <w:pPr>
              <w:jc w:val="center"/>
            </w:pPr>
            <w:r>
              <w:rPr>
                <w:b/>
                <w:sz w:val="19"/>
              </w:rPr>
              <w:t>FY2026 Q2</w:t>
            </w:r>
          </w:p>
        </w:tc>
        <w:tc>
          <w:tcPr>
            <w:tcW w:type="dxa" w:w="1500"/>
            <w:shd w:fill="E8EEF5"/>
            <w:tcMar>
              <w:top w:w="80" w:type="dxa"/>
              <w:bottom w:w="80" w:type="dxa"/>
              <w:start w:w="120" w:type="dxa"/>
              <w:end w:w="120" w:type="dxa"/>
            </w:tcMar>
            <w:vAlign w:val="center"/>
          </w:tcPr>
          <w:p>
            <w:pPr>
              <w:jc w:val="center"/>
            </w:pPr>
            <w:r>
              <w:rPr>
                <w:b/>
                <w:sz w:val="19"/>
              </w:rPr>
              <w:t>同比变化</w:t>
            </w:r>
          </w:p>
        </w:tc>
        <w:tc>
          <w:tcPr>
            <w:tcW w:type="dxa" w:w="4360"/>
            <w:shd w:fill="E8EEF5"/>
            <w:tcMar>
              <w:top w:w="80" w:type="dxa"/>
              <w:bottom w:w="80" w:type="dxa"/>
              <w:start w:w="120" w:type="dxa"/>
              <w:end w:w="120" w:type="dxa"/>
            </w:tcMar>
            <w:vAlign w:val="center"/>
          </w:tcPr>
          <w:p>
            <w:pPr>
              <w:jc w:val="center"/>
            </w:pPr>
            <w:r>
              <w:rPr>
                <w:b/>
                <w:sz w:val="19"/>
              </w:rPr>
              <w:t>研究解读</w:t>
            </w:r>
          </w:p>
        </w:tc>
      </w:tr>
      <w:tr>
        <w:tc>
          <w:tcPr>
            <w:tcW w:type="dxa" w:w="1800"/>
            <w:tcMar>
              <w:top w:w="80" w:type="dxa"/>
              <w:bottom w:w="80" w:type="dxa"/>
              <w:start w:w="120" w:type="dxa"/>
              <w:end w:w="120" w:type="dxa"/>
            </w:tcMar>
            <w:vAlign w:val="center"/>
          </w:tcPr>
          <w:p>
            <w:pPr>
              <w:jc w:val="center"/>
            </w:pPr>
            <w:r>
              <w:rPr>
                <w:sz w:val="19"/>
              </w:rPr>
              <w:t>总收入</w:t>
            </w:r>
          </w:p>
        </w:tc>
        <w:tc>
          <w:tcPr>
            <w:tcW w:type="dxa" w:w="1700"/>
            <w:tcMar>
              <w:top w:w="80" w:type="dxa"/>
              <w:bottom w:w="80" w:type="dxa"/>
              <w:start w:w="120" w:type="dxa"/>
              <w:end w:w="120" w:type="dxa"/>
            </w:tcMar>
            <w:vAlign w:val="center"/>
          </w:tcPr>
          <w:p>
            <w:pPr>
              <w:jc w:val="left"/>
            </w:pPr>
            <w:r>
              <w:rPr>
                <w:sz w:val="19"/>
              </w:rPr>
              <w:t>105.99</w:t>
            </w:r>
          </w:p>
        </w:tc>
        <w:tc>
          <w:tcPr>
            <w:tcW w:type="dxa" w:w="1500"/>
            <w:tcMar>
              <w:top w:w="80" w:type="dxa"/>
              <w:bottom w:w="80" w:type="dxa"/>
              <w:start w:w="120" w:type="dxa"/>
              <w:end w:w="120" w:type="dxa"/>
            </w:tcMar>
            <w:vAlign w:val="center"/>
          </w:tcPr>
          <w:p>
            <w:pPr>
              <w:jc w:val="left"/>
            </w:pPr>
            <w:r>
              <w:rPr>
                <w:sz w:val="19"/>
              </w:rPr>
              <w:t>-3%</w:t>
            </w:r>
          </w:p>
        </w:tc>
        <w:tc>
          <w:tcPr>
            <w:tcW w:type="dxa" w:w="4360"/>
            <w:tcMar>
              <w:top w:w="80" w:type="dxa"/>
              <w:bottom w:w="80" w:type="dxa"/>
              <w:start w:w="120" w:type="dxa"/>
              <w:end w:w="120" w:type="dxa"/>
            </w:tcMar>
            <w:vAlign w:val="center"/>
          </w:tcPr>
          <w:p>
            <w:pPr>
              <w:jc w:val="left"/>
            </w:pPr>
            <w:r>
              <w:rPr>
                <w:sz w:val="19"/>
              </w:rPr>
              <w:t>手机下滑抵消汽车和 IoT 增长，整体仍受安卓周期影响</w:t>
            </w:r>
          </w:p>
        </w:tc>
      </w:tr>
      <w:tr>
        <w:tc>
          <w:tcPr>
            <w:tcW w:type="dxa" w:w="1800"/>
            <w:tcMar>
              <w:top w:w="80" w:type="dxa"/>
              <w:bottom w:w="80" w:type="dxa"/>
              <w:start w:w="120" w:type="dxa"/>
              <w:end w:w="120" w:type="dxa"/>
            </w:tcMar>
            <w:vAlign w:val="center"/>
          </w:tcPr>
          <w:p>
            <w:pPr>
              <w:jc w:val="center"/>
            </w:pPr>
            <w:r>
              <w:rPr>
                <w:sz w:val="19"/>
              </w:rPr>
              <w:t>GAAP 净利润</w:t>
            </w:r>
          </w:p>
        </w:tc>
        <w:tc>
          <w:tcPr>
            <w:tcW w:type="dxa" w:w="1700"/>
            <w:tcMar>
              <w:top w:w="80" w:type="dxa"/>
              <w:bottom w:w="80" w:type="dxa"/>
              <w:start w:w="120" w:type="dxa"/>
              <w:end w:w="120" w:type="dxa"/>
            </w:tcMar>
            <w:vAlign w:val="center"/>
          </w:tcPr>
          <w:p>
            <w:pPr>
              <w:jc w:val="left"/>
            </w:pPr>
            <w:r>
              <w:rPr>
                <w:sz w:val="19"/>
              </w:rPr>
              <w:t>73.70</w:t>
            </w:r>
          </w:p>
        </w:tc>
        <w:tc>
          <w:tcPr>
            <w:tcW w:type="dxa" w:w="1500"/>
            <w:tcMar>
              <w:top w:w="80" w:type="dxa"/>
              <w:bottom w:w="80" w:type="dxa"/>
              <w:start w:w="120" w:type="dxa"/>
              <w:end w:w="120" w:type="dxa"/>
            </w:tcMar>
            <w:vAlign w:val="center"/>
          </w:tcPr>
          <w:p>
            <w:pPr>
              <w:jc w:val="left"/>
            </w:pPr>
            <w:r>
              <w:rPr>
                <w:sz w:val="19"/>
              </w:rPr>
              <w:t>+162%</w:t>
            </w:r>
          </w:p>
        </w:tc>
        <w:tc>
          <w:tcPr>
            <w:tcW w:type="dxa" w:w="4360"/>
            <w:tcMar>
              <w:top w:w="80" w:type="dxa"/>
              <w:bottom w:w="80" w:type="dxa"/>
              <w:start w:w="120" w:type="dxa"/>
              <w:end w:w="120" w:type="dxa"/>
            </w:tcMar>
            <w:vAlign w:val="center"/>
          </w:tcPr>
          <w:p>
            <w:pPr>
              <w:jc w:val="left"/>
            </w:pPr>
            <w:r>
              <w:rPr>
                <w:sz w:val="19"/>
              </w:rPr>
              <w:t>主要受 57 亿美元一次性税收利益影响，不代表经营利润常态</w:t>
            </w:r>
          </w:p>
        </w:tc>
      </w:tr>
      <w:tr>
        <w:tc>
          <w:tcPr>
            <w:tcW w:type="dxa" w:w="1800"/>
            <w:tcMar>
              <w:top w:w="80" w:type="dxa"/>
              <w:bottom w:w="80" w:type="dxa"/>
              <w:start w:w="120" w:type="dxa"/>
              <w:end w:w="120" w:type="dxa"/>
            </w:tcMar>
            <w:vAlign w:val="center"/>
          </w:tcPr>
          <w:p>
            <w:pPr>
              <w:jc w:val="center"/>
            </w:pPr>
            <w:r>
              <w:rPr>
                <w:sz w:val="19"/>
              </w:rPr>
              <w:t>Non-GAAP 净利润</w:t>
            </w:r>
          </w:p>
        </w:tc>
        <w:tc>
          <w:tcPr>
            <w:tcW w:type="dxa" w:w="1700"/>
            <w:tcMar>
              <w:top w:w="80" w:type="dxa"/>
              <w:bottom w:w="80" w:type="dxa"/>
              <w:start w:w="120" w:type="dxa"/>
              <w:end w:w="120" w:type="dxa"/>
            </w:tcMar>
            <w:vAlign w:val="center"/>
          </w:tcPr>
          <w:p>
            <w:pPr>
              <w:jc w:val="left"/>
            </w:pPr>
            <w:r>
              <w:rPr>
                <w:sz w:val="19"/>
              </w:rPr>
              <w:t>28.40</w:t>
            </w:r>
          </w:p>
        </w:tc>
        <w:tc>
          <w:tcPr>
            <w:tcW w:type="dxa" w:w="1500"/>
            <w:tcMar>
              <w:top w:w="80" w:type="dxa"/>
              <w:bottom w:w="80" w:type="dxa"/>
              <w:start w:w="120" w:type="dxa"/>
              <w:end w:w="120" w:type="dxa"/>
            </w:tcMar>
            <w:vAlign w:val="center"/>
          </w:tcPr>
          <w:p>
            <w:pPr>
              <w:jc w:val="left"/>
            </w:pPr>
            <w:r>
              <w:rPr>
                <w:sz w:val="19"/>
              </w:rPr>
              <w:t>-10%</w:t>
            </w:r>
          </w:p>
        </w:tc>
        <w:tc>
          <w:tcPr>
            <w:tcW w:type="dxa" w:w="4360"/>
            <w:tcMar>
              <w:top w:w="80" w:type="dxa"/>
              <w:bottom w:w="80" w:type="dxa"/>
              <w:start w:w="120" w:type="dxa"/>
              <w:end w:w="120" w:type="dxa"/>
            </w:tcMar>
            <w:vAlign w:val="center"/>
          </w:tcPr>
          <w:p>
            <w:pPr>
              <w:jc w:val="left"/>
            </w:pPr>
            <w:r>
              <w:rPr>
                <w:sz w:val="19"/>
              </w:rPr>
              <w:t>更能反映经营基本面，利润同比承压</w:t>
            </w:r>
          </w:p>
        </w:tc>
      </w:tr>
      <w:tr>
        <w:tc>
          <w:tcPr>
            <w:tcW w:type="dxa" w:w="1800"/>
            <w:tcMar>
              <w:top w:w="80" w:type="dxa"/>
              <w:bottom w:w="80" w:type="dxa"/>
              <w:start w:w="120" w:type="dxa"/>
              <w:end w:w="120" w:type="dxa"/>
            </w:tcMar>
            <w:vAlign w:val="center"/>
          </w:tcPr>
          <w:p>
            <w:pPr>
              <w:jc w:val="center"/>
            </w:pPr>
            <w:r>
              <w:rPr>
                <w:sz w:val="19"/>
              </w:rPr>
              <w:t>GAAP EPS</w:t>
            </w:r>
          </w:p>
        </w:tc>
        <w:tc>
          <w:tcPr>
            <w:tcW w:type="dxa" w:w="1700"/>
            <w:tcMar>
              <w:top w:w="80" w:type="dxa"/>
              <w:bottom w:w="80" w:type="dxa"/>
              <w:start w:w="120" w:type="dxa"/>
              <w:end w:w="120" w:type="dxa"/>
            </w:tcMar>
            <w:vAlign w:val="center"/>
          </w:tcPr>
          <w:p>
            <w:pPr>
              <w:jc w:val="left"/>
            </w:pPr>
            <w:r>
              <w:rPr>
                <w:sz w:val="19"/>
              </w:rPr>
              <w:t>6.88</w:t>
            </w:r>
          </w:p>
        </w:tc>
        <w:tc>
          <w:tcPr>
            <w:tcW w:type="dxa" w:w="1500"/>
            <w:tcMar>
              <w:top w:w="80" w:type="dxa"/>
              <w:bottom w:w="80" w:type="dxa"/>
              <w:start w:w="120" w:type="dxa"/>
              <w:end w:w="120" w:type="dxa"/>
            </w:tcMar>
            <w:vAlign w:val="center"/>
          </w:tcPr>
          <w:p>
            <w:pPr>
              <w:jc w:val="left"/>
            </w:pPr>
            <w:r>
              <w:rPr>
                <w:sz w:val="19"/>
              </w:rPr>
              <w:t>+173%</w:t>
            </w:r>
          </w:p>
        </w:tc>
        <w:tc>
          <w:tcPr>
            <w:tcW w:type="dxa" w:w="4360"/>
            <w:tcMar>
              <w:top w:w="80" w:type="dxa"/>
              <w:bottom w:w="80" w:type="dxa"/>
              <w:start w:w="120" w:type="dxa"/>
              <w:end w:w="120" w:type="dxa"/>
            </w:tcMar>
            <w:vAlign w:val="center"/>
          </w:tcPr>
          <w:p>
            <w:pPr>
              <w:jc w:val="left"/>
            </w:pPr>
            <w:r>
              <w:rPr>
                <w:sz w:val="19"/>
              </w:rPr>
              <w:t>受一次性税收利益显著抬升</w:t>
            </w:r>
          </w:p>
        </w:tc>
      </w:tr>
      <w:tr>
        <w:tc>
          <w:tcPr>
            <w:tcW w:type="dxa" w:w="1800"/>
            <w:tcMar>
              <w:top w:w="80" w:type="dxa"/>
              <w:bottom w:w="80" w:type="dxa"/>
              <w:start w:w="120" w:type="dxa"/>
              <w:end w:w="120" w:type="dxa"/>
            </w:tcMar>
            <w:vAlign w:val="center"/>
          </w:tcPr>
          <w:p>
            <w:pPr>
              <w:jc w:val="center"/>
            </w:pPr>
            <w:r>
              <w:rPr>
                <w:sz w:val="19"/>
              </w:rPr>
              <w:t>Non-GAAP EPS</w:t>
            </w:r>
          </w:p>
        </w:tc>
        <w:tc>
          <w:tcPr>
            <w:tcW w:type="dxa" w:w="1700"/>
            <w:tcMar>
              <w:top w:w="80" w:type="dxa"/>
              <w:bottom w:w="80" w:type="dxa"/>
              <w:start w:w="120" w:type="dxa"/>
              <w:end w:w="120" w:type="dxa"/>
            </w:tcMar>
            <w:vAlign w:val="center"/>
          </w:tcPr>
          <w:p>
            <w:pPr>
              <w:jc w:val="left"/>
            </w:pPr>
            <w:r>
              <w:rPr>
                <w:sz w:val="19"/>
              </w:rPr>
              <w:t>2.65</w:t>
            </w:r>
          </w:p>
        </w:tc>
        <w:tc>
          <w:tcPr>
            <w:tcW w:type="dxa" w:w="1500"/>
            <w:tcMar>
              <w:top w:w="80" w:type="dxa"/>
              <w:bottom w:w="80" w:type="dxa"/>
              <w:start w:w="120" w:type="dxa"/>
              <w:end w:w="120" w:type="dxa"/>
            </w:tcMar>
            <w:vAlign w:val="center"/>
          </w:tcPr>
          <w:p>
            <w:pPr>
              <w:jc w:val="left"/>
            </w:pPr>
            <w:r>
              <w:rPr>
                <w:sz w:val="19"/>
              </w:rPr>
              <w:t>-7%</w:t>
            </w:r>
          </w:p>
        </w:tc>
        <w:tc>
          <w:tcPr>
            <w:tcW w:type="dxa" w:w="4360"/>
            <w:tcMar>
              <w:top w:w="80" w:type="dxa"/>
              <w:bottom w:w="80" w:type="dxa"/>
              <w:start w:w="120" w:type="dxa"/>
              <w:end w:w="120" w:type="dxa"/>
            </w:tcMar>
            <w:vAlign w:val="center"/>
          </w:tcPr>
          <w:p>
            <w:pPr>
              <w:jc w:val="left"/>
            </w:pPr>
            <w:r>
              <w:rPr>
                <w:sz w:val="19"/>
              </w:rPr>
              <w:t>剔除税收利益后更接近真实经营表现</w:t>
            </w:r>
          </w:p>
        </w:tc>
      </w:tr>
      <w:tr>
        <w:tc>
          <w:tcPr>
            <w:tcW w:type="dxa" w:w="1800"/>
            <w:tcMar>
              <w:top w:w="80" w:type="dxa"/>
              <w:bottom w:w="80" w:type="dxa"/>
              <w:start w:w="120" w:type="dxa"/>
              <w:end w:w="120" w:type="dxa"/>
            </w:tcMar>
            <w:vAlign w:val="center"/>
          </w:tcPr>
          <w:p>
            <w:pPr>
              <w:jc w:val="center"/>
            </w:pPr>
            <w:r>
              <w:rPr>
                <w:sz w:val="19"/>
              </w:rPr>
              <w:t>GAAP 营业利润</w:t>
            </w:r>
          </w:p>
        </w:tc>
        <w:tc>
          <w:tcPr>
            <w:tcW w:type="dxa" w:w="1700"/>
            <w:tcMar>
              <w:top w:w="80" w:type="dxa"/>
              <w:bottom w:w="80" w:type="dxa"/>
              <w:start w:w="120" w:type="dxa"/>
              <w:end w:w="120" w:type="dxa"/>
            </w:tcMar>
            <w:vAlign w:val="center"/>
          </w:tcPr>
          <w:p>
            <w:pPr>
              <w:jc w:val="left"/>
            </w:pPr>
            <w:r>
              <w:rPr>
                <w:sz w:val="19"/>
              </w:rPr>
              <w:t>23.09</w:t>
            </w:r>
          </w:p>
        </w:tc>
        <w:tc>
          <w:tcPr>
            <w:tcW w:type="dxa" w:w="1500"/>
            <w:tcMar>
              <w:top w:w="80" w:type="dxa"/>
              <w:bottom w:w="80" w:type="dxa"/>
              <w:start w:w="120" w:type="dxa"/>
              <w:end w:w="120" w:type="dxa"/>
            </w:tcMar>
            <w:vAlign w:val="center"/>
          </w:tcPr>
          <w:p>
            <w:pPr>
              <w:jc w:val="left"/>
            </w:pPr>
            <w:r>
              <w:rPr>
                <w:sz w:val="19"/>
              </w:rPr>
              <w:t>-26%</w:t>
            </w:r>
          </w:p>
        </w:tc>
        <w:tc>
          <w:tcPr>
            <w:tcW w:type="dxa" w:w="4360"/>
            <w:tcMar>
              <w:top w:w="80" w:type="dxa"/>
              <w:bottom w:w="80" w:type="dxa"/>
              <w:start w:w="120" w:type="dxa"/>
              <w:end w:w="120" w:type="dxa"/>
            </w:tcMar>
            <w:vAlign w:val="center"/>
          </w:tcPr>
          <w:p>
            <w:pPr>
              <w:jc w:val="left"/>
            </w:pPr>
            <w:r>
              <w:rPr>
                <w:sz w:val="19"/>
              </w:rPr>
              <w:t>毛利率与费用结构受业务组合和周期影响</w:t>
            </w:r>
          </w:p>
        </w:tc>
      </w:tr>
    </w:tbl>
    <w:p/>
    <w:p>
      <w:pPr>
        <w:pStyle w:val="Heading2"/>
      </w:pPr>
      <w:r>
        <w:t>7.2 资产负债与现金流</w:t>
      </w:r>
    </w:p>
    <w:p>
      <w:pPr>
        <w:spacing w:after="80"/>
      </w:pPr>
      <w:r>
        <w:rPr>
          <w:color w:val="585858"/>
          <w:sz w:val="18"/>
        </w:rPr>
        <w:t>数据来源：Qualcomm FY2026 Q2 Form 10-Q，期间为截至 2026年3月29日的六个月或期末余额。金额单位：亿美元。</w:t>
      </w:r>
    </w:p>
    <w:tbl>
      <w:tblPr>
        <w:tblStyle w:val="TableGrid"/>
        <w:tblW w:type="dxa" w:w="9360"/>
        <w:jc w:val="center"/>
        <w:tblLook w:firstColumn="1" w:firstRow="1" w:lastColumn="0" w:lastRow="0" w:noHBand="0" w:noVBand="1" w:val="04A0"/>
        <w:tblInd w:w="120" w:type="dxa"/>
      </w:tblPr>
      <w:tblGrid>
        <w:gridCol w:w="2400"/>
        <w:gridCol w:w="1700"/>
        <w:gridCol w:w="5260"/>
      </w:tblGrid>
      <w:tr>
        <w:trPr>
          <w:tblHeader w:val="true"/>
        </w:trPr>
        <w:tc>
          <w:tcPr>
            <w:tcW w:type="dxa" w:w="2400"/>
            <w:shd w:fill="F2F4F7"/>
            <w:tcMar>
              <w:top w:w="80" w:type="dxa"/>
              <w:bottom w:w="80" w:type="dxa"/>
              <w:start w:w="120" w:type="dxa"/>
              <w:end w:w="120" w:type="dxa"/>
            </w:tcMar>
            <w:vAlign w:val="center"/>
          </w:tcPr>
          <w:p>
            <w:pPr>
              <w:jc w:val="center"/>
            </w:pPr>
            <w:r>
              <w:rPr>
                <w:b/>
                <w:sz w:val="19"/>
              </w:rPr>
              <w:t>项目</w:t>
            </w:r>
          </w:p>
        </w:tc>
        <w:tc>
          <w:tcPr>
            <w:tcW w:type="dxa" w:w="1700"/>
            <w:shd w:fill="F2F4F7"/>
            <w:tcMar>
              <w:top w:w="80" w:type="dxa"/>
              <w:bottom w:w="80" w:type="dxa"/>
              <w:start w:w="120" w:type="dxa"/>
              <w:end w:w="120" w:type="dxa"/>
            </w:tcMar>
            <w:vAlign w:val="center"/>
          </w:tcPr>
          <w:p>
            <w:pPr>
              <w:jc w:val="center"/>
            </w:pPr>
            <w:r>
              <w:rPr>
                <w:b/>
                <w:sz w:val="19"/>
              </w:rPr>
              <w:t>金额</w:t>
            </w:r>
          </w:p>
        </w:tc>
        <w:tc>
          <w:tcPr>
            <w:tcW w:type="dxa" w:w="5260"/>
            <w:shd w:fill="F2F4F7"/>
            <w:tcMar>
              <w:top w:w="80" w:type="dxa"/>
              <w:bottom w:w="80" w:type="dxa"/>
              <w:start w:w="120" w:type="dxa"/>
              <w:end w:w="120" w:type="dxa"/>
            </w:tcMar>
            <w:vAlign w:val="center"/>
          </w:tcPr>
          <w:p>
            <w:pPr>
              <w:jc w:val="center"/>
            </w:pPr>
            <w:r>
              <w:rPr>
                <w:b/>
                <w:sz w:val="19"/>
              </w:rPr>
              <w:t>研究意义</w:t>
            </w:r>
          </w:p>
        </w:tc>
      </w:tr>
      <w:tr>
        <w:tc>
          <w:tcPr>
            <w:tcW w:type="dxa" w:w="2400"/>
            <w:tcMar>
              <w:top w:w="80" w:type="dxa"/>
              <w:bottom w:w="80" w:type="dxa"/>
              <w:start w:w="120" w:type="dxa"/>
              <w:end w:w="120" w:type="dxa"/>
            </w:tcMar>
            <w:vAlign w:val="center"/>
          </w:tcPr>
          <w:p>
            <w:pPr>
              <w:jc w:val="center"/>
            </w:pPr>
            <w:r>
              <w:rPr>
                <w:sz w:val="19"/>
              </w:rPr>
              <w:t>现金及现金等价物</w:t>
            </w:r>
          </w:p>
        </w:tc>
        <w:tc>
          <w:tcPr>
            <w:tcW w:type="dxa" w:w="1700"/>
            <w:tcMar>
              <w:top w:w="80" w:type="dxa"/>
              <w:bottom w:w="80" w:type="dxa"/>
              <w:start w:w="120" w:type="dxa"/>
              <w:end w:w="120" w:type="dxa"/>
            </w:tcMar>
            <w:vAlign w:val="center"/>
          </w:tcPr>
          <w:p>
            <w:pPr>
              <w:jc w:val="left"/>
            </w:pPr>
            <w:r>
              <w:rPr>
                <w:sz w:val="19"/>
              </w:rPr>
              <w:t>54.35</w:t>
            </w:r>
          </w:p>
        </w:tc>
        <w:tc>
          <w:tcPr>
            <w:tcW w:type="dxa" w:w="5260"/>
            <w:tcMar>
              <w:top w:w="80" w:type="dxa"/>
              <w:bottom w:w="80" w:type="dxa"/>
              <w:start w:w="120" w:type="dxa"/>
              <w:end w:w="120" w:type="dxa"/>
            </w:tcMar>
            <w:vAlign w:val="center"/>
          </w:tcPr>
          <w:p>
            <w:pPr>
              <w:jc w:val="left"/>
            </w:pPr>
            <w:r>
              <w:rPr>
                <w:sz w:val="19"/>
              </w:rPr>
              <w:t>提供回购、分红、并购和研发投入弹性</w:t>
            </w:r>
          </w:p>
        </w:tc>
      </w:tr>
      <w:tr>
        <w:tc>
          <w:tcPr>
            <w:tcW w:type="dxa" w:w="2400"/>
            <w:tcMar>
              <w:top w:w="80" w:type="dxa"/>
              <w:bottom w:w="80" w:type="dxa"/>
              <w:start w:w="120" w:type="dxa"/>
              <w:end w:w="120" w:type="dxa"/>
            </w:tcMar>
            <w:vAlign w:val="center"/>
          </w:tcPr>
          <w:p>
            <w:pPr>
              <w:jc w:val="center"/>
            </w:pPr>
            <w:r>
              <w:rPr>
                <w:sz w:val="19"/>
              </w:rPr>
              <w:t>现金+有价证券</w:t>
            </w:r>
          </w:p>
        </w:tc>
        <w:tc>
          <w:tcPr>
            <w:tcW w:type="dxa" w:w="1700"/>
            <w:tcMar>
              <w:top w:w="80" w:type="dxa"/>
              <w:bottom w:w="80" w:type="dxa"/>
              <w:start w:w="120" w:type="dxa"/>
              <w:end w:w="120" w:type="dxa"/>
            </w:tcMar>
            <w:vAlign w:val="center"/>
          </w:tcPr>
          <w:p>
            <w:pPr>
              <w:jc w:val="left"/>
            </w:pPr>
            <w:r>
              <w:rPr>
                <w:sz w:val="19"/>
              </w:rPr>
              <w:t>97.99</w:t>
            </w:r>
          </w:p>
        </w:tc>
        <w:tc>
          <w:tcPr>
            <w:tcW w:type="dxa" w:w="5260"/>
            <w:tcMar>
              <w:top w:w="80" w:type="dxa"/>
              <w:bottom w:w="80" w:type="dxa"/>
              <w:start w:w="120" w:type="dxa"/>
              <w:end w:w="120" w:type="dxa"/>
            </w:tcMar>
            <w:vAlign w:val="center"/>
          </w:tcPr>
          <w:p>
            <w:pPr>
              <w:jc w:val="left"/>
            </w:pPr>
            <w:r>
              <w:rPr>
                <w:sz w:val="19"/>
              </w:rPr>
              <w:t>整体流动性充足，但仍需对比债务和并购支出</w:t>
            </w:r>
          </w:p>
        </w:tc>
      </w:tr>
      <w:tr>
        <w:tc>
          <w:tcPr>
            <w:tcW w:type="dxa" w:w="2400"/>
            <w:tcMar>
              <w:top w:w="80" w:type="dxa"/>
              <w:bottom w:w="80" w:type="dxa"/>
              <w:start w:w="120" w:type="dxa"/>
              <w:end w:w="120" w:type="dxa"/>
            </w:tcMar>
            <w:vAlign w:val="center"/>
          </w:tcPr>
          <w:p>
            <w:pPr>
              <w:jc w:val="center"/>
            </w:pPr>
            <w:r>
              <w:rPr>
                <w:sz w:val="19"/>
              </w:rPr>
              <w:t>总债务</w:t>
            </w:r>
          </w:p>
        </w:tc>
        <w:tc>
          <w:tcPr>
            <w:tcW w:type="dxa" w:w="1700"/>
            <w:tcMar>
              <w:top w:w="80" w:type="dxa"/>
              <w:bottom w:w="80" w:type="dxa"/>
              <w:start w:w="120" w:type="dxa"/>
              <w:end w:w="120" w:type="dxa"/>
            </w:tcMar>
            <w:vAlign w:val="center"/>
          </w:tcPr>
          <w:p>
            <w:pPr>
              <w:jc w:val="left"/>
            </w:pPr>
            <w:r>
              <w:rPr>
                <w:sz w:val="19"/>
              </w:rPr>
              <w:t>152.70</w:t>
            </w:r>
          </w:p>
        </w:tc>
        <w:tc>
          <w:tcPr>
            <w:tcW w:type="dxa" w:w="5260"/>
            <w:tcMar>
              <w:top w:w="80" w:type="dxa"/>
              <w:bottom w:w="80" w:type="dxa"/>
              <w:start w:w="120" w:type="dxa"/>
              <w:end w:w="120" w:type="dxa"/>
            </w:tcMar>
            <w:vAlign w:val="center"/>
          </w:tcPr>
          <w:p>
            <w:pPr>
              <w:jc w:val="left"/>
            </w:pPr>
            <w:r>
              <w:rPr>
                <w:sz w:val="19"/>
              </w:rPr>
              <w:t>债务规模可控，但利率和再融资环境仍需跟踪</w:t>
            </w:r>
          </w:p>
        </w:tc>
      </w:tr>
      <w:tr>
        <w:tc>
          <w:tcPr>
            <w:tcW w:type="dxa" w:w="2400"/>
            <w:tcMar>
              <w:top w:w="80" w:type="dxa"/>
              <w:bottom w:w="80" w:type="dxa"/>
              <w:start w:w="120" w:type="dxa"/>
              <w:end w:w="120" w:type="dxa"/>
            </w:tcMar>
            <w:vAlign w:val="center"/>
          </w:tcPr>
          <w:p>
            <w:pPr>
              <w:jc w:val="center"/>
            </w:pPr>
            <w:r>
              <w:rPr>
                <w:sz w:val="19"/>
              </w:rPr>
              <w:t>经营现金流（前六个月）</w:t>
            </w:r>
          </w:p>
        </w:tc>
        <w:tc>
          <w:tcPr>
            <w:tcW w:type="dxa" w:w="1700"/>
            <w:tcMar>
              <w:top w:w="80" w:type="dxa"/>
              <w:bottom w:w="80" w:type="dxa"/>
              <w:start w:w="120" w:type="dxa"/>
              <w:end w:w="120" w:type="dxa"/>
            </w:tcMar>
            <w:vAlign w:val="center"/>
          </w:tcPr>
          <w:p>
            <w:pPr>
              <w:jc w:val="left"/>
            </w:pPr>
            <w:r>
              <w:rPr>
                <w:sz w:val="19"/>
              </w:rPr>
              <w:t>74.14</w:t>
            </w:r>
          </w:p>
        </w:tc>
        <w:tc>
          <w:tcPr>
            <w:tcW w:type="dxa" w:w="5260"/>
            <w:tcMar>
              <w:top w:w="80" w:type="dxa"/>
              <w:bottom w:w="80" w:type="dxa"/>
              <w:start w:w="120" w:type="dxa"/>
              <w:end w:w="120" w:type="dxa"/>
            </w:tcMar>
            <w:vAlign w:val="center"/>
          </w:tcPr>
          <w:p>
            <w:pPr>
              <w:jc w:val="left"/>
            </w:pPr>
            <w:r>
              <w:rPr>
                <w:sz w:val="19"/>
              </w:rPr>
              <w:t>现金创造能力仍强，是股东回报和战略投入基础</w:t>
            </w:r>
          </w:p>
        </w:tc>
      </w:tr>
      <w:tr>
        <w:tc>
          <w:tcPr>
            <w:tcW w:type="dxa" w:w="2400"/>
            <w:tcMar>
              <w:top w:w="80" w:type="dxa"/>
              <w:bottom w:w="80" w:type="dxa"/>
              <w:start w:w="120" w:type="dxa"/>
              <w:end w:w="120" w:type="dxa"/>
            </w:tcMar>
            <w:vAlign w:val="center"/>
          </w:tcPr>
          <w:p>
            <w:pPr>
              <w:jc w:val="center"/>
            </w:pPr>
            <w:r>
              <w:rPr>
                <w:sz w:val="19"/>
              </w:rPr>
              <w:t>资本开支（前六个月）</w:t>
            </w:r>
          </w:p>
        </w:tc>
        <w:tc>
          <w:tcPr>
            <w:tcW w:type="dxa" w:w="1700"/>
            <w:tcMar>
              <w:top w:w="80" w:type="dxa"/>
              <w:bottom w:w="80" w:type="dxa"/>
              <w:start w:w="120" w:type="dxa"/>
              <w:end w:w="120" w:type="dxa"/>
            </w:tcMar>
            <w:vAlign w:val="center"/>
          </w:tcPr>
          <w:p>
            <w:pPr>
              <w:jc w:val="left"/>
            </w:pPr>
            <w:r>
              <w:rPr>
                <w:sz w:val="19"/>
              </w:rPr>
              <w:t>10.82</w:t>
            </w:r>
          </w:p>
        </w:tc>
        <w:tc>
          <w:tcPr>
            <w:tcW w:type="dxa" w:w="5260"/>
            <w:tcMar>
              <w:top w:w="80" w:type="dxa"/>
              <w:bottom w:w="80" w:type="dxa"/>
              <w:start w:w="120" w:type="dxa"/>
              <w:end w:w="120" w:type="dxa"/>
            </w:tcMar>
            <w:vAlign w:val="center"/>
          </w:tcPr>
          <w:p>
            <w:pPr>
              <w:jc w:val="left"/>
            </w:pPr>
            <w:r>
              <w:rPr>
                <w:sz w:val="19"/>
              </w:rPr>
              <w:t>Fabless 模式资本开支相对晶圆制造商轻</w:t>
            </w:r>
          </w:p>
        </w:tc>
      </w:tr>
      <w:tr>
        <w:tc>
          <w:tcPr>
            <w:tcW w:type="dxa" w:w="2400"/>
            <w:tcMar>
              <w:top w:w="80" w:type="dxa"/>
              <w:bottom w:w="80" w:type="dxa"/>
              <w:start w:w="120" w:type="dxa"/>
              <w:end w:w="120" w:type="dxa"/>
            </w:tcMar>
            <w:vAlign w:val="center"/>
          </w:tcPr>
          <w:p>
            <w:pPr>
              <w:jc w:val="center"/>
            </w:pPr>
            <w:r>
              <w:rPr>
                <w:sz w:val="19"/>
              </w:rPr>
              <w:t>股票回购（前六个月）</w:t>
            </w:r>
          </w:p>
        </w:tc>
        <w:tc>
          <w:tcPr>
            <w:tcW w:type="dxa" w:w="1700"/>
            <w:tcMar>
              <w:top w:w="80" w:type="dxa"/>
              <w:bottom w:w="80" w:type="dxa"/>
              <w:start w:w="120" w:type="dxa"/>
              <w:end w:w="120" w:type="dxa"/>
            </w:tcMar>
            <w:vAlign w:val="center"/>
          </w:tcPr>
          <w:p>
            <w:pPr>
              <w:jc w:val="left"/>
            </w:pPr>
            <w:r>
              <w:rPr>
                <w:sz w:val="19"/>
              </w:rPr>
              <w:t>54.42</w:t>
            </w:r>
          </w:p>
        </w:tc>
        <w:tc>
          <w:tcPr>
            <w:tcW w:type="dxa" w:w="5260"/>
            <w:tcMar>
              <w:top w:w="80" w:type="dxa"/>
              <w:bottom w:w="80" w:type="dxa"/>
              <w:start w:w="120" w:type="dxa"/>
              <w:end w:w="120" w:type="dxa"/>
            </w:tcMar>
            <w:vAlign w:val="center"/>
          </w:tcPr>
          <w:p>
            <w:pPr>
              <w:jc w:val="left"/>
            </w:pPr>
            <w:r>
              <w:rPr>
                <w:sz w:val="19"/>
              </w:rPr>
              <w:t>回购是 EPS 韧性的重要来源，也会影响净现金结构</w:t>
            </w:r>
          </w:p>
        </w:tc>
      </w:tr>
      <w:tr>
        <w:tc>
          <w:tcPr>
            <w:tcW w:type="dxa" w:w="2400"/>
            <w:tcMar>
              <w:top w:w="80" w:type="dxa"/>
              <w:bottom w:w="80" w:type="dxa"/>
              <w:start w:w="120" w:type="dxa"/>
              <w:end w:w="120" w:type="dxa"/>
            </w:tcMar>
            <w:vAlign w:val="center"/>
          </w:tcPr>
          <w:p>
            <w:pPr>
              <w:jc w:val="center"/>
            </w:pPr>
            <w:r>
              <w:rPr>
                <w:sz w:val="19"/>
              </w:rPr>
              <w:t>现金股息（前六个月）</w:t>
            </w:r>
          </w:p>
        </w:tc>
        <w:tc>
          <w:tcPr>
            <w:tcW w:type="dxa" w:w="1700"/>
            <w:tcMar>
              <w:top w:w="80" w:type="dxa"/>
              <w:bottom w:w="80" w:type="dxa"/>
              <w:start w:w="120" w:type="dxa"/>
              <w:end w:w="120" w:type="dxa"/>
            </w:tcMar>
            <w:vAlign w:val="center"/>
          </w:tcPr>
          <w:p>
            <w:pPr>
              <w:jc w:val="left"/>
            </w:pPr>
            <w:r>
              <w:rPr>
                <w:sz w:val="19"/>
              </w:rPr>
              <w:t>18.95</w:t>
            </w:r>
          </w:p>
        </w:tc>
        <w:tc>
          <w:tcPr>
            <w:tcW w:type="dxa" w:w="5260"/>
            <w:tcMar>
              <w:top w:w="80" w:type="dxa"/>
              <w:bottom w:w="80" w:type="dxa"/>
              <w:start w:w="120" w:type="dxa"/>
              <w:end w:w="120" w:type="dxa"/>
            </w:tcMar>
            <w:vAlign w:val="center"/>
          </w:tcPr>
          <w:p>
            <w:pPr>
              <w:jc w:val="left"/>
            </w:pPr>
            <w:r>
              <w:rPr>
                <w:sz w:val="19"/>
              </w:rPr>
              <w:t>分红稳定性较强，但成长阶段更应关注再投资效率</w:t>
            </w:r>
          </w:p>
        </w:tc>
      </w:tr>
    </w:tbl>
    <w:p/>
    <w:p>
      <w:pPr>
        <w:pStyle w:val="Heading2"/>
      </w:pPr>
      <w:r>
        <w:t>7.3 FY2025 全年表现</w:t>
      </w:r>
    </w:p>
    <w:p>
      <w:pPr>
        <w:spacing w:after="80"/>
      </w:pPr>
      <w:r>
        <w:rPr>
          <w:color w:val="585858"/>
          <w:sz w:val="18"/>
        </w:rPr>
        <w:t>数据来源：Qualcomm FY2025 Q4 与全年业绩公告。金额单位：亿美元。</w:t>
      </w:r>
    </w:p>
    <w:tbl>
      <w:tblPr>
        <w:tblStyle w:val="TableGrid"/>
        <w:tblW w:type="dxa" w:w="9360"/>
        <w:jc w:val="center"/>
        <w:tblLook w:firstColumn="1" w:firstRow="1" w:lastColumn="0" w:lastRow="0" w:noHBand="0" w:noVBand="1" w:val="04A0"/>
        <w:tblInd w:w="120" w:type="dxa"/>
      </w:tblPr>
      <w:tblGrid>
        <w:gridCol w:w="2100"/>
        <w:gridCol w:w="1600"/>
        <w:gridCol w:w="1400"/>
        <w:gridCol w:w="4260"/>
      </w:tblGrid>
      <w:tr>
        <w:trPr>
          <w:tblHeader w:val="true"/>
        </w:trPr>
        <w:tc>
          <w:tcPr>
            <w:tcW w:type="dxa" w:w="2100"/>
            <w:shd w:fill="E8EEF5"/>
            <w:tcMar>
              <w:top w:w="80" w:type="dxa"/>
              <w:bottom w:w="80" w:type="dxa"/>
              <w:start w:w="120" w:type="dxa"/>
              <w:end w:w="120" w:type="dxa"/>
            </w:tcMar>
            <w:vAlign w:val="center"/>
          </w:tcPr>
          <w:p>
            <w:pPr>
              <w:jc w:val="center"/>
            </w:pPr>
            <w:r>
              <w:rPr>
                <w:b/>
                <w:sz w:val="19"/>
              </w:rPr>
              <w:t>指标</w:t>
            </w:r>
          </w:p>
        </w:tc>
        <w:tc>
          <w:tcPr>
            <w:tcW w:type="dxa" w:w="1600"/>
            <w:shd w:fill="E8EEF5"/>
            <w:tcMar>
              <w:top w:w="80" w:type="dxa"/>
              <w:bottom w:w="80" w:type="dxa"/>
              <w:start w:w="120" w:type="dxa"/>
              <w:end w:w="120" w:type="dxa"/>
            </w:tcMar>
            <w:vAlign w:val="center"/>
          </w:tcPr>
          <w:p>
            <w:pPr>
              <w:jc w:val="center"/>
            </w:pPr>
            <w:r>
              <w:rPr>
                <w:b/>
                <w:sz w:val="19"/>
              </w:rPr>
              <w:t>FY2025</w:t>
            </w:r>
          </w:p>
        </w:tc>
        <w:tc>
          <w:tcPr>
            <w:tcW w:type="dxa" w:w="1400"/>
            <w:shd w:fill="E8EEF5"/>
            <w:tcMar>
              <w:top w:w="80" w:type="dxa"/>
              <w:bottom w:w="80" w:type="dxa"/>
              <w:start w:w="120" w:type="dxa"/>
              <w:end w:w="120" w:type="dxa"/>
            </w:tcMar>
            <w:vAlign w:val="center"/>
          </w:tcPr>
          <w:p>
            <w:pPr>
              <w:jc w:val="center"/>
            </w:pPr>
            <w:r>
              <w:rPr>
                <w:b/>
                <w:sz w:val="19"/>
              </w:rPr>
              <w:t>同比变化</w:t>
            </w:r>
          </w:p>
        </w:tc>
        <w:tc>
          <w:tcPr>
            <w:tcW w:type="dxa" w:w="4260"/>
            <w:shd w:fill="E8EEF5"/>
            <w:tcMar>
              <w:top w:w="80" w:type="dxa"/>
              <w:bottom w:w="80" w:type="dxa"/>
              <w:start w:w="120" w:type="dxa"/>
              <w:end w:w="120" w:type="dxa"/>
            </w:tcMar>
            <w:vAlign w:val="center"/>
          </w:tcPr>
          <w:p>
            <w:pPr>
              <w:jc w:val="center"/>
            </w:pPr>
            <w:r>
              <w:rPr>
                <w:b/>
                <w:sz w:val="19"/>
              </w:rPr>
              <w:t>研究解读</w:t>
            </w:r>
          </w:p>
        </w:tc>
      </w:tr>
      <w:tr>
        <w:tc>
          <w:tcPr>
            <w:tcW w:type="dxa" w:w="2100"/>
            <w:tcMar>
              <w:top w:w="80" w:type="dxa"/>
              <w:bottom w:w="80" w:type="dxa"/>
              <w:start w:w="120" w:type="dxa"/>
              <w:end w:w="120" w:type="dxa"/>
            </w:tcMar>
            <w:vAlign w:val="center"/>
          </w:tcPr>
          <w:p>
            <w:pPr>
              <w:jc w:val="center"/>
            </w:pPr>
            <w:r>
              <w:rPr>
                <w:sz w:val="19"/>
              </w:rPr>
              <w:t>总收入</w:t>
            </w:r>
          </w:p>
        </w:tc>
        <w:tc>
          <w:tcPr>
            <w:tcW w:type="dxa" w:w="1600"/>
            <w:tcMar>
              <w:top w:w="80" w:type="dxa"/>
              <w:bottom w:w="80" w:type="dxa"/>
              <w:start w:w="120" w:type="dxa"/>
              <w:end w:w="120" w:type="dxa"/>
            </w:tcMar>
            <w:vAlign w:val="center"/>
          </w:tcPr>
          <w:p>
            <w:pPr>
              <w:jc w:val="left"/>
            </w:pPr>
            <w:r>
              <w:rPr>
                <w:sz w:val="19"/>
              </w:rPr>
              <w:t>442.84</w:t>
            </w:r>
          </w:p>
        </w:tc>
        <w:tc>
          <w:tcPr>
            <w:tcW w:type="dxa" w:w="1400"/>
            <w:tcMar>
              <w:top w:w="80" w:type="dxa"/>
              <w:bottom w:w="80" w:type="dxa"/>
              <w:start w:w="120" w:type="dxa"/>
              <w:end w:w="120" w:type="dxa"/>
            </w:tcMar>
            <w:vAlign w:val="center"/>
          </w:tcPr>
          <w:p>
            <w:pPr>
              <w:jc w:val="left"/>
            </w:pPr>
            <w:r>
              <w:rPr>
                <w:sz w:val="19"/>
              </w:rPr>
              <w:t>+14%</w:t>
            </w:r>
          </w:p>
        </w:tc>
        <w:tc>
          <w:tcPr>
            <w:tcW w:type="dxa" w:w="4260"/>
            <w:tcMar>
              <w:top w:w="80" w:type="dxa"/>
              <w:bottom w:w="80" w:type="dxa"/>
              <w:start w:w="120" w:type="dxa"/>
              <w:end w:w="120" w:type="dxa"/>
            </w:tcMar>
            <w:vAlign w:val="center"/>
          </w:tcPr>
          <w:p>
            <w:pPr>
              <w:jc w:val="left"/>
            </w:pPr>
            <w:r>
              <w:rPr>
                <w:sz w:val="19"/>
              </w:rPr>
              <w:t>手机复苏、汽车和 IoT 增长共同推动</w:t>
            </w:r>
          </w:p>
        </w:tc>
      </w:tr>
      <w:tr>
        <w:tc>
          <w:tcPr>
            <w:tcW w:type="dxa" w:w="2100"/>
            <w:tcMar>
              <w:top w:w="80" w:type="dxa"/>
              <w:bottom w:w="80" w:type="dxa"/>
              <w:start w:w="120" w:type="dxa"/>
              <w:end w:w="120" w:type="dxa"/>
            </w:tcMar>
            <w:vAlign w:val="center"/>
          </w:tcPr>
          <w:p>
            <w:pPr>
              <w:jc w:val="center"/>
            </w:pPr>
            <w:r>
              <w:rPr>
                <w:sz w:val="19"/>
              </w:rPr>
              <w:t>QCT 收入</w:t>
            </w:r>
          </w:p>
        </w:tc>
        <w:tc>
          <w:tcPr>
            <w:tcW w:type="dxa" w:w="1600"/>
            <w:tcMar>
              <w:top w:w="80" w:type="dxa"/>
              <w:bottom w:w="80" w:type="dxa"/>
              <w:start w:w="120" w:type="dxa"/>
              <w:end w:w="120" w:type="dxa"/>
            </w:tcMar>
            <w:vAlign w:val="center"/>
          </w:tcPr>
          <w:p>
            <w:pPr>
              <w:jc w:val="left"/>
            </w:pPr>
            <w:r>
              <w:rPr>
                <w:sz w:val="19"/>
              </w:rPr>
              <w:t>383.67</w:t>
            </w:r>
          </w:p>
        </w:tc>
        <w:tc>
          <w:tcPr>
            <w:tcW w:type="dxa" w:w="1400"/>
            <w:tcMar>
              <w:top w:w="80" w:type="dxa"/>
              <w:bottom w:w="80" w:type="dxa"/>
              <w:start w:w="120" w:type="dxa"/>
              <w:end w:w="120" w:type="dxa"/>
            </w:tcMar>
            <w:vAlign w:val="center"/>
          </w:tcPr>
          <w:p>
            <w:pPr>
              <w:jc w:val="left"/>
            </w:pPr>
            <w:r>
              <w:rPr>
                <w:sz w:val="19"/>
              </w:rPr>
              <w:t>+16%</w:t>
            </w:r>
          </w:p>
        </w:tc>
        <w:tc>
          <w:tcPr>
            <w:tcW w:type="dxa" w:w="4260"/>
            <w:tcMar>
              <w:top w:w="80" w:type="dxa"/>
              <w:bottom w:w="80" w:type="dxa"/>
              <w:start w:w="120" w:type="dxa"/>
              <w:end w:w="120" w:type="dxa"/>
            </w:tcMar>
            <w:vAlign w:val="center"/>
          </w:tcPr>
          <w:p>
            <w:pPr>
              <w:jc w:val="left"/>
            </w:pPr>
            <w:r>
              <w:rPr>
                <w:sz w:val="19"/>
              </w:rPr>
              <w:t>芯片业务仍是绝对主导</w:t>
            </w:r>
          </w:p>
        </w:tc>
      </w:tr>
      <w:tr>
        <w:tc>
          <w:tcPr>
            <w:tcW w:type="dxa" w:w="2100"/>
            <w:tcMar>
              <w:top w:w="80" w:type="dxa"/>
              <w:bottom w:w="80" w:type="dxa"/>
              <w:start w:w="120" w:type="dxa"/>
              <w:end w:w="120" w:type="dxa"/>
            </w:tcMar>
            <w:vAlign w:val="center"/>
          </w:tcPr>
          <w:p>
            <w:pPr>
              <w:jc w:val="center"/>
            </w:pPr>
            <w:r>
              <w:rPr>
                <w:sz w:val="19"/>
              </w:rPr>
              <w:t>QTL 收入</w:t>
            </w:r>
          </w:p>
        </w:tc>
        <w:tc>
          <w:tcPr>
            <w:tcW w:type="dxa" w:w="1600"/>
            <w:tcMar>
              <w:top w:w="80" w:type="dxa"/>
              <w:bottom w:w="80" w:type="dxa"/>
              <w:start w:w="120" w:type="dxa"/>
              <w:end w:w="120" w:type="dxa"/>
            </w:tcMar>
            <w:vAlign w:val="center"/>
          </w:tcPr>
          <w:p>
            <w:pPr>
              <w:jc w:val="left"/>
            </w:pPr>
            <w:r>
              <w:rPr>
                <w:sz w:val="19"/>
              </w:rPr>
              <w:t>55.82</w:t>
            </w:r>
          </w:p>
        </w:tc>
        <w:tc>
          <w:tcPr>
            <w:tcW w:type="dxa" w:w="1400"/>
            <w:tcMar>
              <w:top w:w="80" w:type="dxa"/>
              <w:bottom w:w="80" w:type="dxa"/>
              <w:start w:w="120" w:type="dxa"/>
              <w:end w:w="120" w:type="dxa"/>
            </w:tcMar>
            <w:vAlign w:val="center"/>
          </w:tcPr>
          <w:p>
            <w:pPr>
              <w:jc w:val="left"/>
            </w:pPr>
            <w:r>
              <w:rPr>
                <w:sz w:val="19"/>
              </w:rPr>
              <w:t>基本持平</w:t>
            </w:r>
          </w:p>
        </w:tc>
        <w:tc>
          <w:tcPr>
            <w:tcW w:type="dxa" w:w="4260"/>
            <w:tcMar>
              <w:top w:w="80" w:type="dxa"/>
              <w:bottom w:w="80" w:type="dxa"/>
              <w:start w:w="120" w:type="dxa"/>
              <w:end w:w="120" w:type="dxa"/>
            </w:tcMar>
            <w:vAlign w:val="center"/>
          </w:tcPr>
          <w:p>
            <w:pPr>
              <w:jc w:val="left"/>
            </w:pPr>
            <w:r>
              <w:rPr>
                <w:sz w:val="19"/>
              </w:rPr>
              <w:t>授权业务稳定但增长性弱于 QCT</w:t>
            </w:r>
          </w:p>
        </w:tc>
      </w:tr>
      <w:tr>
        <w:tc>
          <w:tcPr>
            <w:tcW w:type="dxa" w:w="2100"/>
            <w:tcMar>
              <w:top w:w="80" w:type="dxa"/>
              <w:bottom w:w="80" w:type="dxa"/>
              <w:start w:w="120" w:type="dxa"/>
              <w:end w:w="120" w:type="dxa"/>
            </w:tcMar>
            <w:vAlign w:val="center"/>
          </w:tcPr>
          <w:p>
            <w:pPr>
              <w:jc w:val="center"/>
            </w:pPr>
            <w:r>
              <w:rPr>
                <w:sz w:val="19"/>
              </w:rPr>
              <w:t>QCT Handsets</w:t>
            </w:r>
          </w:p>
        </w:tc>
        <w:tc>
          <w:tcPr>
            <w:tcW w:type="dxa" w:w="1600"/>
            <w:tcMar>
              <w:top w:w="80" w:type="dxa"/>
              <w:bottom w:w="80" w:type="dxa"/>
              <w:start w:w="120" w:type="dxa"/>
              <w:end w:w="120" w:type="dxa"/>
            </w:tcMar>
            <w:vAlign w:val="center"/>
          </w:tcPr>
          <w:p>
            <w:pPr>
              <w:jc w:val="left"/>
            </w:pPr>
            <w:r>
              <w:rPr>
                <w:sz w:val="19"/>
              </w:rPr>
              <w:t>277.93</w:t>
            </w:r>
          </w:p>
        </w:tc>
        <w:tc>
          <w:tcPr>
            <w:tcW w:type="dxa" w:w="1400"/>
            <w:tcMar>
              <w:top w:w="80" w:type="dxa"/>
              <w:bottom w:w="80" w:type="dxa"/>
              <w:start w:w="120" w:type="dxa"/>
              <w:end w:w="120" w:type="dxa"/>
            </w:tcMar>
            <w:vAlign w:val="center"/>
          </w:tcPr>
          <w:p>
            <w:pPr>
              <w:jc w:val="left"/>
            </w:pPr>
            <w:r>
              <w:rPr>
                <w:sz w:val="19"/>
              </w:rPr>
              <w:t>+12%</w:t>
            </w:r>
          </w:p>
        </w:tc>
        <w:tc>
          <w:tcPr>
            <w:tcW w:type="dxa" w:w="4260"/>
            <w:tcMar>
              <w:top w:w="80" w:type="dxa"/>
              <w:bottom w:w="80" w:type="dxa"/>
              <w:start w:w="120" w:type="dxa"/>
              <w:end w:w="120" w:type="dxa"/>
            </w:tcMar>
            <w:vAlign w:val="center"/>
          </w:tcPr>
          <w:p>
            <w:pPr>
              <w:jc w:val="left"/>
            </w:pPr>
            <w:r>
              <w:rPr>
                <w:sz w:val="19"/>
              </w:rPr>
              <w:t>安卓高端与旗舰平台仍为基本盘</w:t>
            </w:r>
          </w:p>
        </w:tc>
      </w:tr>
      <w:tr>
        <w:tc>
          <w:tcPr>
            <w:tcW w:type="dxa" w:w="2100"/>
            <w:tcMar>
              <w:top w:w="80" w:type="dxa"/>
              <w:bottom w:w="80" w:type="dxa"/>
              <w:start w:w="120" w:type="dxa"/>
              <w:end w:w="120" w:type="dxa"/>
            </w:tcMar>
            <w:vAlign w:val="center"/>
          </w:tcPr>
          <w:p>
            <w:pPr>
              <w:jc w:val="center"/>
            </w:pPr>
            <w:r>
              <w:rPr>
                <w:sz w:val="19"/>
              </w:rPr>
              <w:t>QCT Automotive</w:t>
            </w:r>
          </w:p>
        </w:tc>
        <w:tc>
          <w:tcPr>
            <w:tcW w:type="dxa" w:w="1600"/>
            <w:tcMar>
              <w:top w:w="80" w:type="dxa"/>
              <w:bottom w:w="80" w:type="dxa"/>
              <w:start w:w="120" w:type="dxa"/>
              <w:end w:w="120" w:type="dxa"/>
            </w:tcMar>
            <w:vAlign w:val="center"/>
          </w:tcPr>
          <w:p>
            <w:pPr>
              <w:jc w:val="left"/>
            </w:pPr>
            <w:r>
              <w:rPr>
                <w:sz w:val="19"/>
              </w:rPr>
              <w:t>39.57</w:t>
            </w:r>
          </w:p>
        </w:tc>
        <w:tc>
          <w:tcPr>
            <w:tcW w:type="dxa" w:w="1400"/>
            <w:tcMar>
              <w:top w:w="80" w:type="dxa"/>
              <w:bottom w:w="80" w:type="dxa"/>
              <w:start w:w="120" w:type="dxa"/>
              <w:end w:w="120" w:type="dxa"/>
            </w:tcMar>
            <w:vAlign w:val="center"/>
          </w:tcPr>
          <w:p>
            <w:pPr>
              <w:jc w:val="left"/>
            </w:pPr>
            <w:r>
              <w:rPr>
                <w:sz w:val="19"/>
              </w:rPr>
              <w:t>+36%</w:t>
            </w:r>
          </w:p>
        </w:tc>
        <w:tc>
          <w:tcPr>
            <w:tcW w:type="dxa" w:w="4260"/>
            <w:tcMar>
              <w:top w:w="80" w:type="dxa"/>
              <w:bottom w:w="80" w:type="dxa"/>
              <w:start w:w="120" w:type="dxa"/>
              <w:end w:w="120" w:type="dxa"/>
            </w:tcMar>
            <w:vAlign w:val="center"/>
          </w:tcPr>
          <w:p>
            <w:pPr>
              <w:jc w:val="left"/>
            </w:pPr>
            <w:r>
              <w:rPr>
                <w:sz w:val="19"/>
              </w:rPr>
              <w:t>车载业务是最清晰的中长期第二曲线</w:t>
            </w:r>
          </w:p>
        </w:tc>
      </w:tr>
      <w:tr>
        <w:tc>
          <w:tcPr>
            <w:tcW w:type="dxa" w:w="2100"/>
            <w:tcMar>
              <w:top w:w="80" w:type="dxa"/>
              <w:bottom w:w="80" w:type="dxa"/>
              <w:start w:w="120" w:type="dxa"/>
              <w:end w:w="120" w:type="dxa"/>
            </w:tcMar>
            <w:vAlign w:val="center"/>
          </w:tcPr>
          <w:p>
            <w:pPr>
              <w:jc w:val="center"/>
            </w:pPr>
            <w:r>
              <w:rPr>
                <w:sz w:val="19"/>
              </w:rPr>
              <w:t>QCT IoT</w:t>
            </w:r>
          </w:p>
        </w:tc>
        <w:tc>
          <w:tcPr>
            <w:tcW w:type="dxa" w:w="1600"/>
            <w:tcMar>
              <w:top w:w="80" w:type="dxa"/>
              <w:bottom w:w="80" w:type="dxa"/>
              <w:start w:w="120" w:type="dxa"/>
              <w:end w:w="120" w:type="dxa"/>
            </w:tcMar>
            <w:vAlign w:val="center"/>
          </w:tcPr>
          <w:p>
            <w:pPr>
              <w:jc w:val="left"/>
            </w:pPr>
            <w:r>
              <w:rPr>
                <w:sz w:val="19"/>
              </w:rPr>
              <w:t>66.17</w:t>
            </w:r>
          </w:p>
        </w:tc>
        <w:tc>
          <w:tcPr>
            <w:tcW w:type="dxa" w:w="1400"/>
            <w:tcMar>
              <w:top w:w="80" w:type="dxa"/>
              <w:bottom w:w="80" w:type="dxa"/>
              <w:start w:w="120" w:type="dxa"/>
              <w:end w:w="120" w:type="dxa"/>
            </w:tcMar>
            <w:vAlign w:val="center"/>
          </w:tcPr>
          <w:p>
            <w:pPr>
              <w:jc w:val="left"/>
            </w:pPr>
            <w:r>
              <w:rPr>
                <w:sz w:val="19"/>
              </w:rPr>
              <w:t>+22%</w:t>
            </w:r>
          </w:p>
        </w:tc>
        <w:tc>
          <w:tcPr>
            <w:tcW w:type="dxa" w:w="4260"/>
            <w:tcMar>
              <w:top w:w="80" w:type="dxa"/>
              <w:bottom w:w="80" w:type="dxa"/>
              <w:start w:w="120" w:type="dxa"/>
              <w:end w:w="120" w:type="dxa"/>
            </w:tcMar>
            <w:vAlign w:val="center"/>
          </w:tcPr>
          <w:p>
            <w:pPr>
              <w:jc w:val="left"/>
            </w:pPr>
            <w:r>
              <w:rPr>
                <w:sz w:val="19"/>
              </w:rPr>
              <w:t>工业、边缘 AI 和网络设备需求恢复</w:t>
            </w:r>
          </w:p>
        </w:tc>
      </w:tr>
      <w:tr>
        <w:tc>
          <w:tcPr>
            <w:tcW w:type="dxa" w:w="2100"/>
            <w:tcMar>
              <w:top w:w="80" w:type="dxa"/>
              <w:bottom w:w="80" w:type="dxa"/>
              <w:start w:w="120" w:type="dxa"/>
              <w:end w:w="120" w:type="dxa"/>
            </w:tcMar>
            <w:vAlign w:val="center"/>
          </w:tcPr>
          <w:p>
            <w:pPr>
              <w:jc w:val="center"/>
            </w:pPr>
            <w:r>
              <w:rPr>
                <w:sz w:val="19"/>
              </w:rPr>
              <w:t>Non-GAAP EPS</w:t>
            </w:r>
          </w:p>
        </w:tc>
        <w:tc>
          <w:tcPr>
            <w:tcW w:type="dxa" w:w="1600"/>
            <w:tcMar>
              <w:top w:w="80" w:type="dxa"/>
              <w:bottom w:w="80" w:type="dxa"/>
              <w:start w:w="120" w:type="dxa"/>
              <w:end w:w="120" w:type="dxa"/>
            </w:tcMar>
            <w:vAlign w:val="center"/>
          </w:tcPr>
          <w:p>
            <w:pPr>
              <w:jc w:val="left"/>
            </w:pPr>
            <w:r>
              <w:rPr>
                <w:sz w:val="19"/>
              </w:rPr>
              <w:t>12.03</w:t>
            </w:r>
          </w:p>
        </w:tc>
        <w:tc>
          <w:tcPr>
            <w:tcW w:type="dxa" w:w="1400"/>
            <w:tcMar>
              <w:top w:w="80" w:type="dxa"/>
              <w:bottom w:w="80" w:type="dxa"/>
              <w:start w:w="120" w:type="dxa"/>
              <w:end w:w="120" w:type="dxa"/>
            </w:tcMar>
            <w:vAlign w:val="center"/>
          </w:tcPr>
          <w:p>
            <w:pPr>
              <w:jc w:val="left"/>
            </w:pPr>
            <w:r>
              <w:rPr>
                <w:sz w:val="19"/>
              </w:rPr>
              <w:t>+18%</w:t>
            </w:r>
          </w:p>
        </w:tc>
        <w:tc>
          <w:tcPr>
            <w:tcW w:type="dxa" w:w="4260"/>
            <w:tcMar>
              <w:top w:w="80" w:type="dxa"/>
              <w:bottom w:w="80" w:type="dxa"/>
              <w:start w:w="120" w:type="dxa"/>
              <w:end w:w="120" w:type="dxa"/>
            </w:tcMar>
            <w:vAlign w:val="center"/>
          </w:tcPr>
          <w:p>
            <w:pPr>
              <w:jc w:val="left"/>
            </w:pPr>
            <w:r>
              <w:rPr>
                <w:sz w:val="19"/>
              </w:rPr>
              <w:t>利润增长高于收入增长，体现成本控制和回购贡献</w:t>
            </w:r>
          </w:p>
        </w:tc>
      </w:tr>
    </w:tbl>
    <w:p/>
    <w:p>
      <w:pPr>
        <w:pStyle w:val="Heading1"/>
      </w:pPr>
      <w:r>
        <w:t>八、主营业务收入与分部分析</w:t>
      </w:r>
    </w:p>
    <w:p>
      <w:pPr>
        <w:pStyle w:val="Heading2"/>
      </w:pPr>
      <w:r>
        <w:t>8.1 分部收入结构</w:t>
      </w:r>
    </w:p>
    <w:p>
      <w:pPr>
        <w:spacing w:after="80"/>
      </w:pPr>
      <w:r>
        <w:rPr>
          <w:color w:val="585858"/>
          <w:sz w:val="18"/>
        </w:rPr>
        <w:t>数据来源：Qualcomm FY2026 Q2 业绩公告。金额单位：亿美元。</w:t>
      </w:r>
    </w:p>
    <w:tbl>
      <w:tblPr>
        <w:tblStyle w:val="TableGrid"/>
        <w:tblW w:type="dxa" w:w="9360"/>
        <w:jc w:val="center"/>
        <w:tblLook w:firstColumn="1" w:firstRow="1" w:lastColumn="0" w:lastRow="0" w:noHBand="0" w:noVBand="1" w:val="04A0"/>
        <w:tblInd w:w="120" w:type="dxa"/>
      </w:tblPr>
      <w:tblGrid>
        <w:gridCol w:w="1700"/>
        <w:gridCol w:w="1600"/>
        <w:gridCol w:w="1300"/>
        <w:gridCol w:w="1500"/>
        <w:gridCol w:w="3260"/>
      </w:tblGrid>
      <w:tr>
        <w:trPr>
          <w:tblHeader w:val="true"/>
        </w:trPr>
        <w:tc>
          <w:tcPr>
            <w:tcW w:type="dxa" w:w="1700"/>
            <w:shd w:fill="F2F4F7"/>
            <w:tcMar>
              <w:top w:w="80" w:type="dxa"/>
              <w:bottom w:w="80" w:type="dxa"/>
              <w:start w:w="120" w:type="dxa"/>
              <w:end w:w="120" w:type="dxa"/>
            </w:tcMar>
            <w:vAlign w:val="center"/>
          </w:tcPr>
          <w:p>
            <w:pPr>
              <w:jc w:val="center"/>
            </w:pPr>
            <w:r>
              <w:rPr>
                <w:b/>
                <w:sz w:val="19"/>
              </w:rPr>
              <w:t>分部</w:t>
            </w:r>
          </w:p>
        </w:tc>
        <w:tc>
          <w:tcPr>
            <w:tcW w:type="dxa" w:w="1600"/>
            <w:shd w:fill="F2F4F7"/>
            <w:tcMar>
              <w:top w:w="80" w:type="dxa"/>
              <w:bottom w:w="80" w:type="dxa"/>
              <w:start w:w="120" w:type="dxa"/>
              <w:end w:w="120" w:type="dxa"/>
            </w:tcMar>
            <w:vAlign w:val="center"/>
          </w:tcPr>
          <w:p>
            <w:pPr>
              <w:jc w:val="center"/>
            </w:pPr>
            <w:r>
              <w:rPr>
                <w:b/>
                <w:sz w:val="19"/>
              </w:rPr>
              <w:t>FY2026 Q2 收入</w:t>
            </w:r>
          </w:p>
        </w:tc>
        <w:tc>
          <w:tcPr>
            <w:tcW w:type="dxa" w:w="1300"/>
            <w:shd w:fill="F2F4F7"/>
            <w:tcMar>
              <w:top w:w="80" w:type="dxa"/>
              <w:bottom w:w="80" w:type="dxa"/>
              <w:start w:w="120" w:type="dxa"/>
              <w:end w:w="120" w:type="dxa"/>
            </w:tcMar>
            <w:vAlign w:val="center"/>
          </w:tcPr>
          <w:p>
            <w:pPr>
              <w:jc w:val="center"/>
            </w:pPr>
            <w:r>
              <w:rPr>
                <w:b/>
                <w:sz w:val="19"/>
              </w:rPr>
              <w:t>同比变化</w:t>
            </w:r>
          </w:p>
        </w:tc>
        <w:tc>
          <w:tcPr>
            <w:tcW w:type="dxa" w:w="1500"/>
            <w:shd w:fill="F2F4F7"/>
            <w:tcMar>
              <w:top w:w="80" w:type="dxa"/>
              <w:bottom w:w="80" w:type="dxa"/>
              <w:start w:w="120" w:type="dxa"/>
              <w:end w:w="120" w:type="dxa"/>
            </w:tcMar>
            <w:vAlign w:val="center"/>
          </w:tcPr>
          <w:p>
            <w:pPr>
              <w:jc w:val="center"/>
            </w:pPr>
            <w:r>
              <w:rPr>
                <w:b/>
                <w:sz w:val="19"/>
              </w:rPr>
              <w:t>税前利润/EBT</w:t>
            </w:r>
          </w:p>
        </w:tc>
        <w:tc>
          <w:tcPr>
            <w:tcW w:type="dxa" w:w="3260"/>
            <w:shd w:fill="F2F4F7"/>
            <w:tcMar>
              <w:top w:w="80" w:type="dxa"/>
              <w:bottom w:w="80" w:type="dxa"/>
              <w:start w:w="120" w:type="dxa"/>
              <w:end w:w="120" w:type="dxa"/>
            </w:tcMar>
            <w:vAlign w:val="center"/>
          </w:tcPr>
          <w:p>
            <w:pPr>
              <w:jc w:val="center"/>
            </w:pPr>
            <w:r>
              <w:rPr>
                <w:b/>
                <w:sz w:val="19"/>
              </w:rPr>
              <w:t>经营判断</w:t>
            </w:r>
          </w:p>
        </w:tc>
      </w:tr>
      <w:tr>
        <w:tc>
          <w:tcPr>
            <w:tcW w:type="dxa" w:w="1700"/>
            <w:tcMar>
              <w:top w:w="80" w:type="dxa"/>
              <w:bottom w:w="80" w:type="dxa"/>
              <w:start w:w="120" w:type="dxa"/>
              <w:end w:w="120" w:type="dxa"/>
            </w:tcMar>
            <w:vAlign w:val="center"/>
          </w:tcPr>
          <w:p>
            <w:pPr>
              <w:jc w:val="center"/>
            </w:pPr>
            <w:r>
              <w:rPr>
                <w:sz w:val="19"/>
              </w:rPr>
              <w:t>QCT 合计</w:t>
            </w:r>
          </w:p>
        </w:tc>
        <w:tc>
          <w:tcPr>
            <w:tcW w:type="dxa" w:w="1600"/>
            <w:tcMar>
              <w:top w:w="80" w:type="dxa"/>
              <w:bottom w:w="80" w:type="dxa"/>
              <w:start w:w="120" w:type="dxa"/>
              <w:end w:w="120" w:type="dxa"/>
            </w:tcMar>
            <w:vAlign w:val="center"/>
          </w:tcPr>
          <w:p>
            <w:pPr>
              <w:jc w:val="left"/>
            </w:pPr>
            <w:r>
              <w:rPr>
                <w:sz w:val="19"/>
              </w:rPr>
              <w:t>90.76</w:t>
            </w:r>
          </w:p>
        </w:tc>
        <w:tc>
          <w:tcPr>
            <w:tcW w:type="dxa" w:w="1300"/>
            <w:tcMar>
              <w:top w:w="80" w:type="dxa"/>
              <w:bottom w:w="80" w:type="dxa"/>
              <w:start w:w="120" w:type="dxa"/>
              <w:end w:w="120" w:type="dxa"/>
            </w:tcMar>
            <w:vAlign w:val="center"/>
          </w:tcPr>
          <w:p>
            <w:pPr>
              <w:jc w:val="left"/>
            </w:pPr>
            <w:r>
              <w:rPr>
                <w:sz w:val="19"/>
              </w:rPr>
              <w:t>-4%</w:t>
            </w:r>
          </w:p>
        </w:tc>
        <w:tc>
          <w:tcPr>
            <w:tcW w:type="dxa" w:w="1500"/>
            <w:tcMar>
              <w:top w:w="80" w:type="dxa"/>
              <w:bottom w:w="80" w:type="dxa"/>
              <w:start w:w="120" w:type="dxa"/>
              <w:end w:w="120" w:type="dxa"/>
            </w:tcMar>
            <w:vAlign w:val="center"/>
          </w:tcPr>
          <w:p>
            <w:pPr>
              <w:jc w:val="left"/>
            </w:pPr>
            <w:r>
              <w:rPr>
                <w:sz w:val="19"/>
              </w:rPr>
              <w:t>24.65</w:t>
            </w:r>
          </w:p>
        </w:tc>
        <w:tc>
          <w:tcPr>
            <w:tcW w:type="dxa" w:w="3260"/>
            <w:tcMar>
              <w:top w:w="80" w:type="dxa"/>
              <w:bottom w:w="80" w:type="dxa"/>
              <w:start w:w="120" w:type="dxa"/>
              <w:end w:w="120" w:type="dxa"/>
            </w:tcMar>
            <w:vAlign w:val="center"/>
          </w:tcPr>
          <w:p>
            <w:pPr>
              <w:jc w:val="left"/>
            </w:pPr>
            <w:r>
              <w:rPr>
                <w:sz w:val="19"/>
              </w:rPr>
              <w:t>芯片业务仍占主导，手机下滑拖累整体</w:t>
            </w:r>
          </w:p>
        </w:tc>
      </w:tr>
      <w:tr>
        <w:tc>
          <w:tcPr>
            <w:tcW w:type="dxa" w:w="1700"/>
            <w:tcMar>
              <w:top w:w="80" w:type="dxa"/>
              <w:bottom w:w="80" w:type="dxa"/>
              <w:start w:w="120" w:type="dxa"/>
              <w:end w:w="120" w:type="dxa"/>
            </w:tcMar>
            <w:vAlign w:val="center"/>
          </w:tcPr>
          <w:p>
            <w:pPr>
              <w:jc w:val="center"/>
            </w:pPr>
            <w:r>
              <w:rPr>
                <w:sz w:val="19"/>
              </w:rPr>
              <w:t>Handsets</w:t>
            </w:r>
          </w:p>
        </w:tc>
        <w:tc>
          <w:tcPr>
            <w:tcW w:type="dxa" w:w="1600"/>
            <w:tcMar>
              <w:top w:w="80" w:type="dxa"/>
              <w:bottom w:w="80" w:type="dxa"/>
              <w:start w:w="120" w:type="dxa"/>
              <w:end w:w="120" w:type="dxa"/>
            </w:tcMar>
            <w:vAlign w:val="center"/>
          </w:tcPr>
          <w:p>
            <w:pPr>
              <w:jc w:val="left"/>
            </w:pPr>
            <w:r>
              <w:rPr>
                <w:sz w:val="19"/>
              </w:rPr>
              <w:t>60.24</w:t>
            </w:r>
          </w:p>
        </w:tc>
        <w:tc>
          <w:tcPr>
            <w:tcW w:type="dxa" w:w="1300"/>
            <w:tcMar>
              <w:top w:w="80" w:type="dxa"/>
              <w:bottom w:w="80" w:type="dxa"/>
              <w:start w:w="120" w:type="dxa"/>
              <w:end w:w="120" w:type="dxa"/>
            </w:tcMar>
            <w:vAlign w:val="center"/>
          </w:tcPr>
          <w:p>
            <w:pPr>
              <w:jc w:val="left"/>
            </w:pPr>
            <w:r>
              <w:rPr>
                <w:sz w:val="19"/>
              </w:rPr>
              <w:t>-13%</w:t>
            </w:r>
          </w:p>
        </w:tc>
        <w:tc>
          <w:tcPr>
            <w:tcW w:type="dxa" w:w="1500"/>
            <w:tcMar>
              <w:top w:w="80" w:type="dxa"/>
              <w:bottom w:w="80" w:type="dxa"/>
              <w:start w:w="120" w:type="dxa"/>
              <w:end w:w="120" w:type="dxa"/>
            </w:tcMar>
            <w:vAlign w:val="center"/>
          </w:tcPr>
          <w:p>
            <w:pPr>
              <w:jc w:val="left"/>
            </w:pPr>
            <w:r>
              <w:rPr>
                <w:sz w:val="19"/>
              </w:rPr>
              <w:t>未单列</w:t>
            </w:r>
          </w:p>
        </w:tc>
        <w:tc>
          <w:tcPr>
            <w:tcW w:type="dxa" w:w="3260"/>
            <w:tcMar>
              <w:top w:w="80" w:type="dxa"/>
              <w:bottom w:w="80" w:type="dxa"/>
              <w:start w:w="120" w:type="dxa"/>
              <w:end w:w="120" w:type="dxa"/>
            </w:tcMar>
            <w:vAlign w:val="center"/>
          </w:tcPr>
          <w:p>
            <w:pPr>
              <w:jc w:val="left"/>
            </w:pPr>
            <w:r>
              <w:rPr>
                <w:sz w:val="19"/>
              </w:rPr>
              <w:t>基本盘仍大，但周期性和客户结构风险较高</w:t>
            </w:r>
          </w:p>
        </w:tc>
      </w:tr>
      <w:tr>
        <w:tc>
          <w:tcPr>
            <w:tcW w:type="dxa" w:w="1700"/>
            <w:tcMar>
              <w:top w:w="80" w:type="dxa"/>
              <w:bottom w:w="80" w:type="dxa"/>
              <w:start w:w="120" w:type="dxa"/>
              <w:end w:w="120" w:type="dxa"/>
            </w:tcMar>
            <w:vAlign w:val="center"/>
          </w:tcPr>
          <w:p>
            <w:pPr>
              <w:jc w:val="center"/>
            </w:pPr>
            <w:r>
              <w:rPr>
                <w:sz w:val="19"/>
              </w:rPr>
              <w:t>Automotive</w:t>
            </w:r>
          </w:p>
        </w:tc>
        <w:tc>
          <w:tcPr>
            <w:tcW w:type="dxa" w:w="1600"/>
            <w:tcMar>
              <w:top w:w="80" w:type="dxa"/>
              <w:bottom w:w="80" w:type="dxa"/>
              <w:start w:w="120" w:type="dxa"/>
              <w:end w:w="120" w:type="dxa"/>
            </w:tcMar>
            <w:vAlign w:val="center"/>
          </w:tcPr>
          <w:p>
            <w:pPr>
              <w:jc w:val="left"/>
            </w:pPr>
            <w:r>
              <w:rPr>
                <w:sz w:val="19"/>
              </w:rPr>
              <w:t>13.26</w:t>
            </w:r>
          </w:p>
        </w:tc>
        <w:tc>
          <w:tcPr>
            <w:tcW w:type="dxa" w:w="1300"/>
            <w:tcMar>
              <w:top w:w="80" w:type="dxa"/>
              <w:bottom w:w="80" w:type="dxa"/>
              <w:start w:w="120" w:type="dxa"/>
              <w:end w:w="120" w:type="dxa"/>
            </w:tcMar>
            <w:vAlign w:val="center"/>
          </w:tcPr>
          <w:p>
            <w:pPr>
              <w:jc w:val="left"/>
            </w:pPr>
            <w:r>
              <w:rPr>
                <w:sz w:val="19"/>
              </w:rPr>
              <w:t>+38%</w:t>
            </w:r>
          </w:p>
        </w:tc>
        <w:tc>
          <w:tcPr>
            <w:tcW w:type="dxa" w:w="1500"/>
            <w:tcMar>
              <w:top w:w="80" w:type="dxa"/>
              <w:bottom w:w="80" w:type="dxa"/>
              <w:start w:w="120" w:type="dxa"/>
              <w:end w:w="120" w:type="dxa"/>
            </w:tcMar>
            <w:vAlign w:val="center"/>
          </w:tcPr>
          <w:p>
            <w:pPr>
              <w:jc w:val="left"/>
            </w:pPr>
            <w:r>
              <w:rPr>
                <w:sz w:val="19"/>
              </w:rPr>
              <w:t>未单列</w:t>
            </w:r>
          </w:p>
        </w:tc>
        <w:tc>
          <w:tcPr>
            <w:tcW w:type="dxa" w:w="3260"/>
            <w:tcMar>
              <w:top w:w="80" w:type="dxa"/>
              <w:bottom w:w="80" w:type="dxa"/>
              <w:start w:w="120" w:type="dxa"/>
              <w:end w:w="120" w:type="dxa"/>
            </w:tcMar>
            <w:vAlign w:val="center"/>
          </w:tcPr>
          <w:p>
            <w:pPr>
              <w:jc w:val="left"/>
            </w:pPr>
            <w:r>
              <w:rPr>
                <w:sz w:val="19"/>
              </w:rPr>
              <w:t>增长最快，车载设计导入持续兑现</w:t>
            </w:r>
          </w:p>
        </w:tc>
      </w:tr>
      <w:tr>
        <w:tc>
          <w:tcPr>
            <w:tcW w:type="dxa" w:w="1700"/>
            <w:tcMar>
              <w:top w:w="80" w:type="dxa"/>
              <w:bottom w:w="80" w:type="dxa"/>
              <w:start w:w="120" w:type="dxa"/>
              <w:end w:w="120" w:type="dxa"/>
            </w:tcMar>
            <w:vAlign w:val="center"/>
          </w:tcPr>
          <w:p>
            <w:pPr>
              <w:jc w:val="center"/>
            </w:pPr>
            <w:r>
              <w:rPr>
                <w:sz w:val="19"/>
              </w:rPr>
              <w:t>IoT</w:t>
            </w:r>
          </w:p>
        </w:tc>
        <w:tc>
          <w:tcPr>
            <w:tcW w:type="dxa" w:w="1600"/>
            <w:tcMar>
              <w:top w:w="80" w:type="dxa"/>
              <w:bottom w:w="80" w:type="dxa"/>
              <w:start w:w="120" w:type="dxa"/>
              <w:end w:w="120" w:type="dxa"/>
            </w:tcMar>
            <w:vAlign w:val="center"/>
          </w:tcPr>
          <w:p>
            <w:pPr>
              <w:jc w:val="left"/>
            </w:pPr>
            <w:r>
              <w:rPr>
                <w:sz w:val="19"/>
              </w:rPr>
              <w:t>17.26</w:t>
            </w:r>
          </w:p>
        </w:tc>
        <w:tc>
          <w:tcPr>
            <w:tcW w:type="dxa" w:w="1300"/>
            <w:tcMar>
              <w:top w:w="80" w:type="dxa"/>
              <w:bottom w:w="80" w:type="dxa"/>
              <w:start w:w="120" w:type="dxa"/>
              <w:end w:w="120" w:type="dxa"/>
            </w:tcMar>
            <w:vAlign w:val="center"/>
          </w:tcPr>
          <w:p>
            <w:pPr>
              <w:jc w:val="left"/>
            </w:pPr>
            <w:r>
              <w:rPr>
                <w:sz w:val="19"/>
              </w:rPr>
              <w:t>+9%</w:t>
            </w:r>
          </w:p>
        </w:tc>
        <w:tc>
          <w:tcPr>
            <w:tcW w:type="dxa" w:w="1500"/>
            <w:tcMar>
              <w:top w:w="80" w:type="dxa"/>
              <w:bottom w:w="80" w:type="dxa"/>
              <w:start w:w="120" w:type="dxa"/>
              <w:end w:w="120" w:type="dxa"/>
            </w:tcMar>
            <w:vAlign w:val="center"/>
          </w:tcPr>
          <w:p>
            <w:pPr>
              <w:jc w:val="left"/>
            </w:pPr>
            <w:r>
              <w:rPr>
                <w:sz w:val="19"/>
              </w:rPr>
              <w:t>未单列</w:t>
            </w:r>
          </w:p>
        </w:tc>
        <w:tc>
          <w:tcPr>
            <w:tcW w:type="dxa" w:w="3260"/>
            <w:tcMar>
              <w:top w:w="80" w:type="dxa"/>
              <w:bottom w:w="80" w:type="dxa"/>
              <w:start w:w="120" w:type="dxa"/>
              <w:end w:w="120" w:type="dxa"/>
            </w:tcMar>
            <w:vAlign w:val="center"/>
          </w:tcPr>
          <w:p>
            <w:pPr>
              <w:jc w:val="left"/>
            </w:pPr>
            <w:r>
              <w:rPr>
                <w:sz w:val="19"/>
              </w:rPr>
              <w:t>恢复增长，AI 边缘和工业应用值得跟踪</w:t>
            </w:r>
          </w:p>
        </w:tc>
      </w:tr>
      <w:tr>
        <w:tc>
          <w:tcPr>
            <w:tcW w:type="dxa" w:w="1700"/>
            <w:tcMar>
              <w:top w:w="80" w:type="dxa"/>
              <w:bottom w:w="80" w:type="dxa"/>
              <w:start w:w="120" w:type="dxa"/>
              <w:end w:w="120" w:type="dxa"/>
            </w:tcMar>
            <w:vAlign w:val="center"/>
          </w:tcPr>
          <w:p>
            <w:pPr>
              <w:jc w:val="center"/>
            </w:pPr>
            <w:r>
              <w:rPr>
                <w:sz w:val="19"/>
              </w:rPr>
              <w:t>QTL</w:t>
            </w:r>
          </w:p>
        </w:tc>
        <w:tc>
          <w:tcPr>
            <w:tcW w:type="dxa" w:w="1600"/>
            <w:tcMar>
              <w:top w:w="80" w:type="dxa"/>
              <w:bottom w:w="80" w:type="dxa"/>
              <w:start w:w="120" w:type="dxa"/>
              <w:end w:w="120" w:type="dxa"/>
            </w:tcMar>
            <w:vAlign w:val="center"/>
          </w:tcPr>
          <w:p>
            <w:pPr>
              <w:jc w:val="left"/>
            </w:pPr>
            <w:r>
              <w:rPr>
                <w:sz w:val="19"/>
              </w:rPr>
              <w:t>13.82</w:t>
            </w:r>
          </w:p>
        </w:tc>
        <w:tc>
          <w:tcPr>
            <w:tcW w:type="dxa" w:w="1300"/>
            <w:tcMar>
              <w:top w:w="80" w:type="dxa"/>
              <w:bottom w:w="80" w:type="dxa"/>
              <w:start w:w="120" w:type="dxa"/>
              <w:end w:w="120" w:type="dxa"/>
            </w:tcMar>
            <w:vAlign w:val="center"/>
          </w:tcPr>
          <w:p>
            <w:pPr>
              <w:jc w:val="left"/>
            </w:pPr>
            <w:r>
              <w:rPr>
                <w:sz w:val="19"/>
              </w:rPr>
              <w:t>+5%</w:t>
            </w:r>
          </w:p>
        </w:tc>
        <w:tc>
          <w:tcPr>
            <w:tcW w:type="dxa" w:w="1500"/>
            <w:tcMar>
              <w:top w:w="80" w:type="dxa"/>
              <w:bottom w:w="80" w:type="dxa"/>
              <w:start w:w="120" w:type="dxa"/>
              <w:end w:w="120" w:type="dxa"/>
            </w:tcMar>
            <w:vAlign w:val="center"/>
          </w:tcPr>
          <w:p>
            <w:pPr>
              <w:jc w:val="left"/>
            </w:pPr>
            <w:r>
              <w:rPr>
                <w:sz w:val="19"/>
              </w:rPr>
              <w:t>9.94</w:t>
            </w:r>
          </w:p>
        </w:tc>
        <w:tc>
          <w:tcPr>
            <w:tcW w:type="dxa" w:w="3260"/>
            <w:tcMar>
              <w:top w:w="80" w:type="dxa"/>
              <w:bottom w:w="80" w:type="dxa"/>
              <w:start w:w="120" w:type="dxa"/>
              <w:end w:w="120" w:type="dxa"/>
            </w:tcMar>
            <w:vAlign w:val="center"/>
          </w:tcPr>
          <w:p>
            <w:pPr>
              <w:jc w:val="left"/>
            </w:pPr>
            <w:r>
              <w:rPr>
                <w:sz w:val="19"/>
              </w:rPr>
              <w:t>高利润授权业务提供现金流稳定器</w:t>
            </w:r>
          </w:p>
        </w:tc>
      </w:tr>
    </w:tbl>
    <w:p/>
    <w:p>
      <w:pPr>
        <w:pStyle w:val="Heading2"/>
      </w:pPr>
      <w:r>
        <w:t>8.2 Handsets：基本盘与端侧 Agent 入口</w:t>
      </w:r>
    </w:p>
    <w:p>
      <w:pPr>
        <w:spacing w:after="120" w:line="264" w:lineRule="auto"/>
      </w:pPr>
      <w:r>
        <w:rPr>
          <w:sz w:val="22"/>
        </w:rPr>
        <w:t>手机业务仍是高通最大收入来源。短期看，安卓高端机出货、旗舰换机周期和客户库存决定收入波动；长期看，手机是个人 AI Agent 最自然的常驻设备。端侧大模型、多模态语音助手、实时翻译、影像生成、私人知识库和隐私计算都将提升 SoC 的 NPU、内存带宽、ISP 和连接价值。</w:t>
      </w:r>
    </w:p>
    <w:p>
      <w:pPr>
        <w:pStyle w:val="Heading2"/>
      </w:pPr>
      <w:r>
        <w:t>8.3 Automotive：车载 Agent 与 Physical AI</w:t>
      </w:r>
    </w:p>
    <w:p>
      <w:pPr>
        <w:spacing w:after="120" w:line="264" w:lineRule="auto"/>
      </w:pPr>
      <w:r>
        <w:rPr>
          <w:sz w:val="22"/>
        </w:rPr>
        <w:t>汽车业务是高通多元化最具确定性的方向。智能座舱、车联网、ADAS 和自动驾驶平台具备长设计周期和较高客户黏性。随着车载 AI Agent 从语音助手扩展到驾驶场景理解、路线规划、座舱个性化和车辆控制，高通有机会把通信和座舱优势延伸到更高价值的智能驾驶平台。</w:t>
      </w:r>
    </w:p>
    <w:p>
      <w:pPr>
        <w:pStyle w:val="Heading2"/>
      </w:pPr>
      <w:r>
        <w:t>8.4 IoT：工业与企业边缘 AI</w:t>
      </w:r>
    </w:p>
    <w:p>
      <w:pPr>
        <w:spacing w:after="120" w:line="264" w:lineRule="auto"/>
      </w:pPr>
      <w:r>
        <w:rPr>
          <w:sz w:val="22"/>
        </w:rPr>
        <w:t>IoT 业务覆盖工业设备、摄像头、零售、网络边缘、XR、机器人和企业终端，场景碎片化但 AI Agent 的物理世界落地依赖这些节点。高通 Dragonwing 等平台的研究意义在于：让 AI 推理在边缘侧完成，减少云端依赖，并通过连接能力把设备组织成可协同的智能网络。</w:t>
      </w:r>
    </w:p>
    <w:p>
      <w:pPr>
        <w:pStyle w:val="Heading2"/>
      </w:pPr>
      <w:r>
        <w:t>8.5 QTL：现金流稳定器</w:t>
      </w:r>
    </w:p>
    <w:p>
      <w:pPr>
        <w:spacing w:after="120" w:line="264" w:lineRule="auto"/>
      </w:pPr>
      <w:r>
        <w:rPr>
          <w:sz w:val="22"/>
        </w:rPr>
        <w:t>QTL 授权业务不直接提供 AI 算力，但它是高通财务模型的重要稳定器。授权收入具有高利润率，对研发投入、股东回报和跨领域扩张形成支持。主要风险在于监管、诉讼、客户谈判和授权费率变化。</w:t>
      </w:r>
    </w:p>
    <w:p>
      <w:pPr>
        <w:pStyle w:val="Heading1"/>
      </w:pPr>
      <w:r>
        <w:t>九、估值框架与研究评级</w:t>
      </w:r>
    </w:p>
    <w:p>
      <w:pPr>
        <w:pStyle w:val="Heading2"/>
      </w:pPr>
      <w:r>
        <w:t>9.1 估值方法</w:t>
      </w:r>
    </w:p>
    <w:p>
      <w:pPr>
        <w:spacing w:after="120" w:line="264" w:lineRule="auto"/>
      </w:pPr>
      <w:r>
        <w:rPr>
          <w:sz w:val="22"/>
        </w:rPr>
        <w:t>高通不宜只按传统手机芯片周期股估值，也不应简单套用英伟达式 AI 训练平台估值。更合适的框架是“手机现金流基本盘 + 车载/IoT 成长曲线 + 端侧 AI 平台期权 + 授权现金流稳定器”。PE、自由现金流收益率、分部增长、回购强度和汽车订单可见度均应纳入分析。</w:t>
      </w:r>
    </w:p>
    <w:tbl>
      <w:tblPr>
        <w:tblStyle w:val="TableGrid"/>
        <w:tblW w:type="dxa" w:w="9360"/>
        <w:jc w:val="center"/>
        <w:tblLook w:firstColumn="1" w:firstRow="1" w:lastColumn="0" w:lastRow="0" w:noHBand="0" w:noVBand="1" w:val="04A0"/>
        <w:tblInd w:w="120" w:type="dxa"/>
      </w:tblPr>
      <w:tblGrid>
        <w:gridCol w:w="1900"/>
        <w:gridCol w:w="3700"/>
        <w:gridCol w:w="3760"/>
      </w:tblGrid>
      <w:tr>
        <w:trPr>
          <w:tblHeader w:val="true"/>
        </w:trPr>
        <w:tc>
          <w:tcPr>
            <w:tcW w:type="dxa" w:w="1900"/>
            <w:shd w:fill="E8EEF5"/>
            <w:tcMar>
              <w:top w:w="80" w:type="dxa"/>
              <w:bottom w:w="80" w:type="dxa"/>
              <w:start w:w="120" w:type="dxa"/>
              <w:end w:w="120" w:type="dxa"/>
            </w:tcMar>
            <w:vAlign w:val="center"/>
          </w:tcPr>
          <w:p>
            <w:pPr>
              <w:jc w:val="center"/>
            </w:pPr>
            <w:r>
              <w:rPr>
                <w:b/>
                <w:sz w:val="19"/>
              </w:rPr>
              <w:t>估值驱动</w:t>
            </w:r>
          </w:p>
        </w:tc>
        <w:tc>
          <w:tcPr>
            <w:tcW w:type="dxa" w:w="3700"/>
            <w:shd w:fill="E8EEF5"/>
            <w:tcMar>
              <w:top w:w="80" w:type="dxa"/>
              <w:bottom w:w="80" w:type="dxa"/>
              <w:start w:w="120" w:type="dxa"/>
              <w:end w:w="120" w:type="dxa"/>
            </w:tcMar>
            <w:vAlign w:val="center"/>
          </w:tcPr>
          <w:p>
            <w:pPr>
              <w:jc w:val="center"/>
            </w:pPr>
            <w:r>
              <w:rPr>
                <w:b/>
                <w:sz w:val="19"/>
              </w:rPr>
              <w:t>正向因素</w:t>
            </w:r>
          </w:p>
        </w:tc>
        <w:tc>
          <w:tcPr>
            <w:tcW w:type="dxa" w:w="3760"/>
            <w:shd w:fill="E8EEF5"/>
            <w:tcMar>
              <w:top w:w="80" w:type="dxa"/>
              <w:bottom w:w="80" w:type="dxa"/>
              <w:start w:w="120" w:type="dxa"/>
              <w:end w:w="120" w:type="dxa"/>
            </w:tcMar>
            <w:vAlign w:val="center"/>
          </w:tcPr>
          <w:p>
            <w:pPr>
              <w:jc w:val="center"/>
            </w:pPr>
            <w:r>
              <w:rPr>
                <w:b/>
                <w:sz w:val="19"/>
              </w:rPr>
              <w:t>负向因素</w:t>
            </w:r>
          </w:p>
        </w:tc>
      </w:tr>
      <w:tr>
        <w:tc>
          <w:tcPr>
            <w:tcW w:type="dxa" w:w="1900"/>
            <w:tcMar>
              <w:top w:w="80" w:type="dxa"/>
              <w:bottom w:w="80" w:type="dxa"/>
              <w:start w:w="120" w:type="dxa"/>
              <w:end w:w="120" w:type="dxa"/>
            </w:tcMar>
            <w:vAlign w:val="center"/>
          </w:tcPr>
          <w:p>
            <w:pPr>
              <w:jc w:val="center"/>
            </w:pPr>
            <w:r>
              <w:rPr>
                <w:sz w:val="19"/>
              </w:rPr>
              <w:t>手机基本盘</w:t>
            </w:r>
          </w:p>
        </w:tc>
        <w:tc>
          <w:tcPr>
            <w:tcW w:type="dxa" w:w="3700"/>
            <w:tcMar>
              <w:top w:w="80" w:type="dxa"/>
              <w:bottom w:w="80" w:type="dxa"/>
              <w:start w:w="120" w:type="dxa"/>
              <w:end w:w="120" w:type="dxa"/>
            </w:tcMar>
            <w:vAlign w:val="center"/>
          </w:tcPr>
          <w:p>
            <w:pPr>
              <w:jc w:val="left"/>
            </w:pPr>
            <w:r>
              <w:rPr>
                <w:sz w:val="19"/>
              </w:rPr>
              <w:t>安卓旗舰 AI 化提高 SoC 价值量</w:t>
            </w:r>
          </w:p>
        </w:tc>
        <w:tc>
          <w:tcPr>
            <w:tcW w:type="dxa" w:w="3760"/>
            <w:tcMar>
              <w:top w:w="80" w:type="dxa"/>
              <w:bottom w:w="80" w:type="dxa"/>
              <w:start w:w="120" w:type="dxa"/>
              <w:end w:w="120" w:type="dxa"/>
            </w:tcMar>
            <w:vAlign w:val="center"/>
          </w:tcPr>
          <w:p>
            <w:pPr>
              <w:jc w:val="left"/>
            </w:pPr>
            <w:r>
              <w:rPr>
                <w:sz w:val="19"/>
              </w:rPr>
              <w:t>出货周期、苹果自研、MediaTek 竞争</w:t>
            </w:r>
          </w:p>
        </w:tc>
      </w:tr>
      <w:tr>
        <w:tc>
          <w:tcPr>
            <w:tcW w:type="dxa" w:w="1900"/>
            <w:tcMar>
              <w:top w:w="80" w:type="dxa"/>
              <w:bottom w:w="80" w:type="dxa"/>
              <w:start w:w="120" w:type="dxa"/>
              <w:end w:w="120" w:type="dxa"/>
            </w:tcMar>
            <w:vAlign w:val="center"/>
          </w:tcPr>
          <w:p>
            <w:pPr>
              <w:jc w:val="center"/>
            </w:pPr>
            <w:r>
              <w:rPr>
                <w:sz w:val="19"/>
              </w:rPr>
              <w:t>汽车业务</w:t>
            </w:r>
          </w:p>
        </w:tc>
        <w:tc>
          <w:tcPr>
            <w:tcW w:type="dxa" w:w="3700"/>
            <w:tcMar>
              <w:top w:w="80" w:type="dxa"/>
              <w:bottom w:w="80" w:type="dxa"/>
              <w:start w:w="120" w:type="dxa"/>
              <w:end w:w="120" w:type="dxa"/>
            </w:tcMar>
            <w:vAlign w:val="center"/>
          </w:tcPr>
          <w:p>
            <w:pPr>
              <w:jc w:val="left"/>
            </w:pPr>
            <w:r>
              <w:rPr>
                <w:sz w:val="19"/>
              </w:rPr>
              <w:t>收入高增长、设计周期长、平台化机会</w:t>
            </w:r>
          </w:p>
        </w:tc>
        <w:tc>
          <w:tcPr>
            <w:tcW w:type="dxa" w:w="3760"/>
            <w:tcMar>
              <w:top w:w="80" w:type="dxa"/>
              <w:bottom w:w="80" w:type="dxa"/>
              <w:start w:w="120" w:type="dxa"/>
              <w:end w:w="120" w:type="dxa"/>
            </w:tcMar>
            <w:vAlign w:val="center"/>
          </w:tcPr>
          <w:p>
            <w:pPr>
              <w:jc w:val="left"/>
            </w:pPr>
            <w:r>
              <w:rPr>
                <w:sz w:val="19"/>
              </w:rPr>
              <w:t>量产节奏慢，自动驾驶竞争强</w:t>
            </w:r>
          </w:p>
        </w:tc>
      </w:tr>
      <w:tr>
        <w:tc>
          <w:tcPr>
            <w:tcW w:type="dxa" w:w="1900"/>
            <w:tcMar>
              <w:top w:w="80" w:type="dxa"/>
              <w:bottom w:w="80" w:type="dxa"/>
              <w:start w:w="120" w:type="dxa"/>
              <w:end w:w="120" w:type="dxa"/>
            </w:tcMar>
            <w:vAlign w:val="center"/>
          </w:tcPr>
          <w:p>
            <w:pPr>
              <w:jc w:val="center"/>
            </w:pPr>
            <w:r>
              <w:rPr>
                <w:sz w:val="19"/>
              </w:rPr>
              <w:t>IoT/边缘 AI</w:t>
            </w:r>
          </w:p>
        </w:tc>
        <w:tc>
          <w:tcPr>
            <w:tcW w:type="dxa" w:w="3700"/>
            <w:tcMar>
              <w:top w:w="80" w:type="dxa"/>
              <w:bottom w:w="80" w:type="dxa"/>
              <w:start w:w="120" w:type="dxa"/>
              <w:end w:w="120" w:type="dxa"/>
            </w:tcMar>
            <w:vAlign w:val="center"/>
          </w:tcPr>
          <w:p>
            <w:pPr>
              <w:jc w:val="left"/>
            </w:pPr>
            <w:r>
              <w:rPr>
                <w:sz w:val="19"/>
              </w:rPr>
              <w:t>工业和企业 Agent 落地带来碎片化长尾需求</w:t>
            </w:r>
          </w:p>
        </w:tc>
        <w:tc>
          <w:tcPr>
            <w:tcW w:type="dxa" w:w="3760"/>
            <w:tcMar>
              <w:top w:w="80" w:type="dxa"/>
              <w:bottom w:w="80" w:type="dxa"/>
              <w:start w:w="120" w:type="dxa"/>
              <w:end w:w="120" w:type="dxa"/>
            </w:tcMar>
            <w:vAlign w:val="center"/>
          </w:tcPr>
          <w:p>
            <w:pPr>
              <w:jc w:val="left"/>
            </w:pPr>
            <w:r>
              <w:rPr>
                <w:sz w:val="19"/>
              </w:rPr>
              <w:t>需求恢复不均衡，项目制波动较大</w:t>
            </w:r>
          </w:p>
        </w:tc>
      </w:tr>
      <w:tr>
        <w:tc>
          <w:tcPr>
            <w:tcW w:type="dxa" w:w="1900"/>
            <w:tcMar>
              <w:top w:w="80" w:type="dxa"/>
              <w:bottom w:w="80" w:type="dxa"/>
              <w:start w:w="120" w:type="dxa"/>
              <w:end w:w="120" w:type="dxa"/>
            </w:tcMar>
            <w:vAlign w:val="center"/>
          </w:tcPr>
          <w:p>
            <w:pPr>
              <w:jc w:val="center"/>
            </w:pPr>
            <w:r>
              <w:rPr>
                <w:sz w:val="19"/>
              </w:rPr>
              <w:t>QTL 授权</w:t>
            </w:r>
          </w:p>
        </w:tc>
        <w:tc>
          <w:tcPr>
            <w:tcW w:type="dxa" w:w="3700"/>
            <w:tcMar>
              <w:top w:w="80" w:type="dxa"/>
              <w:bottom w:w="80" w:type="dxa"/>
              <w:start w:w="120" w:type="dxa"/>
              <w:end w:w="120" w:type="dxa"/>
            </w:tcMar>
            <w:vAlign w:val="center"/>
          </w:tcPr>
          <w:p>
            <w:pPr>
              <w:jc w:val="left"/>
            </w:pPr>
            <w:r>
              <w:rPr>
                <w:sz w:val="19"/>
              </w:rPr>
              <w:t>高利润率、现金流稳定</w:t>
            </w:r>
          </w:p>
        </w:tc>
        <w:tc>
          <w:tcPr>
            <w:tcW w:type="dxa" w:w="3760"/>
            <w:tcMar>
              <w:top w:w="80" w:type="dxa"/>
              <w:bottom w:w="80" w:type="dxa"/>
              <w:start w:w="120" w:type="dxa"/>
              <w:end w:w="120" w:type="dxa"/>
            </w:tcMar>
            <w:vAlign w:val="center"/>
          </w:tcPr>
          <w:p>
            <w:pPr>
              <w:jc w:val="left"/>
            </w:pPr>
            <w:r>
              <w:rPr>
                <w:sz w:val="19"/>
              </w:rPr>
              <w:t>监管、诉讼和客户谈判风险</w:t>
            </w:r>
          </w:p>
        </w:tc>
      </w:tr>
      <w:tr>
        <w:tc>
          <w:tcPr>
            <w:tcW w:type="dxa" w:w="1900"/>
            <w:tcMar>
              <w:top w:w="80" w:type="dxa"/>
              <w:bottom w:w="80" w:type="dxa"/>
              <w:start w:w="120" w:type="dxa"/>
              <w:end w:w="120" w:type="dxa"/>
            </w:tcMar>
            <w:vAlign w:val="center"/>
          </w:tcPr>
          <w:p>
            <w:pPr>
              <w:jc w:val="center"/>
            </w:pPr>
            <w:r>
              <w:rPr>
                <w:sz w:val="19"/>
              </w:rPr>
              <w:t>数据中心定制硅</w:t>
            </w:r>
          </w:p>
        </w:tc>
        <w:tc>
          <w:tcPr>
            <w:tcW w:type="dxa" w:w="3700"/>
            <w:tcMar>
              <w:top w:w="80" w:type="dxa"/>
              <w:bottom w:w="80" w:type="dxa"/>
              <w:start w:w="120" w:type="dxa"/>
              <w:end w:w="120" w:type="dxa"/>
            </w:tcMar>
            <w:vAlign w:val="center"/>
          </w:tcPr>
          <w:p>
            <w:pPr>
              <w:jc w:val="left"/>
            </w:pPr>
            <w:r>
              <w:rPr>
                <w:sz w:val="19"/>
              </w:rPr>
              <w:t>若出货兑现，将打开新增量估值空间</w:t>
            </w:r>
          </w:p>
        </w:tc>
        <w:tc>
          <w:tcPr>
            <w:tcW w:type="dxa" w:w="3760"/>
            <w:tcMar>
              <w:top w:w="80" w:type="dxa"/>
              <w:bottom w:w="80" w:type="dxa"/>
              <w:start w:w="120" w:type="dxa"/>
              <w:end w:w="120" w:type="dxa"/>
            </w:tcMar>
            <w:vAlign w:val="center"/>
          </w:tcPr>
          <w:p>
            <w:pPr>
              <w:jc w:val="left"/>
            </w:pPr>
            <w:r>
              <w:rPr>
                <w:sz w:val="19"/>
              </w:rPr>
              <w:t>当前规模和客户可见度仍有限</w:t>
            </w:r>
          </w:p>
        </w:tc>
      </w:tr>
    </w:tbl>
    <w:p/>
    <w:p>
      <w:pPr>
        <w:pStyle w:val="Heading2"/>
      </w:pPr>
      <w:r>
        <w:t>9.2 研究评级</w:t>
      </w:r>
    </w:p>
    <w:tbl>
      <w:tblPr>
        <w:tblStyle w:val="TableGrid"/>
        <w:tblW w:type="dxa" w:w="9360"/>
        <w:jc w:val="center"/>
        <w:tblLook w:firstColumn="1" w:firstRow="1" w:lastColumn="0" w:lastRow="0" w:noHBand="0" w:noVBand="1" w:val="04A0"/>
        <w:tblInd w:w="120" w:type="dxa"/>
      </w:tblPr>
      <w:tblGrid>
        <w:gridCol w:w="9360"/>
      </w:tblGrid>
      <w:tr>
        <w:tc>
          <w:tcPr>
            <w:tcW w:type="dxa" w:w="9360"/>
            <w:shd w:fill="EFEAF7"/>
            <w:tcMar>
              <w:top w:w="80" w:type="dxa"/>
              <w:bottom w:w="80" w:type="dxa"/>
              <w:start w:w="120" w:type="dxa"/>
              <w:end w:w="120" w:type="dxa"/>
            </w:tcMar>
            <w:vAlign w:val="center"/>
          </w:tcPr>
          <w:p>
            <w:r>
              <w:rPr>
                <w:b/>
                <w:color w:val="1F4D78"/>
              </w:rPr>
              <w:t>研究观点：</w:t>
            </w:r>
            <w:r>
              <w:t xml:space="preserve"> 中长期积极关注，短期维持审慎。高通具备端侧 AI Agent 的稀缺卡位，汽车与 IoT 增长改善公司叙事，但手机周期、AI PC 兑现速度和数据中心定制硅不确定性决定其不应被简单视作“下一家英伟达”。</w:t>
            </w:r>
          </w:p>
        </w:tc>
      </w:tr>
    </w:tbl>
    <w:p/>
    <w:p>
      <w:pPr>
        <w:spacing w:after="120" w:line="264" w:lineRule="auto"/>
      </w:pPr>
      <w:r>
        <w:rPr>
          <w:sz w:val="22"/>
        </w:rPr>
        <w:t>若未来 4-6 个季度出现以下信号，研究评级可上调：汽车收入持续高增长且订单能见度提高；AI PC 平台获得企业客户规模化采用；IoT 业务恢复到双位数增长；数据中心定制硅初始出货后获得第二客户或追加订单；QTL 业务保持稳定且无重大监管冲击。</w:t>
      </w:r>
    </w:p>
    <w:p>
      <w:pPr>
        <w:pStyle w:val="Heading1"/>
      </w:pPr>
      <w:r>
        <w:t>十、主要风险因素</w:t>
      </w:r>
    </w:p>
    <w:p>
      <w:pPr>
        <w:pStyle w:val="ListBullet"/>
        <w:spacing w:after="80" w:line="280" w:lineRule="auto"/>
        <w:ind w:left="720" w:hanging="360"/>
      </w:pPr>
      <w:r>
        <w:t>智能手机周期风险：高通收入仍高度依赖手机，安卓旗舰需求不及预期会直接影响 QCT 收入。</w:t>
      </w:r>
    </w:p>
    <w:p>
      <w:pPr>
        <w:pStyle w:val="ListBullet"/>
        <w:spacing w:after="80" w:line="280" w:lineRule="auto"/>
        <w:ind w:left="720" w:hanging="360"/>
      </w:pPr>
      <w:r>
        <w:t>客户集中与苹果风险：苹果自研基带和安卓大客户采购策略变化可能影响未来收入和利润率。</w:t>
      </w:r>
    </w:p>
    <w:p>
      <w:pPr>
        <w:pStyle w:val="ListBullet"/>
        <w:spacing w:after="80" w:line="280" w:lineRule="auto"/>
        <w:ind w:left="720" w:hanging="360"/>
      </w:pPr>
      <w:r>
        <w:t>AI PC 兑现不及预期：Windows on Arm 软件生态、企业兼容性和渠道教育可能拖慢渗透速度。</w:t>
      </w:r>
    </w:p>
    <w:p>
      <w:pPr>
        <w:pStyle w:val="ListBullet"/>
        <w:spacing w:after="80" w:line="280" w:lineRule="auto"/>
        <w:ind w:left="720" w:hanging="360"/>
      </w:pPr>
      <w:r>
        <w:t>汽车业务量产节奏风险：汽车设计导入到量产周期较长，订单转收入存在延迟。</w:t>
      </w:r>
    </w:p>
    <w:p>
      <w:pPr>
        <w:pStyle w:val="ListBullet"/>
        <w:spacing w:after="80" w:line="280" w:lineRule="auto"/>
        <w:ind w:left="720" w:hanging="360"/>
      </w:pPr>
      <w:r>
        <w:t>授权业务监管与诉讼风险：QTL 业务可能受各国监管、专利诉讼和客户重新谈判影响。</w:t>
      </w:r>
    </w:p>
    <w:p>
      <w:pPr>
        <w:pStyle w:val="ListBullet"/>
        <w:spacing w:after="80" w:line="280" w:lineRule="auto"/>
        <w:ind w:left="720" w:hanging="360"/>
      </w:pPr>
      <w:r>
        <w:t>竞争风险：Apple、MediaTek、NVIDIA、AMD、Intel、Broadcom、Marvell 等在不同场景形成压力。</w:t>
      </w:r>
    </w:p>
    <w:p>
      <w:pPr>
        <w:pStyle w:val="ListBullet"/>
        <w:spacing w:after="80" w:line="280" w:lineRule="auto"/>
        <w:ind w:left="720" w:hanging="360"/>
      </w:pPr>
      <w:r>
        <w:t>并购整合风险：Alphawave 等交易若推进，需关注监管审批、整合成本和协同兑现。</w:t>
      </w:r>
    </w:p>
    <w:p>
      <w:pPr>
        <w:pStyle w:val="ListBullet"/>
        <w:spacing w:after="80" w:line="280" w:lineRule="auto"/>
        <w:ind w:left="720" w:hanging="360"/>
      </w:pPr>
      <w:r>
        <w:t>地缘政治与出口限制风险：全球半导体供应链和中国市场需求均可能受政策变化影响。</w:t>
      </w:r>
    </w:p>
    <w:p>
      <w:pPr>
        <w:pStyle w:val="Heading1"/>
      </w:pPr>
      <w:r>
        <w:t>十一、财务数据核查及跟踪指标</w:t>
      </w:r>
    </w:p>
    <w:p>
      <w:pPr>
        <w:pStyle w:val="Heading2"/>
      </w:pPr>
      <w:r>
        <w:t>11.1 核查结论</w:t>
      </w:r>
    </w:p>
    <w:p>
      <w:pPr>
        <w:spacing w:after="120" w:line="264" w:lineRule="auto"/>
      </w:pPr>
      <w:r>
        <w:rPr>
          <w:sz w:val="22"/>
        </w:rPr>
        <w:t>本报告采用的最新季度财务数据来自 Qualcomm FY2026 Q2 业绩公告和 FY2026 Q2 Form 10-Q；FY2025 全年数据来自公司 FY2025 Q4 与全年业绩公告。需要特别注意，FY2026 Q2 GAAP EPS 和净利润受到约 57 亿美元一次性税收利益显著影响，研究经营趋势时应优先参考 Non-GAAP EPS、分部收入、EBT、现金流和指引。</w:t>
      </w:r>
    </w:p>
    <w:p>
      <w:pPr>
        <w:pStyle w:val="Heading2"/>
      </w:pPr>
      <w:r>
        <w:t>11.2 建议跟踪指标</w:t>
      </w:r>
    </w:p>
    <w:p>
      <w:pPr>
        <w:pStyle w:val="ListBullet"/>
        <w:spacing w:after="80" w:line="280" w:lineRule="auto"/>
        <w:ind w:left="720" w:hanging="360"/>
      </w:pPr>
      <w:r>
        <w:t>FY2026 Q3 实际收入、Non-GAAP EPS、QCT 和 QTL 分部变化，尤其是公司对 92-100 亿美元收入指引的兑现情况。</w:t>
      </w:r>
    </w:p>
    <w:p>
      <w:pPr>
        <w:pStyle w:val="ListBullet"/>
        <w:spacing w:after="80" w:line="280" w:lineRule="auto"/>
        <w:ind w:left="720" w:hanging="360"/>
      </w:pPr>
      <w:r>
        <w:t>Handsets 收入是否恢复增长，旗舰安卓客户对 Snapdragon 高端平台的采用率。</w:t>
      </w:r>
    </w:p>
    <w:p>
      <w:pPr>
        <w:pStyle w:val="ListBullet"/>
        <w:spacing w:after="80" w:line="280" w:lineRule="auto"/>
        <w:ind w:left="720" w:hanging="360"/>
      </w:pPr>
      <w:r>
        <w:t>Automotive 收入增速、设计赢单转量产节奏，以及座舱/ADAS 平台的客户扩展。</w:t>
      </w:r>
    </w:p>
    <w:p>
      <w:pPr>
        <w:pStyle w:val="ListBullet"/>
        <w:spacing w:after="80" w:line="280" w:lineRule="auto"/>
        <w:ind w:left="720" w:hanging="360"/>
      </w:pPr>
      <w:r>
        <w:t>IoT 收入是否保持双位数增长，Dragonwing 与工业边缘 AI 订单情况。</w:t>
      </w:r>
    </w:p>
    <w:p>
      <w:pPr>
        <w:pStyle w:val="ListBullet"/>
        <w:spacing w:after="80" w:line="280" w:lineRule="auto"/>
        <w:ind w:left="720" w:hanging="360"/>
      </w:pPr>
      <w:r>
        <w:t>Snapdragon X 系列 AI PC 的 OEM 覆盖、企业采购、软件兼容性和渠道反馈。</w:t>
      </w:r>
    </w:p>
    <w:p>
      <w:pPr>
        <w:pStyle w:val="ListBullet"/>
        <w:spacing w:after="80" w:line="280" w:lineRule="auto"/>
        <w:ind w:left="720" w:hanging="360"/>
      </w:pPr>
      <w:r>
        <w:t>数据中心定制硅是否按计划在 2026 年初始出货，以及是否形成可持续客户管线。</w:t>
      </w:r>
    </w:p>
    <w:p>
      <w:pPr>
        <w:pStyle w:val="ListBullet"/>
        <w:spacing w:after="80" w:line="280" w:lineRule="auto"/>
        <w:ind w:left="720" w:hanging="360"/>
      </w:pPr>
      <w:r>
        <w:t>QTL 授权收入、EBT 利润率、监管诉讼和重大客户续约情况。</w:t>
      </w:r>
    </w:p>
    <w:p>
      <w:pPr>
        <w:pStyle w:val="ListBullet"/>
        <w:spacing w:after="80" w:line="280" w:lineRule="auto"/>
        <w:ind w:left="720" w:hanging="360"/>
      </w:pPr>
      <w:r>
        <w:t>库存、毛利率、经营现金流、回购规模和净现金/债务变化。</w:t>
      </w:r>
    </w:p>
    <w:p>
      <w:pPr>
        <w:pStyle w:val="Heading1"/>
      </w:pPr>
      <w:r>
        <w:t>十二、研究结论</w:t>
      </w:r>
    </w:p>
    <w:p>
      <w:pPr>
        <w:pStyle w:val="Heading2"/>
      </w:pPr>
      <w:r>
        <w:t>12.1 投资亮点</w:t>
      </w:r>
    </w:p>
    <w:p>
      <w:pPr>
        <w:pStyle w:val="ListBullet"/>
        <w:spacing w:after="80" w:line="280" w:lineRule="auto"/>
        <w:ind w:left="720" w:hanging="360"/>
      </w:pPr>
      <w:r>
        <w:t>高通是端侧 AI Agent 的核心平台公司，卡位手机、AI PC、车载、XR、工业 IoT 和连接系统。</w:t>
      </w:r>
    </w:p>
    <w:p>
      <w:pPr>
        <w:pStyle w:val="ListBullet"/>
        <w:spacing w:after="80" w:line="280" w:lineRule="auto"/>
        <w:ind w:left="720" w:hanging="360"/>
      </w:pPr>
      <w:r>
        <w:t>FY2026 Q2 汽车收入同比增长 38%、IoT 收入同比增长 9%，显示多元化业务仍在改善。</w:t>
      </w:r>
    </w:p>
    <w:p>
      <w:pPr>
        <w:pStyle w:val="ListBullet"/>
        <w:spacing w:after="80" w:line="280" w:lineRule="auto"/>
        <w:ind w:left="720" w:hanging="360"/>
      </w:pPr>
      <w:r>
        <w:t>QTL 授权业务提供高利润现金流，使公司能够同时进行研发投入、回购、分红和战略并购。</w:t>
      </w:r>
    </w:p>
    <w:p>
      <w:pPr>
        <w:pStyle w:val="ListBullet"/>
        <w:spacing w:after="80" w:line="280" w:lineRule="auto"/>
        <w:ind w:left="720" w:hanging="360"/>
      </w:pPr>
      <w:r>
        <w:t>若 AI Agent 从云端应用迁移到常驻终端，高通的 NPU、连接、安全和低功耗系统集成优势将被重新定价。</w:t>
      </w:r>
    </w:p>
    <w:p>
      <w:pPr>
        <w:pStyle w:val="ListBullet"/>
        <w:spacing w:after="80" w:line="280" w:lineRule="auto"/>
        <w:ind w:left="720" w:hanging="360"/>
      </w:pPr>
      <w:r>
        <w:t>数据中心定制硅初始出货计划和 Alphawave 相关能力为长期估值提供可选增量。</w:t>
      </w:r>
    </w:p>
    <w:p>
      <w:pPr>
        <w:pStyle w:val="Heading2"/>
      </w:pPr>
      <w:r>
        <w:t>12.2 审慎事项</w:t>
      </w:r>
    </w:p>
    <w:p>
      <w:pPr>
        <w:pStyle w:val="ListBullet"/>
        <w:spacing w:after="80" w:line="280" w:lineRule="auto"/>
        <w:ind w:left="720" w:hanging="360"/>
      </w:pPr>
      <w:r>
        <w:t>高通不是训练 GPU 龙头，不能简单复制英伟达的 AI 估值逻辑。</w:t>
      </w:r>
    </w:p>
    <w:p>
      <w:pPr>
        <w:pStyle w:val="ListBullet"/>
        <w:spacing w:after="80" w:line="280" w:lineRule="auto"/>
        <w:ind w:left="720" w:hanging="360"/>
      </w:pPr>
      <w:r>
        <w:t>手机业务仍是收入基本盘，短期增长弹性受安卓周期和客户结构影响较大。</w:t>
      </w:r>
    </w:p>
    <w:p>
      <w:pPr>
        <w:pStyle w:val="ListBullet"/>
        <w:spacing w:after="80" w:line="280" w:lineRule="auto"/>
        <w:ind w:left="720" w:hanging="360"/>
      </w:pPr>
      <w:r>
        <w:t>AI PC、端侧 Agent 和数据中心定制硅仍处验证阶段，收入贡献节奏存在不确定性。</w:t>
      </w:r>
    </w:p>
    <w:p>
      <w:pPr>
        <w:pStyle w:val="ListBullet"/>
        <w:spacing w:after="80" w:line="280" w:lineRule="auto"/>
        <w:ind w:left="720" w:hanging="360"/>
      </w:pPr>
      <w:r>
        <w:t>汽车与 IoT 是长期亮点，但估值需要等待持续兑现，而非仅依赖主题溢价。</w:t>
      </w:r>
    </w:p>
    <w:p>
      <w:pPr>
        <w:pStyle w:val="Heading2"/>
      </w:pPr>
      <w:r>
        <w:t>资料来源</w:t>
      </w:r>
    </w:p>
    <w:p>
      <w:pPr>
        <w:spacing w:after="80"/>
      </w:pPr>
      <w:r>
        <w:rPr>
          <w:color w:val="585858"/>
          <w:sz w:val="18"/>
        </w:rPr>
        <w:t>Qualcomm Investor Relations, Qualcomm Announces Second Quarter Fiscal 2026 Results, Apr. 29, 2026. https://s204.q4cdn.com/645488518/files/doc_financials/2026/q2/FY2026-2nd-Quarter-Earnings-Release.pdf</w:t>
      </w:r>
    </w:p>
    <w:p>
      <w:pPr>
        <w:spacing w:after="80"/>
      </w:pPr>
      <w:r>
        <w:rPr>
          <w:color w:val="585858"/>
          <w:sz w:val="18"/>
        </w:rPr>
        <w:t>Qualcomm FY2026 Q2 Form 10-Q, quarter ended Mar. 29, 2026. https://www.sec.gov/Archives/edgar/data/804328/000080432826000061/qcom-20260329.htm</w:t>
      </w:r>
    </w:p>
    <w:p>
      <w:pPr>
        <w:spacing w:after="80"/>
      </w:pPr>
      <w:r>
        <w:rPr>
          <w:color w:val="585858"/>
          <w:sz w:val="18"/>
        </w:rPr>
        <w:t>Qualcomm Newsroom, Qualcomm Announces Fourth Quarter and Fiscal 2025 Results, Nov. 5, 2025. https://www.qualcomm.com/news/releases/2025/11/qualcomm-announces-fourth-quarter-and-fiscal-2025-results</w:t>
      </w:r>
    </w:p>
    <w:p>
      <w:pPr>
        <w:spacing w:after="80"/>
      </w:pPr>
      <w:r>
        <w:rPr>
          <w:color w:val="585858"/>
          <w:sz w:val="18"/>
        </w:rPr>
        <w:t>Qualcomm Newsroom, Snapdragon 8 Elite Gen 5 and Snapdragon X2 Elite related announcements, 2025.</w:t>
      </w:r>
    </w:p>
    <w:p>
      <w:pPr>
        <w:spacing w:after="80"/>
      </w:pPr>
      <w:r>
        <w:rPr>
          <w:color w:val="585858"/>
          <w:sz w:val="18"/>
        </w:rPr>
        <w:t>Qualcomm Investor Relations, Financial reports and filings page. https://investor.qualcomm.com/financial-information/sec-filings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5858"/>
        <w:sz w:val="18"/>
      </w:rPr>
      <w:t>仅供研究参考，不构成投资建议</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