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Microsoft YaHei"/>
          <w:b/>
          <w:color w:val="141F30"/>
          <w:sz w:val="44"/>
        </w:rPr>
        <w:t>Coherent Corp. 深度研究报告</w:t>
      </w:r>
    </w:p>
    <w:p>
      <w:pPr>
        <w:jc w:val="center"/>
      </w:pPr>
      <w:r>
        <w:rPr>
          <w:color w:val="585858"/>
          <w:sz w:val="24"/>
        </w:rPr>
        <w:t>Coherent Corp.（NYSE: COHR）</w:t>
      </w:r>
    </w:p>
    <w:tbl>
      <w:tblPr>
        <w:tblStyle w:val="TableGrid"/>
        <w:tblW w:type="dxa" w:w="9360"/>
        <w:jc w:val="center"/>
        <w:tblLook w:firstColumn="1" w:firstRow="1" w:lastColumn="0" w:lastRow="0" w:noHBand="0" w:noVBand="1" w:val="04A0"/>
        <w:tblInd w:w="120" w:type="dxa"/>
      </w:tblPr>
      <w:tblGrid>
        <w:gridCol w:w="2200"/>
        <w:gridCol w:w="7160"/>
      </w:tblGrid>
      <w:tr>
        <w:trPr>
          <w:tblHeader w:val="true"/>
        </w:trPr>
        <w:tc>
          <w:tcPr>
            <w:tcW w:type="dxa" w:w="2200"/>
            <w:shd w:fill="E8EEF5"/>
            <w:tcMar>
              <w:top w:w="80" w:type="dxa"/>
              <w:bottom w:w="80" w:type="dxa"/>
              <w:start w:w="120" w:type="dxa"/>
              <w:end w:w="120" w:type="dxa"/>
            </w:tcMar>
            <w:vAlign w:val="center"/>
          </w:tcPr>
          <w:p>
            <w:pPr>
              <w:jc w:val="center"/>
            </w:pPr>
            <w:r>
              <w:rPr>
                <w:b/>
                <w:sz w:val="19"/>
              </w:rPr>
              <w:t>报告要素</w:t>
            </w:r>
          </w:p>
        </w:tc>
        <w:tc>
          <w:tcPr>
            <w:tcW w:type="dxa" w:w="7160"/>
            <w:shd w:fill="E8EEF5"/>
            <w:tcMar>
              <w:top w:w="80" w:type="dxa"/>
              <w:bottom w:w="80" w:type="dxa"/>
              <w:start w:w="120" w:type="dxa"/>
              <w:end w:w="120" w:type="dxa"/>
            </w:tcMar>
            <w:vAlign w:val="center"/>
          </w:tcPr>
          <w:p>
            <w:pPr>
              <w:jc w:val="center"/>
            </w:pPr>
            <w:r>
              <w:rPr>
                <w:b/>
                <w:sz w:val="19"/>
              </w:rPr>
              <w:t>内容</w:t>
            </w:r>
          </w:p>
        </w:tc>
      </w:tr>
      <w:tr>
        <w:tc>
          <w:tcPr>
            <w:tcW w:type="dxa" w:w="2200"/>
            <w:tcMar>
              <w:top w:w="80" w:type="dxa"/>
              <w:bottom w:w="80" w:type="dxa"/>
              <w:start w:w="120" w:type="dxa"/>
              <w:end w:w="120" w:type="dxa"/>
            </w:tcMar>
            <w:vAlign w:val="center"/>
          </w:tcPr>
          <w:p>
            <w:pPr>
              <w:jc w:val="center"/>
            </w:pPr>
            <w:r>
              <w:rPr>
                <w:sz w:val="19"/>
              </w:rPr>
              <w:t>报告日期</w:t>
            </w:r>
          </w:p>
        </w:tc>
        <w:tc>
          <w:tcPr>
            <w:tcW w:type="dxa" w:w="7160"/>
            <w:tcMar>
              <w:top w:w="80" w:type="dxa"/>
              <w:bottom w:w="80" w:type="dxa"/>
              <w:start w:w="120" w:type="dxa"/>
              <w:end w:w="120" w:type="dxa"/>
            </w:tcMar>
            <w:vAlign w:val="center"/>
          </w:tcPr>
          <w:p>
            <w:pPr>
              <w:jc w:val="left"/>
            </w:pPr>
            <w:r>
              <w:rPr>
                <w:sz w:val="19"/>
              </w:rPr>
              <w:t>2026年6月15日</w:t>
            </w:r>
          </w:p>
        </w:tc>
      </w:tr>
      <w:tr>
        <w:tc>
          <w:tcPr>
            <w:tcW w:type="dxa" w:w="2200"/>
            <w:tcMar>
              <w:top w:w="80" w:type="dxa"/>
              <w:bottom w:w="80" w:type="dxa"/>
              <w:start w:w="120" w:type="dxa"/>
              <w:end w:w="120" w:type="dxa"/>
            </w:tcMar>
            <w:vAlign w:val="center"/>
          </w:tcPr>
          <w:p>
            <w:pPr>
              <w:jc w:val="center"/>
            </w:pPr>
            <w:r>
              <w:rPr>
                <w:sz w:val="19"/>
              </w:rPr>
              <w:t>研究对象</w:t>
            </w:r>
          </w:p>
        </w:tc>
        <w:tc>
          <w:tcPr>
            <w:tcW w:type="dxa" w:w="7160"/>
            <w:tcMar>
              <w:top w:w="80" w:type="dxa"/>
              <w:bottom w:w="80" w:type="dxa"/>
              <w:start w:w="120" w:type="dxa"/>
              <w:end w:w="120" w:type="dxa"/>
            </w:tcMar>
            <w:vAlign w:val="center"/>
          </w:tcPr>
          <w:p>
            <w:pPr>
              <w:jc w:val="left"/>
            </w:pPr>
            <w:r>
              <w:rPr>
                <w:sz w:val="19"/>
              </w:rPr>
              <w:t>Coherent Corp.（相干公司，NYSE: COHR）</w:t>
            </w:r>
          </w:p>
        </w:tc>
      </w:tr>
      <w:tr>
        <w:tc>
          <w:tcPr>
            <w:tcW w:type="dxa" w:w="2200"/>
            <w:tcMar>
              <w:top w:w="80" w:type="dxa"/>
              <w:bottom w:w="80" w:type="dxa"/>
              <w:start w:w="120" w:type="dxa"/>
              <w:end w:w="120" w:type="dxa"/>
            </w:tcMar>
            <w:vAlign w:val="center"/>
          </w:tcPr>
          <w:p>
            <w:pPr>
              <w:jc w:val="center"/>
            </w:pPr>
            <w:r>
              <w:rPr>
                <w:sz w:val="19"/>
              </w:rPr>
              <w:t>研究主题</w:t>
            </w:r>
          </w:p>
        </w:tc>
        <w:tc>
          <w:tcPr>
            <w:tcW w:type="dxa" w:w="7160"/>
            <w:tcMar>
              <w:top w:w="80" w:type="dxa"/>
              <w:bottom w:w="80" w:type="dxa"/>
              <w:start w:w="120" w:type="dxa"/>
              <w:end w:w="120" w:type="dxa"/>
            </w:tcMar>
            <w:vAlign w:val="center"/>
          </w:tcPr>
          <w:p>
            <w:pPr>
              <w:jc w:val="left"/>
            </w:pPr>
            <w:r>
              <w:rPr>
                <w:sz w:val="19"/>
              </w:rPr>
              <w:t>AI 光通信、InP/光收发器、硅光与先进光学、工业激光、SiC 材料、NVIDIA 战略投资、财务杠杆与资本开支</w:t>
            </w:r>
          </w:p>
        </w:tc>
      </w:tr>
      <w:tr>
        <w:tc>
          <w:tcPr>
            <w:tcW w:type="dxa" w:w="2200"/>
            <w:tcMar>
              <w:top w:w="80" w:type="dxa"/>
              <w:bottom w:w="80" w:type="dxa"/>
              <w:start w:w="120" w:type="dxa"/>
              <w:end w:w="120" w:type="dxa"/>
            </w:tcMar>
            <w:vAlign w:val="center"/>
          </w:tcPr>
          <w:p>
            <w:pPr>
              <w:jc w:val="center"/>
            </w:pPr>
            <w:r>
              <w:rPr>
                <w:sz w:val="19"/>
              </w:rPr>
              <w:t>报告形式</w:t>
            </w:r>
          </w:p>
        </w:tc>
        <w:tc>
          <w:tcPr>
            <w:tcW w:type="dxa" w:w="7160"/>
            <w:tcMar>
              <w:top w:w="80" w:type="dxa"/>
              <w:bottom w:w="80" w:type="dxa"/>
              <w:start w:w="120" w:type="dxa"/>
              <w:end w:w="120" w:type="dxa"/>
            </w:tcMar>
            <w:vAlign w:val="center"/>
          </w:tcPr>
          <w:p>
            <w:pPr>
              <w:jc w:val="left"/>
            </w:pPr>
            <w:r>
              <w:rPr>
                <w:sz w:val="19"/>
              </w:rPr>
              <w:t>参照 Dell 深度研报结构，强化业务模式、分部数据、AI 生态卡位、资产负债表、财务杠杆和风险跟踪</w:t>
            </w:r>
          </w:p>
        </w:tc>
      </w:tr>
      <w:tr>
        <w:tc>
          <w:tcPr>
            <w:tcW w:type="dxa" w:w="2200"/>
            <w:tcMar>
              <w:top w:w="80" w:type="dxa"/>
              <w:bottom w:w="80" w:type="dxa"/>
              <w:start w:w="120" w:type="dxa"/>
              <w:end w:w="120" w:type="dxa"/>
            </w:tcMar>
            <w:vAlign w:val="center"/>
          </w:tcPr>
          <w:p>
            <w:pPr>
              <w:jc w:val="center"/>
            </w:pPr>
            <w:r>
              <w:rPr>
                <w:sz w:val="19"/>
              </w:rPr>
              <w:t>资料边界</w:t>
            </w:r>
          </w:p>
        </w:tc>
        <w:tc>
          <w:tcPr>
            <w:tcW w:type="dxa" w:w="7160"/>
            <w:tcMar>
              <w:top w:w="80" w:type="dxa"/>
              <w:bottom w:w="80" w:type="dxa"/>
              <w:start w:w="120" w:type="dxa"/>
              <w:end w:w="120" w:type="dxa"/>
            </w:tcMar>
            <w:vAlign w:val="center"/>
          </w:tcPr>
          <w:p>
            <w:pPr>
              <w:jc w:val="left"/>
            </w:pPr>
            <w:r>
              <w:rPr>
                <w:sz w:val="19"/>
              </w:rPr>
              <w:t>截至 2026年6月15日可获取公开资料；最新 SEC 财务口径为 FY2026 Q3，季度截至 2026年3月31日</w:t>
            </w:r>
          </w:p>
        </w:tc>
      </w:tr>
    </w:tbl>
    <w:p/>
    <w:p>
      <w:pPr>
        <w:spacing w:after="120" w:line="264" w:lineRule="auto"/>
      </w:pPr>
      <w:r>
        <w:rPr>
          <w:sz w:val="22"/>
        </w:rPr>
        <w:t>免责声明：本报告仅用于研究和信息参考，不构成任何投资建议、买卖建议或收益承诺。Coherent 估值和股价受 AI 数据中心光互联需求、光模块价格、InP 产能爬坡、客户集中、NVIDIA 战略投资、工业周期、资本开支、库存和债务结构影响较大，实际投资决策需结合实时行情和个人风险承受能力。</w:t>
      </w:r>
    </w:p>
    <w:p>
      <w:pPr>
        <w:pStyle w:val="Heading1"/>
      </w:pPr>
      <w:r>
        <w:t>目录</w:t>
      </w:r>
    </w:p>
    <w:p>
      <w:pPr>
        <w:pStyle w:val="ListBullet"/>
        <w:spacing w:after="80" w:line="280" w:lineRule="auto"/>
        <w:ind w:left="720" w:hanging="360"/>
      </w:pPr>
      <w:r>
        <w:t>一、公司基本情况</w:t>
      </w:r>
    </w:p>
    <w:p>
      <w:pPr>
        <w:pStyle w:val="ListBullet"/>
        <w:spacing w:after="80" w:line="280" w:lineRule="auto"/>
        <w:ind w:left="720" w:hanging="360"/>
      </w:pPr>
      <w:r>
        <w:t>二、发展沿革与战略演进</w:t>
      </w:r>
    </w:p>
    <w:p>
      <w:pPr>
        <w:pStyle w:val="ListBullet"/>
        <w:spacing w:after="80" w:line="280" w:lineRule="auto"/>
        <w:ind w:left="720" w:hanging="360"/>
      </w:pPr>
      <w:r>
        <w:t>三、业务和技术体系</w:t>
      </w:r>
    </w:p>
    <w:p>
      <w:pPr>
        <w:pStyle w:val="ListBullet"/>
        <w:spacing w:after="80" w:line="280" w:lineRule="auto"/>
        <w:ind w:left="720" w:hanging="360"/>
      </w:pPr>
      <w:r>
        <w:t>四、AI 光通信生态链与商业模式</w:t>
      </w:r>
    </w:p>
    <w:p>
      <w:pPr>
        <w:pStyle w:val="ListBullet"/>
        <w:spacing w:after="80" w:line="280" w:lineRule="auto"/>
        <w:ind w:left="720" w:hanging="360"/>
      </w:pPr>
      <w:r>
        <w:t>五、行业竞争格局</w:t>
      </w:r>
    </w:p>
    <w:p>
      <w:pPr>
        <w:pStyle w:val="ListBullet"/>
        <w:spacing w:after="80" w:line="280" w:lineRule="auto"/>
        <w:ind w:left="720" w:hanging="360"/>
      </w:pPr>
      <w:r>
        <w:t>六、管理层与治理结构</w:t>
      </w:r>
    </w:p>
    <w:p>
      <w:pPr>
        <w:pStyle w:val="ListBullet"/>
        <w:spacing w:after="80" w:line="280" w:lineRule="auto"/>
        <w:ind w:left="720" w:hanging="360"/>
      </w:pPr>
      <w:r>
        <w:t>七、财务会计信息</w:t>
      </w:r>
    </w:p>
    <w:p>
      <w:pPr>
        <w:pStyle w:val="ListBullet"/>
        <w:spacing w:after="80" w:line="280" w:lineRule="auto"/>
        <w:ind w:left="720" w:hanging="360"/>
      </w:pPr>
      <w:r>
        <w:t>八、主营业务收入与分部分析</w:t>
      </w:r>
    </w:p>
    <w:p>
      <w:pPr>
        <w:pStyle w:val="ListBullet"/>
        <w:spacing w:after="80" w:line="280" w:lineRule="auto"/>
        <w:ind w:left="720" w:hanging="360"/>
      </w:pPr>
      <w:r>
        <w:t>九、财务杠杆与资本配置</w:t>
      </w:r>
    </w:p>
    <w:p>
      <w:pPr>
        <w:pStyle w:val="ListBullet"/>
        <w:spacing w:after="80" w:line="280" w:lineRule="auto"/>
        <w:ind w:left="720" w:hanging="360"/>
      </w:pPr>
      <w:r>
        <w:t>十、估值框架与研究评级</w:t>
      </w:r>
    </w:p>
    <w:p>
      <w:pPr>
        <w:pStyle w:val="ListBullet"/>
        <w:spacing w:after="80" w:line="280" w:lineRule="auto"/>
        <w:ind w:left="720" w:hanging="360"/>
      </w:pPr>
      <w:r>
        <w:t>十一、主要风险因素与跟踪指标</w:t>
      </w:r>
    </w:p>
    <w:p>
      <w:pPr>
        <w:pStyle w:val="ListBullet"/>
        <w:spacing w:after="80" w:line="280" w:lineRule="auto"/>
        <w:ind w:left="720" w:hanging="360"/>
      </w:pPr>
      <w:r>
        <w:t>十二、研究结论</w:t>
      </w:r>
    </w:p>
    <w:p>
      <w:pPr>
        <w:pStyle w:val="Heading1"/>
      </w:pPr>
      <w:r>
        <w:t>一、公司基本情况</w:t>
      </w:r>
    </w:p>
    <w:p>
      <w:pPr>
        <w:pStyle w:val="Heading2"/>
      </w:pPr>
      <w:r>
        <w:t>1.1 基本信息</w:t>
      </w:r>
    </w:p>
    <w:tbl>
      <w:tblPr>
        <w:tblStyle w:val="TableGrid"/>
        <w:tblW w:type="dxa" w:w="9360"/>
        <w:jc w:val="center"/>
        <w:tblLook w:firstColumn="1" w:firstRow="1" w:lastColumn="0" w:lastRow="0" w:noHBand="0" w:noVBand="1" w:val="04A0"/>
        <w:tblInd w:w="120" w:type="dxa"/>
      </w:tblPr>
      <w:tblGrid>
        <w:gridCol w:w="2500"/>
        <w:gridCol w:w="6860"/>
      </w:tblGrid>
      <w:tr>
        <w:trPr>
          <w:tblHeader w:val="true"/>
        </w:trPr>
        <w:tc>
          <w:tcPr>
            <w:tcW w:type="dxa" w:w="2500"/>
            <w:shd w:fill="E8EEF5"/>
            <w:tcMar>
              <w:top w:w="80" w:type="dxa"/>
              <w:bottom w:w="80" w:type="dxa"/>
              <w:start w:w="120" w:type="dxa"/>
              <w:end w:w="120" w:type="dxa"/>
            </w:tcMar>
            <w:vAlign w:val="center"/>
          </w:tcPr>
          <w:p>
            <w:pPr>
              <w:jc w:val="center"/>
            </w:pPr>
            <w:r>
              <w:rPr>
                <w:b/>
                <w:sz w:val="19"/>
              </w:rPr>
              <w:t>项目</w:t>
            </w:r>
          </w:p>
        </w:tc>
        <w:tc>
          <w:tcPr>
            <w:tcW w:type="dxa" w:w="6860"/>
            <w:shd w:fill="E8EEF5"/>
            <w:tcMar>
              <w:top w:w="80" w:type="dxa"/>
              <w:bottom w:w="80" w:type="dxa"/>
              <w:start w:w="120" w:type="dxa"/>
              <w:end w:w="120" w:type="dxa"/>
            </w:tcMar>
            <w:vAlign w:val="center"/>
          </w:tcPr>
          <w:p>
            <w:pPr>
              <w:jc w:val="center"/>
            </w:pPr>
            <w:r>
              <w:rPr>
                <w:b/>
                <w:sz w:val="19"/>
              </w:rPr>
              <w:t>内容</w:t>
            </w:r>
          </w:p>
        </w:tc>
      </w:tr>
      <w:tr>
        <w:tc>
          <w:tcPr>
            <w:tcW w:type="dxa" w:w="2500"/>
            <w:tcMar>
              <w:top w:w="80" w:type="dxa"/>
              <w:bottom w:w="80" w:type="dxa"/>
              <w:start w:w="120" w:type="dxa"/>
              <w:end w:w="120" w:type="dxa"/>
            </w:tcMar>
            <w:vAlign w:val="center"/>
          </w:tcPr>
          <w:p>
            <w:pPr>
              <w:jc w:val="center"/>
            </w:pPr>
            <w:r>
              <w:rPr>
                <w:sz w:val="19"/>
              </w:rPr>
              <w:t>公司名称</w:t>
            </w:r>
          </w:p>
        </w:tc>
        <w:tc>
          <w:tcPr>
            <w:tcW w:type="dxa" w:w="6860"/>
            <w:tcMar>
              <w:top w:w="80" w:type="dxa"/>
              <w:bottom w:w="80" w:type="dxa"/>
              <w:start w:w="120" w:type="dxa"/>
              <w:end w:w="120" w:type="dxa"/>
            </w:tcMar>
            <w:vAlign w:val="center"/>
          </w:tcPr>
          <w:p>
            <w:pPr>
              <w:jc w:val="left"/>
            </w:pPr>
            <w:r>
              <w:rPr>
                <w:sz w:val="19"/>
              </w:rPr>
              <w:t>Coherent Corp.</w:t>
            </w:r>
          </w:p>
        </w:tc>
      </w:tr>
      <w:tr>
        <w:tc>
          <w:tcPr>
            <w:tcW w:type="dxa" w:w="2500"/>
            <w:tcMar>
              <w:top w:w="80" w:type="dxa"/>
              <w:bottom w:w="80" w:type="dxa"/>
              <w:start w:w="120" w:type="dxa"/>
              <w:end w:w="120" w:type="dxa"/>
            </w:tcMar>
            <w:vAlign w:val="center"/>
          </w:tcPr>
          <w:p>
            <w:pPr>
              <w:jc w:val="center"/>
            </w:pPr>
            <w:r>
              <w:rPr>
                <w:sz w:val="19"/>
              </w:rPr>
              <w:t>历史名称</w:t>
            </w:r>
          </w:p>
        </w:tc>
        <w:tc>
          <w:tcPr>
            <w:tcW w:type="dxa" w:w="6860"/>
            <w:tcMar>
              <w:top w:w="80" w:type="dxa"/>
              <w:bottom w:w="80" w:type="dxa"/>
              <w:start w:w="120" w:type="dxa"/>
              <w:end w:w="120" w:type="dxa"/>
            </w:tcMar>
            <w:vAlign w:val="center"/>
          </w:tcPr>
          <w:p>
            <w:pPr>
              <w:jc w:val="left"/>
            </w:pPr>
            <w:r>
              <w:rPr>
                <w:sz w:val="19"/>
              </w:rPr>
              <w:t>II-VI Incorporated（2022年收购 Coherent, Inc. 后更名）</w:t>
            </w:r>
          </w:p>
        </w:tc>
      </w:tr>
      <w:tr>
        <w:tc>
          <w:tcPr>
            <w:tcW w:type="dxa" w:w="2500"/>
            <w:tcMar>
              <w:top w:w="80" w:type="dxa"/>
              <w:bottom w:w="80" w:type="dxa"/>
              <w:start w:w="120" w:type="dxa"/>
              <w:end w:w="120" w:type="dxa"/>
            </w:tcMar>
            <w:vAlign w:val="center"/>
          </w:tcPr>
          <w:p>
            <w:pPr>
              <w:jc w:val="center"/>
            </w:pPr>
            <w:r>
              <w:rPr>
                <w:sz w:val="19"/>
              </w:rPr>
              <w:t>交易代码</w:t>
            </w:r>
          </w:p>
        </w:tc>
        <w:tc>
          <w:tcPr>
            <w:tcW w:type="dxa" w:w="6860"/>
            <w:tcMar>
              <w:top w:w="80" w:type="dxa"/>
              <w:bottom w:w="80" w:type="dxa"/>
              <w:start w:w="120" w:type="dxa"/>
              <w:end w:w="120" w:type="dxa"/>
            </w:tcMar>
            <w:vAlign w:val="center"/>
          </w:tcPr>
          <w:p>
            <w:pPr>
              <w:jc w:val="left"/>
            </w:pPr>
            <w:r>
              <w:rPr>
                <w:sz w:val="19"/>
              </w:rPr>
              <w:t>NYSE: COHR</w:t>
            </w:r>
          </w:p>
        </w:tc>
      </w:tr>
      <w:tr>
        <w:tc>
          <w:tcPr>
            <w:tcW w:type="dxa" w:w="2500"/>
            <w:tcMar>
              <w:top w:w="80" w:type="dxa"/>
              <w:bottom w:w="80" w:type="dxa"/>
              <w:start w:w="120" w:type="dxa"/>
              <w:end w:w="120" w:type="dxa"/>
            </w:tcMar>
            <w:vAlign w:val="center"/>
          </w:tcPr>
          <w:p>
            <w:pPr>
              <w:jc w:val="center"/>
            </w:pPr>
            <w:r>
              <w:rPr>
                <w:sz w:val="19"/>
              </w:rPr>
              <w:t>总部</w:t>
            </w:r>
          </w:p>
        </w:tc>
        <w:tc>
          <w:tcPr>
            <w:tcW w:type="dxa" w:w="6860"/>
            <w:tcMar>
              <w:top w:w="80" w:type="dxa"/>
              <w:bottom w:w="80" w:type="dxa"/>
              <w:start w:w="120" w:type="dxa"/>
              <w:end w:w="120" w:type="dxa"/>
            </w:tcMar>
            <w:vAlign w:val="center"/>
          </w:tcPr>
          <w:p>
            <w:pPr>
              <w:jc w:val="left"/>
            </w:pPr>
            <w:r>
              <w:rPr>
                <w:sz w:val="19"/>
              </w:rPr>
              <w:t>美国宾夕法尼亚州 Saxonburg</w:t>
            </w:r>
          </w:p>
        </w:tc>
      </w:tr>
      <w:tr>
        <w:tc>
          <w:tcPr>
            <w:tcW w:type="dxa" w:w="2500"/>
            <w:tcMar>
              <w:top w:w="80" w:type="dxa"/>
              <w:bottom w:w="80" w:type="dxa"/>
              <w:start w:w="120" w:type="dxa"/>
              <w:end w:w="120" w:type="dxa"/>
            </w:tcMar>
            <w:vAlign w:val="center"/>
          </w:tcPr>
          <w:p>
            <w:pPr>
              <w:jc w:val="center"/>
            </w:pPr>
            <w:r>
              <w:rPr>
                <w:sz w:val="19"/>
              </w:rPr>
              <w:t>核心定位</w:t>
            </w:r>
          </w:p>
        </w:tc>
        <w:tc>
          <w:tcPr>
            <w:tcW w:type="dxa" w:w="6860"/>
            <w:tcMar>
              <w:top w:w="80" w:type="dxa"/>
              <w:bottom w:w="80" w:type="dxa"/>
              <w:start w:w="120" w:type="dxa"/>
              <w:end w:w="120" w:type="dxa"/>
            </w:tcMar>
            <w:vAlign w:val="center"/>
          </w:tcPr>
          <w:p>
            <w:pPr>
              <w:jc w:val="left"/>
            </w:pPr>
            <w:r>
              <w:rPr>
                <w:sz w:val="19"/>
              </w:rPr>
              <w:t>全球光子、光通信、半导体材料、工业激光和先进光学组件平台</w:t>
            </w:r>
          </w:p>
        </w:tc>
      </w:tr>
      <w:tr>
        <w:tc>
          <w:tcPr>
            <w:tcW w:type="dxa" w:w="2500"/>
            <w:tcMar>
              <w:top w:w="80" w:type="dxa"/>
              <w:bottom w:w="80" w:type="dxa"/>
              <w:start w:w="120" w:type="dxa"/>
              <w:end w:w="120" w:type="dxa"/>
            </w:tcMar>
            <w:vAlign w:val="center"/>
          </w:tcPr>
          <w:p>
            <w:pPr>
              <w:jc w:val="center"/>
            </w:pPr>
            <w:r>
              <w:rPr>
                <w:sz w:val="19"/>
              </w:rPr>
              <w:t>主要分部</w:t>
            </w:r>
          </w:p>
        </w:tc>
        <w:tc>
          <w:tcPr>
            <w:tcW w:type="dxa" w:w="6860"/>
            <w:tcMar>
              <w:top w:w="80" w:type="dxa"/>
              <w:bottom w:w="80" w:type="dxa"/>
              <w:start w:w="120" w:type="dxa"/>
              <w:end w:w="120" w:type="dxa"/>
            </w:tcMar>
            <w:vAlign w:val="center"/>
          </w:tcPr>
          <w:p>
            <w:pPr>
              <w:jc w:val="left"/>
            </w:pPr>
            <w:r>
              <w:rPr>
                <w:sz w:val="19"/>
              </w:rPr>
              <w:t>Datacenter &amp; Communications、Industrial</w:t>
            </w:r>
          </w:p>
        </w:tc>
      </w:tr>
      <w:tr>
        <w:tc>
          <w:tcPr>
            <w:tcW w:type="dxa" w:w="2500"/>
            <w:tcMar>
              <w:top w:w="80" w:type="dxa"/>
              <w:bottom w:w="80" w:type="dxa"/>
              <w:start w:w="120" w:type="dxa"/>
              <w:end w:w="120" w:type="dxa"/>
            </w:tcMar>
            <w:vAlign w:val="center"/>
          </w:tcPr>
          <w:p>
            <w:pPr>
              <w:jc w:val="center"/>
            </w:pPr>
            <w:r>
              <w:rPr>
                <w:sz w:val="19"/>
              </w:rPr>
              <w:t>最新季度</w:t>
            </w:r>
          </w:p>
        </w:tc>
        <w:tc>
          <w:tcPr>
            <w:tcW w:type="dxa" w:w="6860"/>
            <w:tcMar>
              <w:top w:w="80" w:type="dxa"/>
              <w:bottom w:w="80" w:type="dxa"/>
              <w:start w:w="120" w:type="dxa"/>
              <w:end w:w="120" w:type="dxa"/>
            </w:tcMar>
            <w:vAlign w:val="center"/>
          </w:tcPr>
          <w:p>
            <w:pPr>
              <w:jc w:val="left"/>
            </w:pPr>
            <w:r>
              <w:rPr>
                <w:sz w:val="19"/>
              </w:rPr>
              <w:t>FY2026 Q3，季度截至 2026年3月31日，Form 10-Q 于 2026年5月6日披露</w:t>
            </w:r>
          </w:p>
        </w:tc>
      </w:tr>
    </w:tbl>
    <w:p/>
    <w:p>
      <w:pPr>
        <w:pStyle w:val="Heading2"/>
      </w:pPr>
      <w:r>
        <w:t>1.2 公司定位</w:t>
      </w:r>
    </w:p>
    <w:p>
      <w:pPr>
        <w:spacing w:after="120" w:line="264" w:lineRule="auto"/>
      </w:pPr>
      <w:r>
        <w:rPr>
          <w:sz w:val="22"/>
        </w:rPr>
        <w:t>Coherent 的核心价值是“AI 数据中心光互联的底层硬件平台 + 工业/材料光子技术组合”。它并不直接销售 GPU 或服务器，而是在 AI 集群内部和数据中心之间提供光收发器、InP 激光器、光器件、模块、系统、先进材料和相关工艺能力。AI 模型训练和推理规模越大，GPU/ASIC 之间的数据搬运越成为瓶颈，Coherent 的光通信价值就越高。</w:t>
      </w:r>
    </w:p>
    <w:p>
      <w:pPr>
        <w:spacing w:after="120" w:line="264" w:lineRule="auto"/>
      </w:pPr>
      <w:r>
        <w:rPr>
          <w:sz w:val="22"/>
        </w:rPr>
        <w:t>与 Dell 的 AI 服务器交付层不同，Coherent 位于更上游的光互联和光子材料层；与 NVIDIA 的计算平台不同，Coherent 的护城河来自 InP、激光器、光学封装、产能、良率和客户认证；与 Lumentum 相比，Coherent 的组合更宽，覆盖 Datacenter &amp; Communications、Industrial、SiC 和工业激光，但这也带来更复杂的资产负债表和周期暴露。</w:t>
      </w:r>
    </w:p>
    <w:tbl>
      <w:tblPr>
        <w:tblStyle w:val="TableGrid"/>
        <w:tblW w:type="dxa" w:w="9360"/>
        <w:jc w:val="center"/>
        <w:tblLook w:firstColumn="1" w:firstRow="1" w:lastColumn="0" w:lastRow="0" w:noHBand="0" w:noVBand="1" w:val="04A0"/>
        <w:tblInd w:w="120" w:type="dxa"/>
      </w:tblPr>
      <w:tblGrid>
        <w:gridCol w:w="9360"/>
      </w:tblGrid>
      <w:tr>
        <w:tc>
          <w:tcPr>
            <w:tcW w:type="dxa" w:w="9360"/>
            <w:shd w:fill="EAF4EA"/>
            <w:tcMar>
              <w:top w:w="80" w:type="dxa"/>
              <w:bottom w:w="80" w:type="dxa"/>
              <w:start w:w="120" w:type="dxa"/>
              <w:end w:w="120" w:type="dxa"/>
            </w:tcMar>
            <w:vAlign w:val="center"/>
          </w:tcPr>
          <w:p>
            <w:r>
              <w:rPr>
                <w:b/>
                <w:color w:val="1F4D78"/>
              </w:rPr>
              <w:t>核心判断：</w:t>
            </w:r>
            <w:r>
              <w:t xml:space="preserve"> Coherent 是 AI 基础设施从“算力扩张”走向“带宽和能效瓶颈”后的关键受益标的。短期股价弹性来自 AI datacenter 光模块和 NVIDIA 20 亿美元投资，中期估值质量取决于 InP 产能爬坡、毛利率改善、库存消化和净债务下降。</w:t>
            </w:r>
          </w:p>
        </w:tc>
      </w:tr>
    </w:tbl>
    <w:p/>
    <w:p>
      <w:pPr>
        <w:pStyle w:val="Heading1"/>
      </w:pPr>
      <w:r>
        <w:t>二、发展沿革与战略演进</w:t>
      </w:r>
    </w:p>
    <w:p>
      <w:pPr>
        <w:pStyle w:val="Heading2"/>
      </w:pPr>
      <w:r>
        <w:t>2.1 简要历史沿革</w:t>
      </w:r>
    </w:p>
    <w:p>
      <w:pPr>
        <w:pStyle w:val="ListBullet"/>
        <w:spacing w:after="80" w:line="280" w:lineRule="auto"/>
        <w:ind w:left="720" w:hanging="360"/>
      </w:pPr>
      <w:r>
        <w:t>1971年，II-VI Incorporated 成立，最初围绕 II-VI 族材料、红外光学材料和激光光学组件发展。</w:t>
      </w:r>
    </w:p>
    <w:p>
      <w:pPr>
        <w:pStyle w:val="ListBullet"/>
        <w:spacing w:after="80" w:line="280" w:lineRule="auto"/>
        <w:ind w:left="720" w:hanging="360"/>
      </w:pPr>
      <w:r>
        <w:t>2010年代，公司通过并购和内生研发进入光通信、VCSEL、InP、SiC 和先进材料领域。</w:t>
      </w:r>
    </w:p>
    <w:p>
      <w:pPr>
        <w:pStyle w:val="ListBullet"/>
        <w:spacing w:after="80" w:line="280" w:lineRule="auto"/>
        <w:ind w:left="720" w:hanging="360"/>
      </w:pPr>
      <w:r>
        <w:t>2019年，II-VI 收购 Finisar，显著增强光通信、数据中心收发器和 VCSEL 能力。</w:t>
      </w:r>
    </w:p>
    <w:p>
      <w:pPr>
        <w:pStyle w:val="ListBullet"/>
        <w:spacing w:after="80" w:line="280" w:lineRule="auto"/>
        <w:ind w:left="720" w:hanging="360"/>
      </w:pPr>
      <w:r>
        <w:t>2022年，II-VI 完成对 Coherent, Inc. 的收购并更名为 Coherent Corp.，形成材料、光通信和激光更宽组合。</w:t>
      </w:r>
    </w:p>
    <w:p>
      <w:pPr>
        <w:pStyle w:val="ListBullet"/>
        <w:spacing w:after="80" w:line="280" w:lineRule="auto"/>
        <w:ind w:left="720" w:hanging="360"/>
      </w:pPr>
      <w:r>
        <w:t>2024年，Jim Anderson 出任 CEO，管理层重点转向组合简化、执行改善、AI 光互联和资产负债表优化。</w:t>
      </w:r>
    </w:p>
    <w:p>
      <w:pPr>
        <w:pStyle w:val="ListBullet"/>
        <w:spacing w:after="80" w:line="280" w:lineRule="auto"/>
        <w:ind w:left="720" w:hanging="360"/>
      </w:pPr>
      <w:r>
        <w:t>2025-2026年，公司出售部分工业/国防资产，NVIDIA 以 20 亿美元战略投资入股，并签署先进光学技术多年度战略协议。</w:t>
      </w:r>
    </w:p>
    <w:p>
      <w:pPr>
        <w:pStyle w:val="Heading2"/>
      </w:pPr>
      <w:r>
        <w:t>2.2 战略演进</w:t>
      </w:r>
    </w:p>
    <w:tbl>
      <w:tblPr>
        <w:tblStyle w:val="TableGrid"/>
        <w:tblW w:type="dxa" w:w="9360"/>
        <w:jc w:val="center"/>
        <w:tblLook w:firstColumn="1" w:firstRow="1" w:lastColumn="0" w:lastRow="0" w:noHBand="0" w:noVBand="1" w:val="04A0"/>
        <w:tblInd w:w="120" w:type="dxa"/>
      </w:tblPr>
      <w:tblGrid>
        <w:gridCol w:w="1900"/>
        <w:gridCol w:w="3200"/>
        <w:gridCol w:w="4260"/>
      </w:tblGrid>
      <w:tr>
        <w:trPr>
          <w:tblHeader w:val="true"/>
        </w:trPr>
        <w:tc>
          <w:tcPr>
            <w:tcW w:type="dxa" w:w="1900"/>
            <w:shd w:fill="E8EEF5"/>
            <w:tcMar>
              <w:top w:w="80" w:type="dxa"/>
              <w:bottom w:w="80" w:type="dxa"/>
              <w:start w:w="120" w:type="dxa"/>
              <w:end w:w="120" w:type="dxa"/>
            </w:tcMar>
            <w:vAlign w:val="center"/>
          </w:tcPr>
          <w:p>
            <w:pPr>
              <w:jc w:val="center"/>
            </w:pPr>
            <w:r>
              <w:rPr>
                <w:b/>
                <w:sz w:val="19"/>
              </w:rPr>
              <w:t>阶段</w:t>
            </w:r>
          </w:p>
        </w:tc>
        <w:tc>
          <w:tcPr>
            <w:tcW w:type="dxa" w:w="3200"/>
            <w:shd w:fill="E8EEF5"/>
            <w:tcMar>
              <w:top w:w="80" w:type="dxa"/>
              <w:bottom w:w="80" w:type="dxa"/>
              <w:start w:w="120" w:type="dxa"/>
              <w:end w:w="120" w:type="dxa"/>
            </w:tcMar>
            <w:vAlign w:val="center"/>
          </w:tcPr>
          <w:p>
            <w:pPr>
              <w:jc w:val="center"/>
            </w:pPr>
            <w:r>
              <w:rPr>
                <w:b/>
                <w:sz w:val="19"/>
              </w:rPr>
              <w:t>核心战略</w:t>
            </w:r>
          </w:p>
        </w:tc>
        <w:tc>
          <w:tcPr>
            <w:tcW w:type="dxa" w:w="4260"/>
            <w:shd w:fill="E8EEF5"/>
            <w:tcMar>
              <w:top w:w="80" w:type="dxa"/>
              <w:bottom w:w="80" w:type="dxa"/>
              <w:start w:w="120" w:type="dxa"/>
              <w:end w:w="120" w:type="dxa"/>
            </w:tcMar>
            <w:vAlign w:val="center"/>
          </w:tcPr>
          <w:p>
            <w:pPr>
              <w:jc w:val="center"/>
            </w:pPr>
            <w:r>
              <w:rPr>
                <w:b/>
                <w:sz w:val="19"/>
              </w:rPr>
              <w:t>研究含义</w:t>
            </w:r>
          </w:p>
        </w:tc>
      </w:tr>
      <w:tr>
        <w:tc>
          <w:tcPr>
            <w:tcW w:type="dxa" w:w="1900"/>
            <w:tcMar>
              <w:top w:w="80" w:type="dxa"/>
              <w:bottom w:w="80" w:type="dxa"/>
              <w:start w:w="120" w:type="dxa"/>
              <w:end w:w="120" w:type="dxa"/>
            </w:tcMar>
            <w:vAlign w:val="center"/>
          </w:tcPr>
          <w:p>
            <w:pPr>
              <w:jc w:val="center"/>
            </w:pPr>
            <w:r>
              <w:rPr>
                <w:sz w:val="19"/>
              </w:rPr>
              <w:t>材料与光学阶段</w:t>
            </w:r>
          </w:p>
        </w:tc>
        <w:tc>
          <w:tcPr>
            <w:tcW w:type="dxa" w:w="3200"/>
            <w:tcMar>
              <w:top w:w="80" w:type="dxa"/>
              <w:bottom w:w="80" w:type="dxa"/>
              <w:start w:w="120" w:type="dxa"/>
              <w:end w:w="120" w:type="dxa"/>
            </w:tcMar>
            <w:vAlign w:val="center"/>
          </w:tcPr>
          <w:p>
            <w:pPr>
              <w:jc w:val="left"/>
            </w:pPr>
            <w:r>
              <w:rPr>
                <w:sz w:val="19"/>
              </w:rPr>
              <w:t>红外材料、激光窗口、晶体、光学组件</w:t>
            </w:r>
          </w:p>
        </w:tc>
        <w:tc>
          <w:tcPr>
            <w:tcW w:type="dxa" w:w="4260"/>
            <w:tcMar>
              <w:top w:w="80" w:type="dxa"/>
              <w:bottom w:w="80" w:type="dxa"/>
              <w:start w:w="120" w:type="dxa"/>
              <w:end w:w="120" w:type="dxa"/>
            </w:tcMar>
            <w:vAlign w:val="center"/>
          </w:tcPr>
          <w:p>
            <w:pPr>
              <w:jc w:val="left"/>
            </w:pPr>
            <w:r>
              <w:rPr>
                <w:sz w:val="19"/>
              </w:rPr>
              <w:t>形成材料工艺和垂直集成基础</w:t>
            </w:r>
          </w:p>
        </w:tc>
      </w:tr>
      <w:tr>
        <w:tc>
          <w:tcPr>
            <w:tcW w:type="dxa" w:w="1900"/>
            <w:tcMar>
              <w:top w:w="80" w:type="dxa"/>
              <w:bottom w:w="80" w:type="dxa"/>
              <w:start w:w="120" w:type="dxa"/>
              <w:end w:w="120" w:type="dxa"/>
            </w:tcMar>
            <w:vAlign w:val="center"/>
          </w:tcPr>
          <w:p>
            <w:pPr>
              <w:jc w:val="center"/>
            </w:pPr>
            <w:r>
              <w:rPr>
                <w:sz w:val="19"/>
              </w:rPr>
              <w:t>光通信扩张阶段</w:t>
            </w:r>
          </w:p>
        </w:tc>
        <w:tc>
          <w:tcPr>
            <w:tcW w:type="dxa" w:w="3200"/>
            <w:tcMar>
              <w:top w:w="80" w:type="dxa"/>
              <w:bottom w:w="80" w:type="dxa"/>
              <w:start w:w="120" w:type="dxa"/>
              <w:end w:w="120" w:type="dxa"/>
            </w:tcMar>
            <w:vAlign w:val="center"/>
          </w:tcPr>
          <w:p>
            <w:pPr>
              <w:jc w:val="left"/>
            </w:pPr>
            <w:r>
              <w:rPr>
                <w:sz w:val="19"/>
              </w:rPr>
              <w:t>Finisar、InP、VCSEL、收发器和通信模块</w:t>
            </w:r>
          </w:p>
        </w:tc>
        <w:tc>
          <w:tcPr>
            <w:tcW w:type="dxa" w:w="4260"/>
            <w:tcMar>
              <w:top w:w="80" w:type="dxa"/>
              <w:bottom w:w="80" w:type="dxa"/>
              <w:start w:w="120" w:type="dxa"/>
              <w:end w:w="120" w:type="dxa"/>
            </w:tcMar>
            <w:vAlign w:val="center"/>
          </w:tcPr>
          <w:p>
            <w:pPr>
              <w:jc w:val="left"/>
            </w:pPr>
            <w:r>
              <w:rPr>
                <w:sz w:val="19"/>
              </w:rPr>
              <w:t>卡位数据中心和通信网络光互联</w:t>
            </w:r>
          </w:p>
        </w:tc>
      </w:tr>
      <w:tr>
        <w:tc>
          <w:tcPr>
            <w:tcW w:type="dxa" w:w="1900"/>
            <w:tcMar>
              <w:top w:w="80" w:type="dxa"/>
              <w:bottom w:w="80" w:type="dxa"/>
              <w:start w:w="120" w:type="dxa"/>
              <w:end w:w="120" w:type="dxa"/>
            </w:tcMar>
            <w:vAlign w:val="center"/>
          </w:tcPr>
          <w:p>
            <w:pPr>
              <w:jc w:val="center"/>
            </w:pPr>
            <w:r>
              <w:rPr>
                <w:sz w:val="19"/>
              </w:rPr>
              <w:t>Coherent 并购阶段</w:t>
            </w:r>
          </w:p>
        </w:tc>
        <w:tc>
          <w:tcPr>
            <w:tcW w:type="dxa" w:w="3200"/>
            <w:tcMar>
              <w:top w:w="80" w:type="dxa"/>
              <w:bottom w:w="80" w:type="dxa"/>
              <w:start w:w="120" w:type="dxa"/>
              <w:end w:w="120" w:type="dxa"/>
            </w:tcMar>
            <w:vAlign w:val="center"/>
          </w:tcPr>
          <w:p>
            <w:pPr>
              <w:jc w:val="left"/>
            </w:pPr>
            <w:r>
              <w:rPr>
                <w:sz w:val="19"/>
              </w:rPr>
              <w:t>工业激光、精密制造、生命科学和先进光学</w:t>
            </w:r>
          </w:p>
        </w:tc>
        <w:tc>
          <w:tcPr>
            <w:tcW w:type="dxa" w:w="4260"/>
            <w:tcMar>
              <w:top w:w="80" w:type="dxa"/>
              <w:bottom w:w="80" w:type="dxa"/>
              <w:start w:w="120" w:type="dxa"/>
              <w:end w:w="120" w:type="dxa"/>
            </w:tcMar>
            <w:vAlign w:val="center"/>
          </w:tcPr>
          <w:p>
            <w:pPr>
              <w:jc w:val="left"/>
            </w:pPr>
            <w:r>
              <w:rPr>
                <w:sz w:val="19"/>
              </w:rPr>
              <w:t>业务组合更宽，但整合和债务压力上升</w:t>
            </w:r>
          </w:p>
        </w:tc>
      </w:tr>
      <w:tr>
        <w:tc>
          <w:tcPr>
            <w:tcW w:type="dxa" w:w="1900"/>
            <w:tcMar>
              <w:top w:w="80" w:type="dxa"/>
              <w:bottom w:w="80" w:type="dxa"/>
              <w:start w:w="120" w:type="dxa"/>
              <w:end w:w="120" w:type="dxa"/>
            </w:tcMar>
            <w:vAlign w:val="center"/>
          </w:tcPr>
          <w:p>
            <w:pPr>
              <w:jc w:val="center"/>
            </w:pPr>
            <w:r>
              <w:rPr>
                <w:sz w:val="19"/>
              </w:rPr>
              <w:t>组合优化阶段</w:t>
            </w:r>
          </w:p>
        </w:tc>
        <w:tc>
          <w:tcPr>
            <w:tcW w:type="dxa" w:w="3200"/>
            <w:tcMar>
              <w:top w:w="80" w:type="dxa"/>
              <w:bottom w:w="80" w:type="dxa"/>
              <w:start w:w="120" w:type="dxa"/>
              <w:end w:w="120" w:type="dxa"/>
            </w:tcMar>
            <w:vAlign w:val="center"/>
          </w:tcPr>
          <w:p>
            <w:pPr>
              <w:jc w:val="left"/>
            </w:pPr>
            <w:r>
              <w:rPr>
                <w:sz w:val="19"/>
              </w:rPr>
              <w:t>出售航天防务和部分工业资产、降低债务</w:t>
            </w:r>
          </w:p>
        </w:tc>
        <w:tc>
          <w:tcPr>
            <w:tcW w:type="dxa" w:w="4260"/>
            <w:tcMar>
              <w:top w:w="80" w:type="dxa"/>
              <w:bottom w:w="80" w:type="dxa"/>
              <w:start w:w="120" w:type="dxa"/>
              <w:end w:w="120" w:type="dxa"/>
            </w:tcMar>
            <w:vAlign w:val="center"/>
          </w:tcPr>
          <w:p>
            <w:pPr>
              <w:jc w:val="left"/>
            </w:pPr>
            <w:r>
              <w:rPr>
                <w:sz w:val="19"/>
              </w:rPr>
              <w:t>聚焦 AI datacenter 和高回报工业应用</w:t>
            </w:r>
          </w:p>
        </w:tc>
      </w:tr>
      <w:tr>
        <w:tc>
          <w:tcPr>
            <w:tcW w:type="dxa" w:w="1900"/>
            <w:tcMar>
              <w:top w:w="80" w:type="dxa"/>
              <w:bottom w:w="80" w:type="dxa"/>
              <w:start w:w="120" w:type="dxa"/>
              <w:end w:w="120" w:type="dxa"/>
            </w:tcMar>
            <w:vAlign w:val="center"/>
          </w:tcPr>
          <w:p>
            <w:pPr>
              <w:jc w:val="center"/>
            </w:pPr>
            <w:r>
              <w:rPr>
                <w:sz w:val="19"/>
              </w:rPr>
              <w:t>AI 光互联阶段</w:t>
            </w:r>
          </w:p>
        </w:tc>
        <w:tc>
          <w:tcPr>
            <w:tcW w:type="dxa" w:w="3200"/>
            <w:tcMar>
              <w:top w:w="80" w:type="dxa"/>
              <w:bottom w:w="80" w:type="dxa"/>
              <w:start w:w="120" w:type="dxa"/>
              <w:end w:w="120" w:type="dxa"/>
            </w:tcMar>
            <w:vAlign w:val="center"/>
          </w:tcPr>
          <w:p>
            <w:pPr>
              <w:jc w:val="left"/>
            </w:pPr>
            <w:r>
              <w:rPr>
                <w:sz w:val="19"/>
              </w:rPr>
              <w:t>先进光学、InP 产能、NVIDIA 战略协议和研发扩张</w:t>
            </w:r>
          </w:p>
        </w:tc>
        <w:tc>
          <w:tcPr>
            <w:tcW w:type="dxa" w:w="4260"/>
            <w:tcMar>
              <w:top w:w="80" w:type="dxa"/>
              <w:bottom w:w="80" w:type="dxa"/>
              <w:start w:w="120" w:type="dxa"/>
              <w:end w:w="120" w:type="dxa"/>
            </w:tcMar>
            <w:vAlign w:val="center"/>
          </w:tcPr>
          <w:p>
            <w:pPr>
              <w:jc w:val="left"/>
            </w:pPr>
            <w:r>
              <w:rPr>
                <w:sz w:val="19"/>
              </w:rPr>
              <w:t>从周期性光器件公司向 AI 基础设施关键供应商重估</w:t>
            </w:r>
          </w:p>
        </w:tc>
      </w:tr>
    </w:tbl>
    <w:p/>
    <w:p>
      <w:pPr>
        <w:pStyle w:val="Heading1"/>
      </w:pPr>
      <w:r>
        <w:t>三、业务和技术体系</w:t>
      </w:r>
    </w:p>
    <w:p>
      <w:pPr>
        <w:pStyle w:val="Heading2"/>
      </w:pPr>
      <w:r>
        <w:t>3.1 产品体系</w:t>
      </w:r>
    </w:p>
    <w:tbl>
      <w:tblPr>
        <w:tblStyle w:val="TableGrid"/>
        <w:tblW w:type="dxa" w:w="9360"/>
        <w:jc w:val="center"/>
        <w:tblLook w:firstColumn="1" w:firstRow="1" w:lastColumn="0" w:lastRow="0" w:noHBand="0" w:noVBand="1" w:val="04A0"/>
        <w:tblInd w:w="120" w:type="dxa"/>
      </w:tblPr>
      <w:tblGrid>
        <w:gridCol w:w="1900"/>
        <w:gridCol w:w="3700"/>
        <w:gridCol w:w="3760"/>
      </w:tblGrid>
      <w:tr>
        <w:trPr>
          <w:tblHeader w:val="true"/>
        </w:trPr>
        <w:tc>
          <w:tcPr>
            <w:tcW w:type="dxa" w:w="1900"/>
            <w:shd w:fill="F2F4F7"/>
            <w:tcMar>
              <w:top w:w="80" w:type="dxa"/>
              <w:bottom w:w="80" w:type="dxa"/>
              <w:start w:w="120" w:type="dxa"/>
              <w:end w:w="120" w:type="dxa"/>
            </w:tcMar>
            <w:vAlign w:val="center"/>
          </w:tcPr>
          <w:p>
            <w:pPr>
              <w:jc w:val="center"/>
            </w:pPr>
            <w:r>
              <w:rPr>
                <w:b/>
                <w:sz w:val="19"/>
              </w:rPr>
              <w:t>产品/平台</w:t>
            </w:r>
          </w:p>
        </w:tc>
        <w:tc>
          <w:tcPr>
            <w:tcW w:type="dxa" w:w="3700"/>
            <w:shd w:fill="F2F4F7"/>
            <w:tcMar>
              <w:top w:w="80" w:type="dxa"/>
              <w:bottom w:w="80" w:type="dxa"/>
              <w:start w:w="120" w:type="dxa"/>
              <w:end w:w="120" w:type="dxa"/>
            </w:tcMar>
            <w:vAlign w:val="center"/>
          </w:tcPr>
          <w:p>
            <w:pPr>
              <w:jc w:val="center"/>
            </w:pPr>
            <w:r>
              <w:rPr>
                <w:b/>
                <w:sz w:val="19"/>
              </w:rPr>
              <w:t>主要内容</w:t>
            </w:r>
          </w:p>
        </w:tc>
        <w:tc>
          <w:tcPr>
            <w:tcW w:type="dxa" w:w="3760"/>
            <w:shd w:fill="F2F4F7"/>
            <w:tcMar>
              <w:top w:w="80" w:type="dxa"/>
              <w:bottom w:w="80" w:type="dxa"/>
              <w:start w:w="120" w:type="dxa"/>
              <w:end w:w="120" w:type="dxa"/>
            </w:tcMar>
            <w:vAlign w:val="center"/>
          </w:tcPr>
          <w:p>
            <w:pPr>
              <w:jc w:val="center"/>
            </w:pPr>
            <w:r>
              <w:rPr>
                <w:b/>
                <w:sz w:val="19"/>
              </w:rPr>
              <w:t>投资含义</w:t>
            </w:r>
          </w:p>
        </w:tc>
      </w:tr>
      <w:tr>
        <w:tc>
          <w:tcPr>
            <w:tcW w:type="dxa" w:w="1900"/>
            <w:tcMar>
              <w:top w:w="80" w:type="dxa"/>
              <w:bottom w:w="80" w:type="dxa"/>
              <w:start w:w="120" w:type="dxa"/>
              <w:end w:w="120" w:type="dxa"/>
            </w:tcMar>
            <w:vAlign w:val="center"/>
          </w:tcPr>
          <w:p>
            <w:pPr>
              <w:jc w:val="center"/>
            </w:pPr>
            <w:r>
              <w:rPr>
                <w:sz w:val="19"/>
              </w:rPr>
              <w:t>Datacenter transceivers</w:t>
            </w:r>
          </w:p>
        </w:tc>
        <w:tc>
          <w:tcPr>
            <w:tcW w:type="dxa" w:w="3700"/>
            <w:tcMar>
              <w:top w:w="80" w:type="dxa"/>
              <w:bottom w:w="80" w:type="dxa"/>
              <w:start w:w="120" w:type="dxa"/>
              <w:end w:w="120" w:type="dxa"/>
            </w:tcMar>
            <w:vAlign w:val="center"/>
          </w:tcPr>
          <w:p>
            <w:pPr>
              <w:jc w:val="left"/>
            </w:pPr>
            <w:r>
              <w:rPr>
                <w:sz w:val="19"/>
              </w:rPr>
              <w:t>面向 AI 数据中心的高速光收发器、短距/中距光互联和模块</w:t>
            </w:r>
          </w:p>
        </w:tc>
        <w:tc>
          <w:tcPr>
            <w:tcW w:type="dxa" w:w="3760"/>
            <w:tcMar>
              <w:top w:w="80" w:type="dxa"/>
              <w:bottom w:w="80" w:type="dxa"/>
              <w:start w:w="120" w:type="dxa"/>
              <w:end w:w="120" w:type="dxa"/>
            </w:tcMar>
            <w:vAlign w:val="center"/>
          </w:tcPr>
          <w:p>
            <w:pPr>
              <w:jc w:val="left"/>
            </w:pPr>
            <w:r>
              <w:rPr>
                <w:sz w:val="19"/>
              </w:rPr>
              <w:t>当前最核心增量，直接受益 GPU 集群带宽需求</w:t>
            </w:r>
          </w:p>
        </w:tc>
      </w:tr>
      <w:tr>
        <w:tc>
          <w:tcPr>
            <w:tcW w:type="dxa" w:w="1900"/>
            <w:tcMar>
              <w:top w:w="80" w:type="dxa"/>
              <w:bottom w:w="80" w:type="dxa"/>
              <w:start w:w="120" w:type="dxa"/>
              <w:end w:w="120" w:type="dxa"/>
            </w:tcMar>
            <w:vAlign w:val="center"/>
          </w:tcPr>
          <w:p>
            <w:pPr>
              <w:jc w:val="center"/>
            </w:pPr>
            <w:r>
              <w:rPr>
                <w:sz w:val="19"/>
              </w:rPr>
              <w:t>InP lasers / photonic devices</w:t>
            </w:r>
          </w:p>
        </w:tc>
        <w:tc>
          <w:tcPr>
            <w:tcW w:type="dxa" w:w="3700"/>
            <w:tcMar>
              <w:top w:w="80" w:type="dxa"/>
              <w:bottom w:w="80" w:type="dxa"/>
              <w:start w:w="120" w:type="dxa"/>
              <w:end w:w="120" w:type="dxa"/>
            </w:tcMar>
            <w:vAlign w:val="center"/>
          </w:tcPr>
          <w:p>
            <w:pPr>
              <w:jc w:val="left"/>
            </w:pPr>
            <w:r>
              <w:rPr>
                <w:sz w:val="19"/>
              </w:rPr>
              <w:t>磷化铟激光器、调制器、探测器和相关光芯片能力</w:t>
            </w:r>
          </w:p>
        </w:tc>
        <w:tc>
          <w:tcPr>
            <w:tcW w:type="dxa" w:w="3760"/>
            <w:tcMar>
              <w:top w:w="80" w:type="dxa"/>
              <w:bottom w:w="80" w:type="dxa"/>
              <w:start w:w="120" w:type="dxa"/>
              <w:end w:w="120" w:type="dxa"/>
            </w:tcMar>
            <w:vAlign w:val="center"/>
          </w:tcPr>
          <w:p>
            <w:pPr>
              <w:jc w:val="left"/>
            </w:pPr>
            <w:r>
              <w:rPr>
                <w:sz w:val="19"/>
              </w:rPr>
              <w:t>AI 光模块瓶颈环节之一，产能和良率决定利润弹性</w:t>
            </w:r>
          </w:p>
        </w:tc>
      </w:tr>
      <w:tr>
        <w:tc>
          <w:tcPr>
            <w:tcW w:type="dxa" w:w="1900"/>
            <w:tcMar>
              <w:top w:w="80" w:type="dxa"/>
              <w:bottom w:w="80" w:type="dxa"/>
              <w:start w:w="120" w:type="dxa"/>
              <w:end w:w="120" w:type="dxa"/>
            </w:tcMar>
            <w:vAlign w:val="center"/>
          </w:tcPr>
          <w:p>
            <w:pPr>
              <w:jc w:val="center"/>
            </w:pPr>
            <w:r>
              <w:rPr>
                <w:sz w:val="19"/>
              </w:rPr>
              <w:t>Communications products</w:t>
            </w:r>
          </w:p>
        </w:tc>
        <w:tc>
          <w:tcPr>
            <w:tcW w:type="dxa" w:w="3700"/>
            <w:tcMar>
              <w:top w:w="80" w:type="dxa"/>
              <w:bottom w:w="80" w:type="dxa"/>
              <w:start w:w="120" w:type="dxa"/>
              <w:end w:w="120" w:type="dxa"/>
            </w:tcMar>
            <w:vAlign w:val="center"/>
          </w:tcPr>
          <w:p>
            <w:pPr>
              <w:jc w:val="left"/>
            </w:pPr>
            <w:r>
              <w:rPr>
                <w:sz w:val="19"/>
              </w:rPr>
              <w:t>ZR/ZR+、传统 telecom transport、数据中心互联和网络传输</w:t>
            </w:r>
          </w:p>
        </w:tc>
        <w:tc>
          <w:tcPr>
            <w:tcW w:type="dxa" w:w="3760"/>
            <w:tcMar>
              <w:top w:w="80" w:type="dxa"/>
              <w:bottom w:w="80" w:type="dxa"/>
              <w:start w:w="120" w:type="dxa"/>
              <w:end w:w="120" w:type="dxa"/>
            </w:tcMar>
            <w:vAlign w:val="center"/>
          </w:tcPr>
          <w:p>
            <w:pPr>
              <w:jc w:val="left"/>
            </w:pPr>
            <w:r>
              <w:rPr>
                <w:sz w:val="19"/>
              </w:rPr>
              <w:t>AI 与传统通信共同拉动，但价格和周期波动较强</w:t>
            </w:r>
          </w:p>
        </w:tc>
      </w:tr>
      <w:tr>
        <w:tc>
          <w:tcPr>
            <w:tcW w:type="dxa" w:w="1900"/>
            <w:tcMar>
              <w:top w:w="80" w:type="dxa"/>
              <w:bottom w:w="80" w:type="dxa"/>
              <w:start w:w="120" w:type="dxa"/>
              <w:end w:w="120" w:type="dxa"/>
            </w:tcMar>
            <w:vAlign w:val="center"/>
          </w:tcPr>
          <w:p>
            <w:pPr>
              <w:jc w:val="center"/>
            </w:pPr>
            <w:r>
              <w:rPr>
                <w:sz w:val="19"/>
              </w:rPr>
              <w:t>Industrial lasers</w:t>
            </w:r>
          </w:p>
        </w:tc>
        <w:tc>
          <w:tcPr>
            <w:tcW w:type="dxa" w:w="3700"/>
            <w:tcMar>
              <w:top w:w="80" w:type="dxa"/>
              <w:bottom w:w="80" w:type="dxa"/>
              <w:start w:w="120" w:type="dxa"/>
              <w:end w:w="120" w:type="dxa"/>
            </w:tcMar>
            <w:vAlign w:val="center"/>
          </w:tcPr>
          <w:p>
            <w:pPr>
              <w:jc w:val="left"/>
            </w:pPr>
            <w:r>
              <w:rPr>
                <w:sz w:val="19"/>
              </w:rPr>
              <w:t>材料加工、半导体设备、显示、精密制造和生命科学相关激光系统/组件</w:t>
            </w:r>
          </w:p>
        </w:tc>
        <w:tc>
          <w:tcPr>
            <w:tcW w:type="dxa" w:w="3760"/>
            <w:tcMar>
              <w:top w:w="80" w:type="dxa"/>
              <w:bottom w:w="80" w:type="dxa"/>
              <w:start w:w="120" w:type="dxa"/>
              <w:end w:w="120" w:type="dxa"/>
            </w:tcMar>
            <w:vAlign w:val="center"/>
          </w:tcPr>
          <w:p>
            <w:pPr>
              <w:jc w:val="left"/>
            </w:pPr>
            <w:r>
              <w:rPr>
                <w:sz w:val="19"/>
              </w:rPr>
              <w:t>分散 AI 单一周期风险，但短期受资产出售和工业周期影响</w:t>
            </w:r>
          </w:p>
        </w:tc>
      </w:tr>
      <w:tr>
        <w:tc>
          <w:tcPr>
            <w:tcW w:type="dxa" w:w="1900"/>
            <w:tcMar>
              <w:top w:w="80" w:type="dxa"/>
              <w:bottom w:w="80" w:type="dxa"/>
              <w:start w:w="120" w:type="dxa"/>
              <w:end w:w="120" w:type="dxa"/>
            </w:tcMar>
            <w:vAlign w:val="center"/>
          </w:tcPr>
          <w:p>
            <w:pPr>
              <w:jc w:val="center"/>
            </w:pPr>
            <w:r>
              <w:rPr>
                <w:sz w:val="19"/>
              </w:rPr>
              <w:t>Materials / SiC</w:t>
            </w:r>
          </w:p>
        </w:tc>
        <w:tc>
          <w:tcPr>
            <w:tcW w:type="dxa" w:w="3700"/>
            <w:tcMar>
              <w:top w:w="80" w:type="dxa"/>
              <w:bottom w:w="80" w:type="dxa"/>
              <w:start w:w="120" w:type="dxa"/>
              <w:end w:w="120" w:type="dxa"/>
            </w:tcMar>
            <w:vAlign w:val="center"/>
          </w:tcPr>
          <w:p>
            <w:pPr>
              <w:jc w:val="left"/>
            </w:pPr>
            <w:r>
              <w:rPr>
                <w:sz w:val="19"/>
              </w:rPr>
              <w:t>SiC 基板、先进材料、光学材料和工艺平台</w:t>
            </w:r>
          </w:p>
        </w:tc>
        <w:tc>
          <w:tcPr>
            <w:tcW w:type="dxa" w:w="3760"/>
            <w:tcMar>
              <w:top w:w="80" w:type="dxa"/>
              <w:bottom w:w="80" w:type="dxa"/>
              <w:start w:w="120" w:type="dxa"/>
              <w:end w:w="120" w:type="dxa"/>
            </w:tcMar>
            <w:vAlign w:val="center"/>
          </w:tcPr>
          <w:p>
            <w:pPr>
              <w:jc w:val="left"/>
            </w:pPr>
            <w:r>
              <w:rPr>
                <w:sz w:val="19"/>
              </w:rPr>
              <w:t>长期受电动车、功率半导体和先进制造影响，但资本强度高</w:t>
            </w:r>
          </w:p>
        </w:tc>
      </w:tr>
      <w:tr>
        <w:tc>
          <w:tcPr>
            <w:tcW w:type="dxa" w:w="1900"/>
            <w:tcMar>
              <w:top w:w="80" w:type="dxa"/>
              <w:bottom w:w="80" w:type="dxa"/>
              <w:start w:w="120" w:type="dxa"/>
              <w:end w:w="120" w:type="dxa"/>
            </w:tcMar>
            <w:vAlign w:val="center"/>
          </w:tcPr>
          <w:p>
            <w:pPr>
              <w:jc w:val="center"/>
            </w:pPr>
            <w:r>
              <w:rPr>
                <w:sz w:val="19"/>
              </w:rPr>
              <w:t>Advanced optics R&amp;D</w:t>
            </w:r>
          </w:p>
        </w:tc>
        <w:tc>
          <w:tcPr>
            <w:tcW w:type="dxa" w:w="3700"/>
            <w:tcMar>
              <w:top w:w="80" w:type="dxa"/>
              <w:bottom w:w="80" w:type="dxa"/>
              <w:start w:w="120" w:type="dxa"/>
              <w:end w:w="120" w:type="dxa"/>
            </w:tcMar>
            <w:vAlign w:val="center"/>
          </w:tcPr>
          <w:p>
            <w:pPr>
              <w:jc w:val="left"/>
            </w:pPr>
            <w:r>
              <w:rPr>
                <w:sz w:val="19"/>
              </w:rPr>
              <w:t>面向下一代 AI 基础设施的先进光学技术、硅光/共封装光学潜在路线</w:t>
            </w:r>
          </w:p>
        </w:tc>
        <w:tc>
          <w:tcPr>
            <w:tcW w:type="dxa" w:w="3760"/>
            <w:tcMar>
              <w:top w:w="80" w:type="dxa"/>
              <w:bottom w:w="80" w:type="dxa"/>
              <w:start w:w="120" w:type="dxa"/>
              <w:end w:w="120" w:type="dxa"/>
            </w:tcMar>
            <w:vAlign w:val="center"/>
          </w:tcPr>
          <w:p>
            <w:pPr>
              <w:jc w:val="left"/>
            </w:pPr>
            <w:r>
              <w:rPr>
                <w:sz w:val="19"/>
              </w:rPr>
              <w:t>NVIDIA 战略协议提升可见度，但商业化节奏仍需验证</w:t>
            </w:r>
          </w:p>
        </w:tc>
      </w:tr>
    </w:tbl>
    <w:p/>
    <w:p>
      <w:pPr>
        <w:pStyle w:val="Heading2"/>
      </w:pPr>
      <w:r>
        <w:t>3.2 AI 光互联能力</w:t>
      </w:r>
    </w:p>
    <w:p>
      <w:pPr>
        <w:spacing w:after="120" w:line="264" w:lineRule="auto"/>
      </w:pPr>
      <w:r>
        <w:rPr>
          <w:sz w:val="22"/>
        </w:rPr>
        <w:t>AI 集群扩张后，性能瓶颈越来越多地出现在数据搬运而不是单颗芯片算力。GPU/ASIC 之间、机柜之间、数据中心之间都需要更高速、更低功耗、更高可靠性的光互联。Coherent 的 Datacenter &amp; Communications 分部覆盖 transceivers、systems、subsystems、modules、components、optics 和 semiconductor devices，正好位于 AI 数据中心带宽扩张的核心。</w:t>
      </w:r>
    </w:p>
    <w:p>
      <w:pPr>
        <w:spacing w:after="120" w:line="264" w:lineRule="auto"/>
      </w:pPr>
      <w:r>
        <w:rPr>
          <w:sz w:val="22"/>
        </w:rPr>
        <w:t>公司在 10-Q 中披露，D&amp;C 分部收入增长主要由 AI datacenter demand、data center interconnect、scale-across 和传统 telecom 应用拉动；同时公司正在扩张 Sherman, Texas 的 InP 产能，以应对客户需求和行业性短缺。这说明 Coherent 的核心变量已经从传统通信周期，转向 AI 光互联供需紧张和产能爬坡。</w:t>
      </w:r>
    </w:p>
    <w:p>
      <w:pPr>
        <w:pStyle w:val="Heading2"/>
      </w:pPr>
      <w:r>
        <w:t>3.3 技术与运营护城河</w:t>
      </w:r>
    </w:p>
    <w:p>
      <w:pPr>
        <w:pStyle w:val="ListBullet"/>
        <w:spacing w:after="80" w:line="280" w:lineRule="auto"/>
        <w:ind w:left="720" w:hanging="360"/>
      </w:pPr>
      <w:r>
        <w:t>InP 与激光器能力：光模块的核心不是只做封装，而是掌握激光器、光芯片、良率和可靠性。</w:t>
      </w:r>
    </w:p>
    <w:p>
      <w:pPr>
        <w:pStyle w:val="ListBullet"/>
        <w:spacing w:after="80" w:line="280" w:lineRule="auto"/>
        <w:ind w:left="720" w:hanging="360"/>
      </w:pPr>
      <w:r>
        <w:t>垂直整合：从材料、芯片、光学组件到模块的多层能力，有助于在短缺周期中控制供应链和质量。</w:t>
      </w:r>
    </w:p>
    <w:p>
      <w:pPr>
        <w:pStyle w:val="ListBullet"/>
        <w:spacing w:after="80" w:line="280" w:lineRule="auto"/>
        <w:ind w:left="720" w:hanging="360"/>
      </w:pPr>
      <w:r>
        <w:t>客户认证周期：AI 数据中心客户对性能、功耗、稳定性和交付一致性要求高，认证通过后粘性较强。</w:t>
      </w:r>
    </w:p>
    <w:p>
      <w:pPr>
        <w:pStyle w:val="ListBullet"/>
        <w:spacing w:after="80" w:line="280" w:lineRule="auto"/>
        <w:ind w:left="720" w:hanging="360"/>
      </w:pPr>
      <w:r>
        <w:t>NVIDIA 战略协议：NVIDIA 的 20 亿美元投资和多年度购买承诺提升产能扩张可见度。</w:t>
      </w:r>
    </w:p>
    <w:p>
      <w:pPr>
        <w:pStyle w:val="ListBullet"/>
        <w:spacing w:after="80" w:line="280" w:lineRule="auto"/>
        <w:ind w:left="720" w:hanging="360"/>
      </w:pPr>
      <w:r>
        <w:t>工业和材料组合：Industrial 与 SiC/材料业务提供长周期可选项，但也增加资本开支和周期复杂性。</w:t>
      </w:r>
    </w:p>
    <w:p>
      <w:pPr>
        <w:pStyle w:val="Heading1"/>
      </w:pPr>
      <w:r>
        <w:t>四、AI 光通信生态链与商业模式</w:t>
      </w:r>
    </w:p>
    <w:p>
      <w:pPr>
        <w:pStyle w:val="Heading2"/>
      </w:pPr>
      <w:r>
        <w:t>4.1 产业链映射</w:t>
      </w:r>
    </w:p>
    <w:tbl>
      <w:tblPr>
        <w:tblStyle w:val="TableGrid"/>
        <w:tblW w:type="dxa" w:w="9360"/>
        <w:jc w:val="center"/>
        <w:tblLook w:firstColumn="1" w:firstRow="1" w:lastColumn="0" w:lastRow="0" w:noHBand="0" w:noVBand="1" w:val="04A0"/>
        <w:tblInd w:w="120" w:type="dxa"/>
      </w:tblPr>
      <w:tblGrid>
        <w:gridCol w:w="1600"/>
        <w:gridCol w:w="2600"/>
        <w:gridCol w:w="3200"/>
        <w:gridCol w:w="1960"/>
      </w:tblGrid>
      <w:tr>
        <w:trPr>
          <w:tblHeader w:val="true"/>
        </w:trPr>
        <w:tc>
          <w:tcPr>
            <w:tcW w:type="dxa" w:w="1600"/>
            <w:shd w:fill="E8EEF5"/>
            <w:tcMar>
              <w:top w:w="80" w:type="dxa"/>
              <w:bottom w:w="80" w:type="dxa"/>
              <w:start w:w="120" w:type="dxa"/>
              <w:end w:w="120" w:type="dxa"/>
            </w:tcMar>
            <w:vAlign w:val="center"/>
          </w:tcPr>
          <w:p>
            <w:pPr>
              <w:jc w:val="center"/>
            </w:pPr>
            <w:r>
              <w:rPr>
                <w:b/>
                <w:sz w:val="19"/>
              </w:rPr>
              <w:t>生态环节</w:t>
            </w:r>
          </w:p>
        </w:tc>
        <w:tc>
          <w:tcPr>
            <w:tcW w:type="dxa" w:w="2600"/>
            <w:shd w:fill="E8EEF5"/>
            <w:tcMar>
              <w:top w:w="80" w:type="dxa"/>
              <w:bottom w:w="80" w:type="dxa"/>
              <w:start w:w="120" w:type="dxa"/>
              <w:end w:w="120" w:type="dxa"/>
            </w:tcMar>
            <w:vAlign w:val="center"/>
          </w:tcPr>
          <w:p>
            <w:pPr>
              <w:jc w:val="center"/>
            </w:pPr>
            <w:r>
              <w:rPr>
                <w:b/>
                <w:sz w:val="19"/>
              </w:rPr>
              <w:t>Coherent 卡位</w:t>
            </w:r>
          </w:p>
        </w:tc>
        <w:tc>
          <w:tcPr>
            <w:tcW w:type="dxa" w:w="3200"/>
            <w:shd w:fill="E8EEF5"/>
            <w:tcMar>
              <w:top w:w="80" w:type="dxa"/>
              <w:bottom w:w="80" w:type="dxa"/>
              <w:start w:w="120" w:type="dxa"/>
              <w:end w:w="120" w:type="dxa"/>
            </w:tcMar>
            <w:vAlign w:val="center"/>
          </w:tcPr>
          <w:p>
            <w:pPr>
              <w:jc w:val="center"/>
            </w:pPr>
            <w:r>
              <w:rPr>
                <w:b/>
                <w:sz w:val="19"/>
              </w:rPr>
              <w:t>受益逻辑</w:t>
            </w:r>
          </w:p>
        </w:tc>
        <w:tc>
          <w:tcPr>
            <w:tcW w:type="dxa" w:w="1960"/>
            <w:shd w:fill="E8EEF5"/>
            <w:tcMar>
              <w:top w:w="80" w:type="dxa"/>
              <w:bottom w:w="80" w:type="dxa"/>
              <w:start w:w="120" w:type="dxa"/>
              <w:end w:w="120" w:type="dxa"/>
            </w:tcMar>
            <w:vAlign w:val="center"/>
          </w:tcPr>
          <w:p>
            <w:pPr>
              <w:jc w:val="center"/>
            </w:pPr>
            <w:r>
              <w:rPr>
                <w:b/>
                <w:sz w:val="19"/>
              </w:rPr>
              <w:t>主要约束</w:t>
            </w:r>
          </w:p>
        </w:tc>
      </w:tr>
      <w:tr>
        <w:tc>
          <w:tcPr>
            <w:tcW w:type="dxa" w:w="1600"/>
            <w:tcMar>
              <w:top w:w="80" w:type="dxa"/>
              <w:bottom w:w="80" w:type="dxa"/>
              <w:start w:w="120" w:type="dxa"/>
              <w:end w:w="120" w:type="dxa"/>
            </w:tcMar>
            <w:vAlign w:val="center"/>
          </w:tcPr>
          <w:p>
            <w:pPr>
              <w:jc w:val="center"/>
            </w:pPr>
            <w:r>
              <w:rPr>
                <w:sz w:val="19"/>
              </w:rPr>
              <w:t>GPU/ASIC 集群互联</w:t>
            </w:r>
          </w:p>
        </w:tc>
        <w:tc>
          <w:tcPr>
            <w:tcW w:type="dxa" w:w="2600"/>
            <w:tcMar>
              <w:top w:w="80" w:type="dxa"/>
              <w:bottom w:w="80" w:type="dxa"/>
              <w:start w:w="120" w:type="dxa"/>
              <w:end w:w="120" w:type="dxa"/>
            </w:tcMar>
            <w:vAlign w:val="center"/>
          </w:tcPr>
          <w:p>
            <w:pPr>
              <w:jc w:val="left"/>
            </w:pPr>
            <w:r>
              <w:rPr>
                <w:sz w:val="19"/>
              </w:rPr>
              <w:t>高速光收发器、激光器和光器件</w:t>
            </w:r>
          </w:p>
        </w:tc>
        <w:tc>
          <w:tcPr>
            <w:tcW w:type="dxa" w:w="3200"/>
            <w:tcMar>
              <w:top w:w="80" w:type="dxa"/>
              <w:bottom w:w="80" w:type="dxa"/>
              <w:start w:w="120" w:type="dxa"/>
              <w:end w:w="120" w:type="dxa"/>
            </w:tcMar>
            <w:vAlign w:val="center"/>
          </w:tcPr>
          <w:p>
            <w:pPr>
              <w:jc w:val="left"/>
            </w:pPr>
            <w:r>
              <w:rPr>
                <w:sz w:val="19"/>
              </w:rPr>
              <w:t>GPU 数量越多，节点间带宽和功耗压力越大</w:t>
            </w:r>
          </w:p>
        </w:tc>
        <w:tc>
          <w:tcPr>
            <w:tcW w:type="dxa" w:w="1960"/>
            <w:tcMar>
              <w:top w:w="80" w:type="dxa"/>
              <w:bottom w:w="80" w:type="dxa"/>
              <w:start w:w="120" w:type="dxa"/>
              <w:end w:w="120" w:type="dxa"/>
            </w:tcMar>
            <w:vAlign w:val="center"/>
          </w:tcPr>
          <w:p>
            <w:pPr>
              <w:jc w:val="left"/>
            </w:pPr>
            <w:r>
              <w:rPr>
                <w:sz w:val="19"/>
              </w:rPr>
              <w:t>客户认证、价格竞争和规格迭代快</w:t>
            </w:r>
          </w:p>
        </w:tc>
      </w:tr>
      <w:tr>
        <w:tc>
          <w:tcPr>
            <w:tcW w:type="dxa" w:w="1600"/>
            <w:tcMar>
              <w:top w:w="80" w:type="dxa"/>
              <w:bottom w:w="80" w:type="dxa"/>
              <w:start w:w="120" w:type="dxa"/>
              <w:end w:w="120" w:type="dxa"/>
            </w:tcMar>
            <w:vAlign w:val="center"/>
          </w:tcPr>
          <w:p>
            <w:pPr>
              <w:jc w:val="center"/>
            </w:pPr>
            <w:r>
              <w:rPr>
                <w:sz w:val="19"/>
              </w:rPr>
              <w:t>数据中心互联</w:t>
            </w:r>
          </w:p>
        </w:tc>
        <w:tc>
          <w:tcPr>
            <w:tcW w:type="dxa" w:w="2600"/>
            <w:tcMar>
              <w:top w:w="80" w:type="dxa"/>
              <w:bottom w:w="80" w:type="dxa"/>
              <w:start w:w="120" w:type="dxa"/>
              <w:end w:w="120" w:type="dxa"/>
            </w:tcMar>
            <w:vAlign w:val="center"/>
          </w:tcPr>
          <w:p>
            <w:pPr>
              <w:jc w:val="left"/>
            </w:pPr>
            <w:r>
              <w:rPr>
                <w:sz w:val="19"/>
              </w:rPr>
              <w:t>ZR/ZR+、DCI 和 telecom transport 产品</w:t>
            </w:r>
          </w:p>
        </w:tc>
        <w:tc>
          <w:tcPr>
            <w:tcW w:type="dxa" w:w="3200"/>
            <w:tcMar>
              <w:top w:w="80" w:type="dxa"/>
              <w:bottom w:w="80" w:type="dxa"/>
              <w:start w:w="120" w:type="dxa"/>
              <w:end w:w="120" w:type="dxa"/>
            </w:tcMar>
            <w:vAlign w:val="center"/>
          </w:tcPr>
          <w:p>
            <w:pPr>
              <w:jc w:val="left"/>
            </w:pPr>
            <w:r>
              <w:rPr>
                <w:sz w:val="19"/>
              </w:rPr>
              <w:t>AI 数据中心之间需要高容量光传输</w:t>
            </w:r>
          </w:p>
        </w:tc>
        <w:tc>
          <w:tcPr>
            <w:tcW w:type="dxa" w:w="1960"/>
            <w:tcMar>
              <w:top w:w="80" w:type="dxa"/>
              <w:bottom w:w="80" w:type="dxa"/>
              <w:start w:w="120" w:type="dxa"/>
              <w:end w:w="120" w:type="dxa"/>
            </w:tcMar>
            <w:vAlign w:val="center"/>
          </w:tcPr>
          <w:p>
            <w:pPr>
              <w:jc w:val="left"/>
            </w:pPr>
            <w:r>
              <w:rPr>
                <w:sz w:val="19"/>
              </w:rPr>
              <w:t>电信周期与云资本开支波动</w:t>
            </w:r>
          </w:p>
        </w:tc>
      </w:tr>
      <w:tr>
        <w:tc>
          <w:tcPr>
            <w:tcW w:type="dxa" w:w="1600"/>
            <w:tcMar>
              <w:top w:w="80" w:type="dxa"/>
              <w:bottom w:w="80" w:type="dxa"/>
              <w:start w:w="120" w:type="dxa"/>
              <w:end w:w="120" w:type="dxa"/>
            </w:tcMar>
            <w:vAlign w:val="center"/>
          </w:tcPr>
          <w:p>
            <w:pPr>
              <w:jc w:val="center"/>
            </w:pPr>
            <w:r>
              <w:rPr>
                <w:sz w:val="19"/>
              </w:rPr>
              <w:t>InP 产能</w:t>
            </w:r>
          </w:p>
        </w:tc>
        <w:tc>
          <w:tcPr>
            <w:tcW w:type="dxa" w:w="2600"/>
            <w:tcMar>
              <w:top w:w="80" w:type="dxa"/>
              <w:bottom w:w="80" w:type="dxa"/>
              <w:start w:w="120" w:type="dxa"/>
              <w:end w:w="120" w:type="dxa"/>
            </w:tcMar>
            <w:vAlign w:val="center"/>
          </w:tcPr>
          <w:p>
            <w:pPr>
              <w:jc w:val="left"/>
            </w:pPr>
            <w:r>
              <w:rPr>
                <w:sz w:val="19"/>
              </w:rPr>
              <w:t>Sherman InP 扩产、先进激光器和光芯片</w:t>
            </w:r>
          </w:p>
        </w:tc>
        <w:tc>
          <w:tcPr>
            <w:tcW w:type="dxa" w:w="3200"/>
            <w:tcMar>
              <w:top w:w="80" w:type="dxa"/>
              <w:bottom w:w="80" w:type="dxa"/>
              <w:start w:w="120" w:type="dxa"/>
              <w:end w:w="120" w:type="dxa"/>
            </w:tcMar>
            <w:vAlign w:val="center"/>
          </w:tcPr>
          <w:p>
            <w:pPr>
              <w:jc w:val="left"/>
            </w:pPr>
            <w:r>
              <w:rPr>
                <w:sz w:val="19"/>
              </w:rPr>
              <w:t>InP 短缺使产能成为稀缺资产</w:t>
            </w:r>
          </w:p>
        </w:tc>
        <w:tc>
          <w:tcPr>
            <w:tcW w:type="dxa" w:w="1960"/>
            <w:tcMar>
              <w:top w:w="80" w:type="dxa"/>
              <w:bottom w:w="80" w:type="dxa"/>
              <w:start w:w="120" w:type="dxa"/>
              <w:end w:w="120" w:type="dxa"/>
            </w:tcMar>
            <w:vAlign w:val="center"/>
          </w:tcPr>
          <w:p>
            <w:pPr>
              <w:jc w:val="left"/>
            </w:pPr>
            <w:r>
              <w:rPr>
                <w:sz w:val="19"/>
              </w:rPr>
              <w:t>资本开支高，爬坡期良率和交付风险高</w:t>
            </w:r>
          </w:p>
        </w:tc>
      </w:tr>
      <w:tr>
        <w:tc>
          <w:tcPr>
            <w:tcW w:type="dxa" w:w="1600"/>
            <w:tcMar>
              <w:top w:w="80" w:type="dxa"/>
              <w:bottom w:w="80" w:type="dxa"/>
              <w:start w:w="120" w:type="dxa"/>
              <w:end w:w="120" w:type="dxa"/>
            </w:tcMar>
            <w:vAlign w:val="center"/>
          </w:tcPr>
          <w:p>
            <w:pPr>
              <w:jc w:val="center"/>
            </w:pPr>
            <w:r>
              <w:rPr>
                <w:sz w:val="19"/>
              </w:rPr>
              <w:t>工业激光</w:t>
            </w:r>
          </w:p>
        </w:tc>
        <w:tc>
          <w:tcPr>
            <w:tcW w:type="dxa" w:w="2600"/>
            <w:tcMar>
              <w:top w:w="80" w:type="dxa"/>
              <w:bottom w:w="80" w:type="dxa"/>
              <w:start w:w="120" w:type="dxa"/>
              <w:end w:w="120" w:type="dxa"/>
            </w:tcMar>
            <w:vAlign w:val="center"/>
          </w:tcPr>
          <w:p>
            <w:pPr>
              <w:jc w:val="left"/>
            </w:pPr>
            <w:r>
              <w:rPr>
                <w:sz w:val="19"/>
              </w:rPr>
              <w:t>材料加工、显示、半导体设备和精密制造</w:t>
            </w:r>
          </w:p>
        </w:tc>
        <w:tc>
          <w:tcPr>
            <w:tcW w:type="dxa" w:w="3200"/>
            <w:tcMar>
              <w:top w:w="80" w:type="dxa"/>
              <w:bottom w:w="80" w:type="dxa"/>
              <w:start w:w="120" w:type="dxa"/>
              <w:end w:w="120" w:type="dxa"/>
            </w:tcMar>
            <w:vAlign w:val="center"/>
          </w:tcPr>
          <w:p>
            <w:pPr>
              <w:jc w:val="left"/>
            </w:pPr>
            <w:r>
              <w:rPr>
                <w:sz w:val="19"/>
              </w:rPr>
              <w:t>提供非 AI 现金流和技术外溢</w:t>
            </w:r>
          </w:p>
        </w:tc>
        <w:tc>
          <w:tcPr>
            <w:tcW w:type="dxa" w:w="1960"/>
            <w:tcMar>
              <w:top w:w="80" w:type="dxa"/>
              <w:bottom w:w="80" w:type="dxa"/>
              <w:start w:w="120" w:type="dxa"/>
              <w:end w:w="120" w:type="dxa"/>
            </w:tcMar>
            <w:vAlign w:val="center"/>
          </w:tcPr>
          <w:p>
            <w:pPr>
              <w:jc w:val="left"/>
            </w:pPr>
            <w:r>
              <w:rPr>
                <w:sz w:val="19"/>
              </w:rPr>
              <w:t>工业周期、资产出售和订单波动</w:t>
            </w:r>
          </w:p>
        </w:tc>
      </w:tr>
      <w:tr>
        <w:tc>
          <w:tcPr>
            <w:tcW w:type="dxa" w:w="1600"/>
            <w:tcMar>
              <w:top w:w="80" w:type="dxa"/>
              <w:bottom w:w="80" w:type="dxa"/>
              <w:start w:w="120" w:type="dxa"/>
              <w:end w:w="120" w:type="dxa"/>
            </w:tcMar>
            <w:vAlign w:val="center"/>
          </w:tcPr>
          <w:p>
            <w:pPr>
              <w:jc w:val="center"/>
            </w:pPr>
            <w:r>
              <w:rPr>
                <w:sz w:val="19"/>
              </w:rPr>
              <w:t>SiC/材料</w:t>
            </w:r>
          </w:p>
        </w:tc>
        <w:tc>
          <w:tcPr>
            <w:tcW w:type="dxa" w:w="2600"/>
            <w:tcMar>
              <w:top w:w="80" w:type="dxa"/>
              <w:bottom w:w="80" w:type="dxa"/>
              <w:start w:w="120" w:type="dxa"/>
              <w:end w:w="120" w:type="dxa"/>
            </w:tcMar>
            <w:vAlign w:val="center"/>
          </w:tcPr>
          <w:p>
            <w:pPr>
              <w:jc w:val="left"/>
            </w:pPr>
            <w:r>
              <w:rPr>
                <w:sz w:val="19"/>
              </w:rPr>
              <w:t>功率半导体材料和先进材料</w:t>
            </w:r>
          </w:p>
        </w:tc>
        <w:tc>
          <w:tcPr>
            <w:tcW w:type="dxa" w:w="3200"/>
            <w:tcMar>
              <w:top w:w="80" w:type="dxa"/>
              <w:bottom w:w="80" w:type="dxa"/>
              <w:start w:w="120" w:type="dxa"/>
              <w:end w:w="120" w:type="dxa"/>
            </w:tcMar>
            <w:vAlign w:val="center"/>
          </w:tcPr>
          <w:p>
            <w:pPr>
              <w:jc w:val="left"/>
            </w:pPr>
            <w:r>
              <w:rPr>
                <w:sz w:val="19"/>
              </w:rPr>
              <w:t>长期市场空间大，可获得外部投资</w:t>
            </w:r>
          </w:p>
        </w:tc>
        <w:tc>
          <w:tcPr>
            <w:tcW w:type="dxa" w:w="1960"/>
            <w:tcMar>
              <w:top w:w="80" w:type="dxa"/>
              <w:bottom w:w="80" w:type="dxa"/>
              <w:start w:w="120" w:type="dxa"/>
              <w:end w:w="120" w:type="dxa"/>
            </w:tcMar>
            <w:vAlign w:val="center"/>
          </w:tcPr>
          <w:p>
            <w:pPr>
              <w:jc w:val="left"/>
            </w:pPr>
            <w:r>
              <w:rPr>
                <w:sz w:val="19"/>
              </w:rPr>
              <w:t>资本密集、竞争强、回报周期长</w:t>
            </w:r>
          </w:p>
        </w:tc>
      </w:tr>
    </w:tbl>
    <w:p/>
    <w:p>
      <w:pPr>
        <w:pStyle w:val="Heading2"/>
      </w:pPr>
      <w:r>
        <w:t>4.2 业务模式详解</w:t>
      </w:r>
    </w:p>
    <w:p>
      <w:pPr>
        <w:spacing w:after="120" w:line="264" w:lineRule="auto"/>
      </w:pPr>
      <w:r>
        <w:rPr>
          <w:sz w:val="22"/>
        </w:rPr>
        <w:t>Coherent 的商业模式不是轻资产软件，也不是完全 fabless，而是材料、器件、模块和系统制造的垂直整合模式。公司通过材料工艺、光芯片、激光器、光学组件和模块交付获取收入，收入随客户资本开支和产品代际升级波动；利润取决于产能利用率、良率、产品 mix、定价、库存和工厂效率。</w:t>
      </w:r>
    </w:p>
    <w:p>
      <w:pPr>
        <w:spacing w:after="120" w:line="264" w:lineRule="auto"/>
      </w:pPr>
      <w:r>
        <w:rPr>
          <w:sz w:val="22"/>
        </w:rPr>
        <w:t>AI 光模块业务具备高增长但也有硬件周期属性：客户需求强时，产能和良率带来经营杠杆；当需求转弱或价格下降时，库存、折旧和固定成本会放大利润压力。因此 Coherent 的估值质量取决于 AI 收入能否转化为持续毛利率改善和现金流，而不只是收入同比增长。</w:t>
      </w:r>
    </w:p>
    <w:tbl>
      <w:tblPr>
        <w:tblStyle w:val="TableGrid"/>
        <w:tblW w:type="dxa" w:w="9360"/>
        <w:jc w:val="center"/>
        <w:tblLook w:firstColumn="1" w:firstRow="1" w:lastColumn="0" w:lastRow="0" w:noHBand="0" w:noVBand="1" w:val="04A0"/>
        <w:tblInd w:w="120" w:type="dxa"/>
      </w:tblPr>
      <w:tblGrid>
        <w:gridCol w:w="1800"/>
        <w:gridCol w:w="3800"/>
        <w:gridCol w:w="3760"/>
      </w:tblGrid>
      <w:tr>
        <w:trPr>
          <w:tblHeader w:val="true"/>
        </w:trPr>
        <w:tc>
          <w:tcPr>
            <w:tcW w:type="dxa" w:w="1800"/>
            <w:shd w:fill="F2F4F7"/>
            <w:tcMar>
              <w:top w:w="80" w:type="dxa"/>
              <w:bottom w:w="80" w:type="dxa"/>
              <w:start w:w="120" w:type="dxa"/>
              <w:end w:w="120" w:type="dxa"/>
            </w:tcMar>
            <w:vAlign w:val="center"/>
          </w:tcPr>
          <w:p>
            <w:pPr>
              <w:jc w:val="center"/>
            </w:pPr>
            <w:r>
              <w:rPr>
                <w:b/>
                <w:sz w:val="19"/>
              </w:rPr>
              <w:t>收入池</w:t>
            </w:r>
          </w:p>
        </w:tc>
        <w:tc>
          <w:tcPr>
            <w:tcW w:type="dxa" w:w="3800"/>
            <w:shd w:fill="F2F4F7"/>
            <w:tcMar>
              <w:top w:w="80" w:type="dxa"/>
              <w:bottom w:w="80" w:type="dxa"/>
              <w:start w:w="120" w:type="dxa"/>
              <w:end w:w="120" w:type="dxa"/>
            </w:tcMar>
            <w:vAlign w:val="center"/>
          </w:tcPr>
          <w:p>
            <w:pPr>
              <w:jc w:val="center"/>
            </w:pPr>
            <w:r>
              <w:rPr>
                <w:b/>
                <w:sz w:val="19"/>
              </w:rPr>
              <w:t>价值来源</w:t>
            </w:r>
          </w:p>
        </w:tc>
        <w:tc>
          <w:tcPr>
            <w:tcW w:type="dxa" w:w="3760"/>
            <w:shd w:fill="F2F4F7"/>
            <w:tcMar>
              <w:top w:w="80" w:type="dxa"/>
              <w:bottom w:w="80" w:type="dxa"/>
              <w:start w:w="120" w:type="dxa"/>
              <w:end w:w="120" w:type="dxa"/>
            </w:tcMar>
            <w:vAlign w:val="center"/>
          </w:tcPr>
          <w:p>
            <w:pPr>
              <w:jc w:val="center"/>
            </w:pPr>
            <w:r>
              <w:rPr>
                <w:b/>
                <w:sz w:val="19"/>
              </w:rPr>
              <w:t>利润/现金流特征</w:t>
            </w:r>
          </w:p>
        </w:tc>
      </w:tr>
      <w:tr>
        <w:tc>
          <w:tcPr>
            <w:tcW w:type="dxa" w:w="1800"/>
            <w:tcMar>
              <w:top w:w="80" w:type="dxa"/>
              <w:bottom w:w="80" w:type="dxa"/>
              <w:start w:w="120" w:type="dxa"/>
              <w:end w:w="120" w:type="dxa"/>
            </w:tcMar>
            <w:vAlign w:val="center"/>
          </w:tcPr>
          <w:p>
            <w:pPr>
              <w:jc w:val="center"/>
            </w:pPr>
            <w:r>
              <w:rPr>
                <w:sz w:val="19"/>
              </w:rPr>
              <w:t>AI 光收发器</w:t>
            </w:r>
          </w:p>
        </w:tc>
        <w:tc>
          <w:tcPr>
            <w:tcW w:type="dxa" w:w="3800"/>
            <w:tcMar>
              <w:top w:w="80" w:type="dxa"/>
              <w:bottom w:w="80" w:type="dxa"/>
              <w:start w:w="120" w:type="dxa"/>
              <w:end w:w="120" w:type="dxa"/>
            </w:tcMar>
            <w:vAlign w:val="center"/>
          </w:tcPr>
          <w:p>
            <w:pPr>
              <w:jc w:val="left"/>
            </w:pPr>
            <w:r>
              <w:rPr>
                <w:sz w:val="19"/>
              </w:rPr>
              <w:t>高速传输、低功耗、客户认证和交付能力</w:t>
            </w:r>
          </w:p>
        </w:tc>
        <w:tc>
          <w:tcPr>
            <w:tcW w:type="dxa" w:w="3760"/>
            <w:tcMar>
              <w:top w:w="80" w:type="dxa"/>
              <w:bottom w:w="80" w:type="dxa"/>
              <w:start w:w="120" w:type="dxa"/>
              <w:end w:w="120" w:type="dxa"/>
            </w:tcMar>
            <w:vAlign w:val="center"/>
          </w:tcPr>
          <w:p>
            <w:pPr>
              <w:jc w:val="left"/>
            </w:pPr>
            <w:r>
              <w:rPr>
                <w:sz w:val="19"/>
              </w:rPr>
              <w:t>增长弹性最大，受价格和规格迭代影响</w:t>
            </w:r>
          </w:p>
        </w:tc>
      </w:tr>
      <w:tr>
        <w:tc>
          <w:tcPr>
            <w:tcW w:type="dxa" w:w="1800"/>
            <w:tcMar>
              <w:top w:w="80" w:type="dxa"/>
              <w:bottom w:w="80" w:type="dxa"/>
              <w:start w:w="120" w:type="dxa"/>
              <w:end w:w="120" w:type="dxa"/>
            </w:tcMar>
            <w:vAlign w:val="center"/>
          </w:tcPr>
          <w:p>
            <w:pPr>
              <w:jc w:val="center"/>
            </w:pPr>
            <w:r>
              <w:rPr>
                <w:sz w:val="19"/>
              </w:rPr>
              <w:t>InP 激光器/光芯片</w:t>
            </w:r>
          </w:p>
        </w:tc>
        <w:tc>
          <w:tcPr>
            <w:tcW w:type="dxa" w:w="3800"/>
            <w:tcMar>
              <w:top w:w="80" w:type="dxa"/>
              <w:bottom w:w="80" w:type="dxa"/>
              <w:start w:w="120" w:type="dxa"/>
              <w:end w:w="120" w:type="dxa"/>
            </w:tcMar>
            <w:vAlign w:val="center"/>
          </w:tcPr>
          <w:p>
            <w:pPr>
              <w:jc w:val="left"/>
            </w:pPr>
            <w:r>
              <w:rPr>
                <w:sz w:val="19"/>
              </w:rPr>
              <w:t>光模块核心瓶颈和垂直整合能力</w:t>
            </w:r>
          </w:p>
        </w:tc>
        <w:tc>
          <w:tcPr>
            <w:tcW w:type="dxa" w:w="3760"/>
            <w:tcMar>
              <w:top w:w="80" w:type="dxa"/>
              <w:bottom w:w="80" w:type="dxa"/>
              <w:start w:w="120" w:type="dxa"/>
              <w:end w:w="120" w:type="dxa"/>
            </w:tcMar>
            <w:vAlign w:val="center"/>
          </w:tcPr>
          <w:p>
            <w:pPr>
              <w:jc w:val="left"/>
            </w:pPr>
            <w:r>
              <w:rPr>
                <w:sz w:val="19"/>
              </w:rPr>
              <w:t>毛利弹性较好，但资本开支和良率风险高</w:t>
            </w:r>
          </w:p>
        </w:tc>
      </w:tr>
      <w:tr>
        <w:tc>
          <w:tcPr>
            <w:tcW w:type="dxa" w:w="1800"/>
            <w:tcMar>
              <w:top w:w="80" w:type="dxa"/>
              <w:bottom w:w="80" w:type="dxa"/>
              <w:start w:w="120" w:type="dxa"/>
              <w:end w:w="120" w:type="dxa"/>
            </w:tcMar>
            <w:vAlign w:val="center"/>
          </w:tcPr>
          <w:p>
            <w:pPr>
              <w:jc w:val="center"/>
            </w:pPr>
            <w:r>
              <w:rPr>
                <w:sz w:val="19"/>
              </w:rPr>
              <w:t>传统通信</w:t>
            </w:r>
          </w:p>
        </w:tc>
        <w:tc>
          <w:tcPr>
            <w:tcW w:type="dxa" w:w="3800"/>
            <w:tcMar>
              <w:top w:w="80" w:type="dxa"/>
              <w:bottom w:w="80" w:type="dxa"/>
              <w:start w:w="120" w:type="dxa"/>
              <w:end w:w="120" w:type="dxa"/>
            </w:tcMar>
            <w:vAlign w:val="center"/>
          </w:tcPr>
          <w:p>
            <w:pPr>
              <w:jc w:val="left"/>
            </w:pPr>
            <w:r>
              <w:rPr>
                <w:sz w:val="19"/>
              </w:rPr>
              <w:t>DCI、telecom transport、ZR/ZR+ 产品</w:t>
            </w:r>
          </w:p>
        </w:tc>
        <w:tc>
          <w:tcPr>
            <w:tcW w:type="dxa" w:w="3760"/>
            <w:tcMar>
              <w:top w:w="80" w:type="dxa"/>
              <w:bottom w:w="80" w:type="dxa"/>
              <w:start w:w="120" w:type="dxa"/>
              <w:end w:w="120" w:type="dxa"/>
            </w:tcMar>
            <w:vAlign w:val="center"/>
          </w:tcPr>
          <w:p>
            <w:pPr>
              <w:jc w:val="left"/>
            </w:pPr>
            <w:r>
              <w:rPr>
                <w:sz w:val="19"/>
              </w:rPr>
              <w:t>与 AI 有协同，但周期和库存波动明显</w:t>
            </w:r>
          </w:p>
        </w:tc>
      </w:tr>
      <w:tr>
        <w:tc>
          <w:tcPr>
            <w:tcW w:type="dxa" w:w="1800"/>
            <w:tcMar>
              <w:top w:w="80" w:type="dxa"/>
              <w:bottom w:w="80" w:type="dxa"/>
              <w:start w:w="120" w:type="dxa"/>
              <w:end w:w="120" w:type="dxa"/>
            </w:tcMar>
            <w:vAlign w:val="center"/>
          </w:tcPr>
          <w:p>
            <w:pPr>
              <w:jc w:val="center"/>
            </w:pPr>
            <w:r>
              <w:rPr>
                <w:sz w:val="19"/>
              </w:rPr>
              <w:t>Industrial</w:t>
            </w:r>
          </w:p>
        </w:tc>
        <w:tc>
          <w:tcPr>
            <w:tcW w:type="dxa" w:w="3800"/>
            <w:tcMar>
              <w:top w:w="80" w:type="dxa"/>
              <w:bottom w:w="80" w:type="dxa"/>
              <w:start w:w="120" w:type="dxa"/>
              <w:end w:w="120" w:type="dxa"/>
            </w:tcMar>
            <w:vAlign w:val="center"/>
          </w:tcPr>
          <w:p>
            <w:pPr>
              <w:jc w:val="left"/>
            </w:pPr>
            <w:r>
              <w:rPr>
                <w:sz w:val="19"/>
              </w:rPr>
              <w:t>半导体设备、显示、精密制造和激光系统</w:t>
            </w:r>
          </w:p>
        </w:tc>
        <w:tc>
          <w:tcPr>
            <w:tcW w:type="dxa" w:w="3760"/>
            <w:tcMar>
              <w:top w:w="80" w:type="dxa"/>
              <w:bottom w:w="80" w:type="dxa"/>
              <w:start w:w="120" w:type="dxa"/>
              <w:end w:w="120" w:type="dxa"/>
            </w:tcMar>
            <w:vAlign w:val="center"/>
          </w:tcPr>
          <w:p>
            <w:pPr>
              <w:jc w:val="left"/>
            </w:pPr>
            <w:r>
              <w:rPr>
                <w:sz w:val="19"/>
              </w:rPr>
              <w:t>利润率可观，但短期受剥离资产影响</w:t>
            </w:r>
          </w:p>
        </w:tc>
      </w:tr>
      <w:tr>
        <w:tc>
          <w:tcPr>
            <w:tcW w:type="dxa" w:w="1800"/>
            <w:tcMar>
              <w:top w:w="80" w:type="dxa"/>
              <w:bottom w:w="80" w:type="dxa"/>
              <w:start w:w="120" w:type="dxa"/>
              <w:end w:w="120" w:type="dxa"/>
            </w:tcMar>
            <w:vAlign w:val="center"/>
          </w:tcPr>
          <w:p>
            <w:pPr>
              <w:jc w:val="center"/>
            </w:pPr>
            <w:r>
              <w:rPr>
                <w:sz w:val="19"/>
              </w:rPr>
              <w:t>SiC/材料</w:t>
            </w:r>
          </w:p>
        </w:tc>
        <w:tc>
          <w:tcPr>
            <w:tcW w:type="dxa" w:w="3800"/>
            <w:tcMar>
              <w:top w:w="80" w:type="dxa"/>
              <w:bottom w:w="80" w:type="dxa"/>
              <w:start w:w="120" w:type="dxa"/>
              <w:end w:w="120" w:type="dxa"/>
            </w:tcMar>
            <w:vAlign w:val="center"/>
          </w:tcPr>
          <w:p>
            <w:pPr>
              <w:jc w:val="left"/>
            </w:pPr>
            <w:r>
              <w:rPr>
                <w:sz w:val="19"/>
              </w:rPr>
              <w:t>功率器件材料和先进材料平台</w:t>
            </w:r>
          </w:p>
        </w:tc>
        <w:tc>
          <w:tcPr>
            <w:tcW w:type="dxa" w:w="3760"/>
            <w:tcMar>
              <w:top w:w="80" w:type="dxa"/>
              <w:bottom w:w="80" w:type="dxa"/>
              <w:start w:w="120" w:type="dxa"/>
              <w:end w:w="120" w:type="dxa"/>
            </w:tcMar>
            <w:vAlign w:val="center"/>
          </w:tcPr>
          <w:p>
            <w:pPr>
              <w:jc w:val="left"/>
            </w:pPr>
            <w:r>
              <w:rPr>
                <w:sz w:val="19"/>
              </w:rPr>
              <w:t>长期可选项，资本占用高，回报周期长</w:t>
            </w:r>
          </w:p>
        </w:tc>
      </w:tr>
    </w:tbl>
    <w:p/>
    <w:p>
      <w:pPr>
        <w:pStyle w:val="Heading2"/>
      </w:pPr>
      <w:r>
        <w:t>4.3 客户结构</w:t>
      </w:r>
    </w:p>
    <w:p>
      <w:pPr>
        <w:spacing w:after="120" w:line="264" w:lineRule="auto"/>
      </w:pPr>
      <w:r>
        <w:rPr>
          <w:sz w:val="22"/>
        </w:rPr>
        <w:t>Coherent 的客户包括 hyperscale 云厂商、AI 基础设施客户、NVIDIA 等平台方、网络设备商、电信运营商、半导体设备客户、工业制造客户和材料客户。AI datacenter 阶段，大客户规格、交付节奏和采购承诺会放大季度波动；工业和材料客户则提供更分散的需求基础。</w:t>
      </w:r>
    </w:p>
    <w:p>
      <w:pPr>
        <w:pStyle w:val="Heading1"/>
      </w:pPr>
      <w:r>
        <w:t>五、行业竞争格局</w:t>
      </w:r>
    </w:p>
    <w:p>
      <w:pPr>
        <w:pStyle w:val="Heading2"/>
      </w:pPr>
      <w:r>
        <w:t>5.1 竞争者矩阵</w:t>
      </w:r>
    </w:p>
    <w:tbl>
      <w:tblPr>
        <w:tblStyle w:val="TableGrid"/>
        <w:tblW w:type="dxa" w:w="9360"/>
        <w:jc w:val="center"/>
        <w:tblLook w:firstColumn="1" w:firstRow="1" w:lastColumn="0" w:lastRow="0" w:noHBand="0" w:noVBand="1" w:val="04A0"/>
        <w:tblInd w:w="120" w:type="dxa"/>
      </w:tblPr>
      <w:tblGrid>
        <w:gridCol w:w="1600"/>
        <w:gridCol w:w="2500"/>
        <w:gridCol w:w="3000"/>
        <w:gridCol w:w="2260"/>
      </w:tblGrid>
      <w:tr>
        <w:trPr>
          <w:tblHeader w:val="true"/>
        </w:trPr>
        <w:tc>
          <w:tcPr>
            <w:tcW w:type="dxa" w:w="1600"/>
            <w:shd w:fill="F2F4F7"/>
            <w:tcMar>
              <w:top w:w="80" w:type="dxa"/>
              <w:bottom w:w="80" w:type="dxa"/>
              <w:start w:w="120" w:type="dxa"/>
              <w:end w:w="120" w:type="dxa"/>
            </w:tcMar>
            <w:vAlign w:val="center"/>
          </w:tcPr>
          <w:p>
            <w:pPr>
              <w:jc w:val="center"/>
            </w:pPr>
            <w:r>
              <w:rPr>
                <w:b/>
                <w:sz w:val="19"/>
              </w:rPr>
              <w:t>领域</w:t>
            </w:r>
          </w:p>
        </w:tc>
        <w:tc>
          <w:tcPr>
            <w:tcW w:type="dxa" w:w="2500"/>
            <w:shd w:fill="F2F4F7"/>
            <w:tcMar>
              <w:top w:w="80" w:type="dxa"/>
              <w:bottom w:w="80" w:type="dxa"/>
              <w:start w:w="120" w:type="dxa"/>
              <w:end w:w="120" w:type="dxa"/>
            </w:tcMar>
            <w:vAlign w:val="center"/>
          </w:tcPr>
          <w:p>
            <w:pPr>
              <w:jc w:val="center"/>
            </w:pPr>
            <w:r>
              <w:rPr>
                <w:b/>
                <w:sz w:val="19"/>
              </w:rPr>
              <w:t>主要竞争者</w:t>
            </w:r>
          </w:p>
        </w:tc>
        <w:tc>
          <w:tcPr>
            <w:tcW w:type="dxa" w:w="3000"/>
            <w:shd w:fill="F2F4F7"/>
            <w:tcMar>
              <w:top w:w="80" w:type="dxa"/>
              <w:bottom w:w="80" w:type="dxa"/>
              <w:start w:w="120" w:type="dxa"/>
              <w:end w:w="120" w:type="dxa"/>
            </w:tcMar>
            <w:vAlign w:val="center"/>
          </w:tcPr>
          <w:p>
            <w:pPr>
              <w:jc w:val="center"/>
            </w:pPr>
            <w:r>
              <w:rPr>
                <w:b/>
                <w:sz w:val="19"/>
              </w:rPr>
              <w:t>Coherent 优势</w:t>
            </w:r>
          </w:p>
        </w:tc>
        <w:tc>
          <w:tcPr>
            <w:tcW w:type="dxa" w:w="2260"/>
            <w:shd w:fill="F2F4F7"/>
            <w:tcMar>
              <w:top w:w="80" w:type="dxa"/>
              <w:bottom w:w="80" w:type="dxa"/>
              <w:start w:w="120" w:type="dxa"/>
              <w:end w:w="120" w:type="dxa"/>
            </w:tcMar>
            <w:vAlign w:val="center"/>
          </w:tcPr>
          <w:p>
            <w:pPr>
              <w:jc w:val="center"/>
            </w:pPr>
            <w:r>
              <w:rPr>
                <w:b/>
                <w:sz w:val="19"/>
              </w:rPr>
              <w:t>主要压力</w:t>
            </w:r>
          </w:p>
        </w:tc>
      </w:tr>
      <w:tr>
        <w:tc>
          <w:tcPr>
            <w:tcW w:type="dxa" w:w="1600"/>
            <w:tcMar>
              <w:top w:w="80" w:type="dxa"/>
              <w:bottom w:w="80" w:type="dxa"/>
              <w:start w:w="120" w:type="dxa"/>
              <w:end w:w="120" w:type="dxa"/>
            </w:tcMar>
            <w:vAlign w:val="center"/>
          </w:tcPr>
          <w:p>
            <w:pPr>
              <w:jc w:val="center"/>
            </w:pPr>
            <w:r>
              <w:rPr>
                <w:sz w:val="19"/>
              </w:rPr>
              <w:t>AI 光模块</w:t>
            </w:r>
          </w:p>
        </w:tc>
        <w:tc>
          <w:tcPr>
            <w:tcW w:type="dxa" w:w="2500"/>
            <w:tcMar>
              <w:top w:w="80" w:type="dxa"/>
              <w:bottom w:w="80" w:type="dxa"/>
              <w:start w:w="120" w:type="dxa"/>
              <w:end w:w="120" w:type="dxa"/>
            </w:tcMar>
            <w:vAlign w:val="center"/>
          </w:tcPr>
          <w:p>
            <w:pPr>
              <w:jc w:val="left"/>
            </w:pPr>
            <w:r>
              <w:rPr>
                <w:sz w:val="19"/>
              </w:rPr>
              <w:t>Lumentum、Innolight、中际旭创、新易盛、Fabrinet 生态、博通/Marvell 周边方案</w:t>
            </w:r>
          </w:p>
        </w:tc>
        <w:tc>
          <w:tcPr>
            <w:tcW w:type="dxa" w:w="3000"/>
            <w:tcMar>
              <w:top w:w="80" w:type="dxa"/>
              <w:bottom w:w="80" w:type="dxa"/>
              <w:start w:w="120" w:type="dxa"/>
              <w:end w:w="120" w:type="dxa"/>
            </w:tcMar>
            <w:vAlign w:val="center"/>
          </w:tcPr>
          <w:p>
            <w:pPr>
              <w:jc w:val="left"/>
            </w:pPr>
            <w:r>
              <w:rPr>
                <w:sz w:val="19"/>
              </w:rPr>
              <w:t>InP、激光器、垂直整合、NVIDIA 协议</w:t>
            </w:r>
          </w:p>
        </w:tc>
        <w:tc>
          <w:tcPr>
            <w:tcW w:type="dxa" w:w="2260"/>
            <w:tcMar>
              <w:top w:w="80" w:type="dxa"/>
              <w:bottom w:w="80" w:type="dxa"/>
              <w:start w:w="120" w:type="dxa"/>
              <w:end w:w="120" w:type="dxa"/>
            </w:tcMar>
            <w:vAlign w:val="center"/>
          </w:tcPr>
          <w:p>
            <w:pPr>
              <w:jc w:val="left"/>
            </w:pPr>
            <w:r>
              <w:rPr>
                <w:sz w:val="19"/>
              </w:rPr>
              <w:t>价格竞争、规格迭代、客户集中</w:t>
            </w:r>
          </w:p>
        </w:tc>
      </w:tr>
      <w:tr>
        <w:tc>
          <w:tcPr>
            <w:tcW w:type="dxa" w:w="1600"/>
            <w:tcMar>
              <w:top w:w="80" w:type="dxa"/>
              <w:bottom w:w="80" w:type="dxa"/>
              <w:start w:w="120" w:type="dxa"/>
              <w:end w:w="120" w:type="dxa"/>
            </w:tcMar>
            <w:vAlign w:val="center"/>
          </w:tcPr>
          <w:p>
            <w:pPr>
              <w:jc w:val="center"/>
            </w:pPr>
            <w:r>
              <w:rPr>
                <w:sz w:val="19"/>
              </w:rPr>
              <w:t>光器件/激光器</w:t>
            </w:r>
          </w:p>
        </w:tc>
        <w:tc>
          <w:tcPr>
            <w:tcW w:type="dxa" w:w="2500"/>
            <w:tcMar>
              <w:top w:w="80" w:type="dxa"/>
              <w:bottom w:w="80" w:type="dxa"/>
              <w:start w:w="120" w:type="dxa"/>
              <w:end w:w="120" w:type="dxa"/>
            </w:tcMar>
            <w:vAlign w:val="center"/>
          </w:tcPr>
          <w:p>
            <w:pPr>
              <w:jc w:val="left"/>
            </w:pPr>
            <w:r>
              <w:rPr>
                <w:sz w:val="19"/>
              </w:rPr>
              <w:t>Lumentum、MKS、IPG Photonics、Hamamatsu 等</w:t>
            </w:r>
          </w:p>
        </w:tc>
        <w:tc>
          <w:tcPr>
            <w:tcW w:type="dxa" w:w="3000"/>
            <w:tcMar>
              <w:top w:w="80" w:type="dxa"/>
              <w:bottom w:w="80" w:type="dxa"/>
              <w:start w:w="120" w:type="dxa"/>
              <w:end w:w="120" w:type="dxa"/>
            </w:tcMar>
            <w:vAlign w:val="center"/>
          </w:tcPr>
          <w:p>
            <w:pPr>
              <w:jc w:val="left"/>
            </w:pPr>
            <w:r>
              <w:rPr>
                <w:sz w:val="19"/>
              </w:rPr>
              <w:t>材料+器件+模块组合宽，客户认证深</w:t>
            </w:r>
          </w:p>
        </w:tc>
        <w:tc>
          <w:tcPr>
            <w:tcW w:type="dxa" w:w="2260"/>
            <w:tcMar>
              <w:top w:w="80" w:type="dxa"/>
              <w:bottom w:w="80" w:type="dxa"/>
              <w:start w:w="120" w:type="dxa"/>
              <w:end w:w="120" w:type="dxa"/>
            </w:tcMar>
            <w:vAlign w:val="center"/>
          </w:tcPr>
          <w:p>
            <w:pPr>
              <w:jc w:val="left"/>
            </w:pPr>
            <w:r>
              <w:rPr>
                <w:sz w:val="19"/>
              </w:rPr>
              <w:t>良率、产能爬坡和技术路线替代</w:t>
            </w:r>
          </w:p>
        </w:tc>
      </w:tr>
      <w:tr>
        <w:tc>
          <w:tcPr>
            <w:tcW w:type="dxa" w:w="1600"/>
            <w:tcMar>
              <w:top w:w="80" w:type="dxa"/>
              <w:bottom w:w="80" w:type="dxa"/>
              <w:start w:w="120" w:type="dxa"/>
              <w:end w:w="120" w:type="dxa"/>
            </w:tcMar>
            <w:vAlign w:val="center"/>
          </w:tcPr>
          <w:p>
            <w:pPr>
              <w:jc w:val="center"/>
            </w:pPr>
            <w:r>
              <w:rPr>
                <w:sz w:val="19"/>
              </w:rPr>
              <w:t>通信传输</w:t>
            </w:r>
          </w:p>
        </w:tc>
        <w:tc>
          <w:tcPr>
            <w:tcW w:type="dxa" w:w="2500"/>
            <w:tcMar>
              <w:top w:w="80" w:type="dxa"/>
              <w:bottom w:w="80" w:type="dxa"/>
              <w:start w:w="120" w:type="dxa"/>
              <w:end w:w="120" w:type="dxa"/>
            </w:tcMar>
            <w:vAlign w:val="center"/>
          </w:tcPr>
          <w:p>
            <w:pPr>
              <w:jc w:val="left"/>
            </w:pPr>
            <w:r>
              <w:rPr>
                <w:sz w:val="19"/>
              </w:rPr>
              <w:t>Ciena、Infinera/Nokia、Lumentum、Acacia/Cisco</w:t>
            </w:r>
          </w:p>
        </w:tc>
        <w:tc>
          <w:tcPr>
            <w:tcW w:type="dxa" w:w="3000"/>
            <w:tcMar>
              <w:top w:w="80" w:type="dxa"/>
              <w:bottom w:w="80" w:type="dxa"/>
              <w:start w:w="120" w:type="dxa"/>
              <w:end w:w="120" w:type="dxa"/>
            </w:tcMar>
            <w:vAlign w:val="center"/>
          </w:tcPr>
          <w:p>
            <w:pPr>
              <w:jc w:val="left"/>
            </w:pPr>
            <w:r>
              <w:rPr>
                <w:sz w:val="19"/>
              </w:rPr>
              <w:t>ZR/ZR+ 和传统 telecom 需求恢复</w:t>
            </w:r>
          </w:p>
        </w:tc>
        <w:tc>
          <w:tcPr>
            <w:tcW w:type="dxa" w:w="2260"/>
            <w:tcMar>
              <w:top w:w="80" w:type="dxa"/>
              <w:bottom w:w="80" w:type="dxa"/>
              <w:start w:w="120" w:type="dxa"/>
              <w:end w:w="120" w:type="dxa"/>
            </w:tcMar>
            <w:vAlign w:val="center"/>
          </w:tcPr>
          <w:p>
            <w:pPr>
              <w:jc w:val="left"/>
            </w:pPr>
            <w:r>
              <w:rPr>
                <w:sz w:val="19"/>
              </w:rPr>
              <w:t>电信资本开支周期不稳定</w:t>
            </w:r>
          </w:p>
        </w:tc>
      </w:tr>
      <w:tr>
        <w:tc>
          <w:tcPr>
            <w:tcW w:type="dxa" w:w="1600"/>
            <w:tcMar>
              <w:top w:w="80" w:type="dxa"/>
              <w:bottom w:w="80" w:type="dxa"/>
              <w:start w:w="120" w:type="dxa"/>
              <w:end w:w="120" w:type="dxa"/>
            </w:tcMar>
            <w:vAlign w:val="center"/>
          </w:tcPr>
          <w:p>
            <w:pPr>
              <w:jc w:val="center"/>
            </w:pPr>
            <w:r>
              <w:rPr>
                <w:sz w:val="19"/>
              </w:rPr>
              <w:t>工业激光</w:t>
            </w:r>
          </w:p>
        </w:tc>
        <w:tc>
          <w:tcPr>
            <w:tcW w:type="dxa" w:w="2500"/>
            <w:tcMar>
              <w:top w:w="80" w:type="dxa"/>
              <w:bottom w:w="80" w:type="dxa"/>
              <w:start w:w="120" w:type="dxa"/>
              <w:end w:w="120" w:type="dxa"/>
            </w:tcMar>
            <w:vAlign w:val="center"/>
          </w:tcPr>
          <w:p>
            <w:pPr>
              <w:jc w:val="left"/>
            </w:pPr>
            <w:r>
              <w:rPr>
                <w:sz w:val="19"/>
              </w:rPr>
              <w:t>IPG Photonics、Trumpf、MKS、Hamamatsu</w:t>
            </w:r>
          </w:p>
        </w:tc>
        <w:tc>
          <w:tcPr>
            <w:tcW w:type="dxa" w:w="3000"/>
            <w:tcMar>
              <w:top w:w="80" w:type="dxa"/>
              <w:bottom w:w="80" w:type="dxa"/>
              <w:start w:w="120" w:type="dxa"/>
              <w:end w:w="120" w:type="dxa"/>
            </w:tcMar>
            <w:vAlign w:val="center"/>
          </w:tcPr>
          <w:p>
            <w:pPr>
              <w:jc w:val="left"/>
            </w:pPr>
            <w:r>
              <w:rPr>
                <w:sz w:val="19"/>
              </w:rPr>
              <w:t>Coherent 品牌和工艺积累</w:t>
            </w:r>
          </w:p>
        </w:tc>
        <w:tc>
          <w:tcPr>
            <w:tcW w:type="dxa" w:w="2260"/>
            <w:tcMar>
              <w:top w:w="80" w:type="dxa"/>
              <w:bottom w:w="80" w:type="dxa"/>
              <w:start w:w="120" w:type="dxa"/>
              <w:end w:w="120" w:type="dxa"/>
            </w:tcMar>
            <w:vAlign w:val="center"/>
          </w:tcPr>
          <w:p>
            <w:pPr>
              <w:jc w:val="left"/>
            </w:pPr>
            <w:r>
              <w:rPr>
                <w:sz w:val="19"/>
              </w:rPr>
              <w:t>中国竞争、工业周期和资产出售后规模变化</w:t>
            </w:r>
          </w:p>
        </w:tc>
      </w:tr>
      <w:tr>
        <w:tc>
          <w:tcPr>
            <w:tcW w:type="dxa" w:w="1600"/>
            <w:tcMar>
              <w:top w:w="80" w:type="dxa"/>
              <w:bottom w:w="80" w:type="dxa"/>
              <w:start w:w="120" w:type="dxa"/>
              <w:end w:w="120" w:type="dxa"/>
            </w:tcMar>
            <w:vAlign w:val="center"/>
          </w:tcPr>
          <w:p>
            <w:pPr>
              <w:jc w:val="center"/>
            </w:pPr>
            <w:r>
              <w:rPr>
                <w:sz w:val="19"/>
              </w:rPr>
              <w:t>SiC 材料</w:t>
            </w:r>
          </w:p>
        </w:tc>
        <w:tc>
          <w:tcPr>
            <w:tcW w:type="dxa" w:w="2500"/>
            <w:tcMar>
              <w:top w:w="80" w:type="dxa"/>
              <w:bottom w:w="80" w:type="dxa"/>
              <w:start w:w="120" w:type="dxa"/>
              <w:end w:w="120" w:type="dxa"/>
            </w:tcMar>
            <w:vAlign w:val="center"/>
          </w:tcPr>
          <w:p>
            <w:pPr>
              <w:jc w:val="left"/>
            </w:pPr>
            <w:r>
              <w:rPr>
                <w:sz w:val="19"/>
              </w:rPr>
              <w:t>Wolfspeed、Onsemi、ROHM、STMicro、II-VI/Coherent 生态</w:t>
            </w:r>
          </w:p>
        </w:tc>
        <w:tc>
          <w:tcPr>
            <w:tcW w:type="dxa" w:w="3000"/>
            <w:tcMar>
              <w:top w:w="80" w:type="dxa"/>
              <w:bottom w:w="80" w:type="dxa"/>
              <w:start w:w="120" w:type="dxa"/>
              <w:end w:w="120" w:type="dxa"/>
            </w:tcMar>
            <w:vAlign w:val="center"/>
          </w:tcPr>
          <w:p>
            <w:pPr>
              <w:jc w:val="left"/>
            </w:pPr>
            <w:r>
              <w:rPr>
                <w:sz w:val="19"/>
              </w:rPr>
              <w:t>材料技术和外部投资支持</w:t>
            </w:r>
          </w:p>
        </w:tc>
        <w:tc>
          <w:tcPr>
            <w:tcW w:type="dxa" w:w="2260"/>
            <w:tcMar>
              <w:top w:w="80" w:type="dxa"/>
              <w:bottom w:w="80" w:type="dxa"/>
              <w:start w:w="120" w:type="dxa"/>
              <w:end w:w="120" w:type="dxa"/>
            </w:tcMar>
            <w:vAlign w:val="center"/>
          </w:tcPr>
          <w:p>
            <w:pPr>
              <w:jc w:val="left"/>
            </w:pPr>
            <w:r>
              <w:rPr>
                <w:sz w:val="19"/>
              </w:rPr>
              <w:t>资本密集、价格下行和客户验证周期</w:t>
            </w:r>
          </w:p>
        </w:tc>
      </w:tr>
    </w:tbl>
    <w:p/>
    <w:p>
      <w:pPr>
        <w:pStyle w:val="Heading2"/>
      </w:pPr>
      <w:r>
        <w:t>5.2 Coherent 与 Lumentum / Fabrinet / 中国光模块链对比</w:t>
      </w:r>
    </w:p>
    <w:tbl>
      <w:tblPr>
        <w:tblStyle w:val="TableGrid"/>
        <w:tblW w:type="dxa" w:w="9360"/>
        <w:jc w:val="center"/>
        <w:tblLook w:firstColumn="1" w:firstRow="1" w:lastColumn="0" w:lastRow="0" w:noHBand="0" w:noVBand="1" w:val="04A0"/>
        <w:tblInd w:w="120" w:type="dxa"/>
      </w:tblPr>
      <w:tblGrid>
        <w:gridCol w:w="1600"/>
        <w:gridCol w:w="3100"/>
        <w:gridCol w:w="2700"/>
        <w:gridCol w:w="1960"/>
      </w:tblGrid>
      <w:tr>
        <w:trPr>
          <w:tblHeader w:val="true"/>
        </w:trPr>
        <w:tc>
          <w:tcPr>
            <w:tcW w:type="dxa" w:w="1600"/>
            <w:shd w:fill="E8EEF5"/>
            <w:tcMar>
              <w:top w:w="80" w:type="dxa"/>
              <w:bottom w:w="80" w:type="dxa"/>
              <w:start w:w="120" w:type="dxa"/>
              <w:end w:w="120" w:type="dxa"/>
            </w:tcMar>
            <w:vAlign w:val="center"/>
          </w:tcPr>
          <w:p>
            <w:pPr>
              <w:jc w:val="center"/>
            </w:pPr>
            <w:r>
              <w:rPr>
                <w:b/>
                <w:sz w:val="19"/>
              </w:rPr>
              <w:t>公司/群体</w:t>
            </w:r>
          </w:p>
        </w:tc>
        <w:tc>
          <w:tcPr>
            <w:tcW w:type="dxa" w:w="3100"/>
            <w:shd w:fill="E8EEF5"/>
            <w:tcMar>
              <w:top w:w="80" w:type="dxa"/>
              <w:bottom w:w="80" w:type="dxa"/>
              <w:start w:w="120" w:type="dxa"/>
              <w:end w:w="120" w:type="dxa"/>
            </w:tcMar>
            <w:vAlign w:val="center"/>
          </w:tcPr>
          <w:p>
            <w:pPr>
              <w:jc w:val="center"/>
            </w:pPr>
            <w:r>
              <w:rPr>
                <w:b/>
                <w:sz w:val="19"/>
              </w:rPr>
              <w:t>核心优势</w:t>
            </w:r>
          </w:p>
        </w:tc>
        <w:tc>
          <w:tcPr>
            <w:tcW w:type="dxa" w:w="2700"/>
            <w:shd w:fill="E8EEF5"/>
            <w:tcMar>
              <w:top w:w="80" w:type="dxa"/>
              <w:bottom w:w="80" w:type="dxa"/>
              <w:start w:w="120" w:type="dxa"/>
              <w:end w:w="120" w:type="dxa"/>
            </w:tcMar>
            <w:vAlign w:val="center"/>
          </w:tcPr>
          <w:p>
            <w:pPr>
              <w:jc w:val="center"/>
            </w:pPr>
            <w:r>
              <w:rPr>
                <w:b/>
                <w:sz w:val="19"/>
              </w:rPr>
              <w:t>短板</w:t>
            </w:r>
          </w:p>
        </w:tc>
        <w:tc>
          <w:tcPr>
            <w:tcW w:type="dxa" w:w="1960"/>
            <w:shd w:fill="E8EEF5"/>
            <w:tcMar>
              <w:top w:w="80" w:type="dxa"/>
              <w:bottom w:w="80" w:type="dxa"/>
              <w:start w:w="120" w:type="dxa"/>
              <w:end w:w="120" w:type="dxa"/>
            </w:tcMar>
            <w:vAlign w:val="center"/>
          </w:tcPr>
          <w:p>
            <w:pPr>
              <w:jc w:val="center"/>
            </w:pPr>
            <w:r>
              <w:rPr>
                <w:b/>
                <w:sz w:val="19"/>
              </w:rPr>
              <w:t>投资属性</w:t>
            </w:r>
          </w:p>
        </w:tc>
      </w:tr>
      <w:tr>
        <w:tc>
          <w:tcPr>
            <w:tcW w:type="dxa" w:w="1600"/>
            <w:tcMar>
              <w:top w:w="80" w:type="dxa"/>
              <w:bottom w:w="80" w:type="dxa"/>
              <w:start w:w="120" w:type="dxa"/>
              <w:end w:w="120" w:type="dxa"/>
            </w:tcMar>
            <w:vAlign w:val="center"/>
          </w:tcPr>
          <w:p>
            <w:pPr>
              <w:jc w:val="center"/>
            </w:pPr>
            <w:r>
              <w:rPr>
                <w:sz w:val="19"/>
              </w:rPr>
              <w:t>Coherent</w:t>
            </w:r>
          </w:p>
        </w:tc>
        <w:tc>
          <w:tcPr>
            <w:tcW w:type="dxa" w:w="3100"/>
            <w:tcMar>
              <w:top w:w="80" w:type="dxa"/>
              <w:bottom w:w="80" w:type="dxa"/>
              <w:start w:w="120" w:type="dxa"/>
              <w:end w:w="120" w:type="dxa"/>
            </w:tcMar>
            <w:vAlign w:val="center"/>
          </w:tcPr>
          <w:p>
            <w:pPr>
              <w:jc w:val="left"/>
            </w:pPr>
            <w:r>
              <w:rPr>
                <w:sz w:val="19"/>
              </w:rPr>
              <w:t>InP、激光器、材料、模块、工业和 SiC 多平台</w:t>
            </w:r>
          </w:p>
        </w:tc>
        <w:tc>
          <w:tcPr>
            <w:tcW w:type="dxa" w:w="2700"/>
            <w:tcMar>
              <w:top w:w="80" w:type="dxa"/>
              <w:bottom w:w="80" w:type="dxa"/>
              <w:start w:w="120" w:type="dxa"/>
              <w:end w:w="120" w:type="dxa"/>
            </w:tcMar>
            <w:vAlign w:val="center"/>
          </w:tcPr>
          <w:p>
            <w:pPr>
              <w:jc w:val="left"/>
            </w:pPr>
            <w:r>
              <w:rPr>
                <w:sz w:val="19"/>
              </w:rPr>
              <w:t>业务复杂、资本重、现金流受库存和扩产影响</w:t>
            </w:r>
          </w:p>
        </w:tc>
        <w:tc>
          <w:tcPr>
            <w:tcW w:type="dxa" w:w="1960"/>
            <w:tcMar>
              <w:top w:w="80" w:type="dxa"/>
              <w:bottom w:w="80" w:type="dxa"/>
              <w:start w:w="120" w:type="dxa"/>
              <w:end w:w="120" w:type="dxa"/>
            </w:tcMar>
            <w:vAlign w:val="center"/>
          </w:tcPr>
          <w:p>
            <w:pPr>
              <w:jc w:val="left"/>
            </w:pPr>
            <w:r>
              <w:rPr>
                <w:sz w:val="19"/>
              </w:rPr>
              <w:t>AI 光互联上游综合平台</w:t>
            </w:r>
          </w:p>
        </w:tc>
      </w:tr>
      <w:tr>
        <w:tc>
          <w:tcPr>
            <w:tcW w:type="dxa" w:w="1600"/>
            <w:tcMar>
              <w:top w:w="80" w:type="dxa"/>
              <w:bottom w:w="80" w:type="dxa"/>
              <w:start w:w="120" w:type="dxa"/>
              <w:end w:w="120" w:type="dxa"/>
            </w:tcMar>
            <w:vAlign w:val="center"/>
          </w:tcPr>
          <w:p>
            <w:pPr>
              <w:jc w:val="center"/>
            </w:pPr>
            <w:r>
              <w:rPr>
                <w:sz w:val="19"/>
              </w:rPr>
              <w:t>Lumentum</w:t>
            </w:r>
          </w:p>
        </w:tc>
        <w:tc>
          <w:tcPr>
            <w:tcW w:type="dxa" w:w="3100"/>
            <w:tcMar>
              <w:top w:w="80" w:type="dxa"/>
              <w:bottom w:w="80" w:type="dxa"/>
              <w:start w:w="120" w:type="dxa"/>
              <w:end w:w="120" w:type="dxa"/>
            </w:tcMar>
            <w:vAlign w:val="center"/>
          </w:tcPr>
          <w:p>
            <w:pPr>
              <w:jc w:val="left"/>
            </w:pPr>
            <w:r>
              <w:rPr>
                <w:sz w:val="19"/>
              </w:rPr>
              <w:t>光器件和激光器更聚焦，数据中心光需求弹性高</w:t>
            </w:r>
          </w:p>
        </w:tc>
        <w:tc>
          <w:tcPr>
            <w:tcW w:type="dxa" w:w="2700"/>
            <w:tcMar>
              <w:top w:w="80" w:type="dxa"/>
              <w:bottom w:w="80" w:type="dxa"/>
              <w:start w:w="120" w:type="dxa"/>
              <w:end w:w="120" w:type="dxa"/>
            </w:tcMar>
            <w:vAlign w:val="center"/>
          </w:tcPr>
          <w:p>
            <w:pPr>
              <w:jc w:val="left"/>
            </w:pPr>
            <w:r>
              <w:rPr>
                <w:sz w:val="19"/>
              </w:rPr>
              <w:t>组合宽度和材料平台弱于 Coherent</w:t>
            </w:r>
          </w:p>
        </w:tc>
        <w:tc>
          <w:tcPr>
            <w:tcW w:type="dxa" w:w="1960"/>
            <w:tcMar>
              <w:top w:w="80" w:type="dxa"/>
              <w:bottom w:w="80" w:type="dxa"/>
              <w:start w:w="120" w:type="dxa"/>
              <w:end w:w="120" w:type="dxa"/>
            </w:tcMar>
            <w:vAlign w:val="center"/>
          </w:tcPr>
          <w:p>
            <w:pPr>
              <w:jc w:val="left"/>
            </w:pPr>
            <w:r>
              <w:rPr>
                <w:sz w:val="19"/>
              </w:rPr>
              <w:t>更纯的光器件弹性股</w:t>
            </w:r>
          </w:p>
        </w:tc>
      </w:tr>
      <w:tr>
        <w:tc>
          <w:tcPr>
            <w:tcW w:type="dxa" w:w="1600"/>
            <w:tcMar>
              <w:top w:w="80" w:type="dxa"/>
              <w:bottom w:w="80" w:type="dxa"/>
              <w:start w:w="120" w:type="dxa"/>
              <w:end w:w="120" w:type="dxa"/>
            </w:tcMar>
            <w:vAlign w:val="center"/>
          </w:tcPr>
          <w:p>
            <w:pPr>
              <w:jc w:val="center"/>
            </w:pPr>
            <w:r>
              <w:rPr>
                <w:sz w:val="19"/>
              </w:rPr>
              <w:t>Fabrinet</w:t>
            </w:r>
          </w:p>
        </w:tc>
        <w:tc>
          <w:tcPr>
            <w:tcW w:type="dxa" w:w="3100"/>
            <w:tcMar>
              <w:top w:w="80" w:type="dxa"/>
              <w:bottom w:w="80" w:type="dxa"/>
              <w:start w:w="120" w:type="dxa"/>
              <w:end w:w="120" w:type="dxa"/>
            </w:tcMar>
            <w:vAlign w:val="center"/>
          </w:tcPr>
          <w:p>
            <w:pPr>
              <w:jc w:val="left"/>
            </w:pPr>
            <w:r>
              <w:rPr>
                <w:sz w:val="19"/>
              </w:rPr>
              <w:t>光模块制造和代工执行强</w:t>
            </w:r>
          </w:p>
        </w:tc>
        <w:tc>
          <w:tcPr>
            <w:tcW w:type="dxa" w:w="2700"/>
            <w:tcMar>
              <w:top w:w="80" w:type="dxa"/>
              <w:bottom w:w="80" w:type="dxa"/>
              <w:start w:w="120" w:type="dxa"/>
              <w:end w:w="120" w:type="dxa"/>
            </w:tcMar>
            <w:vAlign w:val="center"/>
          </w:tcPr>
          <w:p>
            <w:pPr>
              <w:jc w:val="left"/>
            </w:pPr>
            <w:r>
              <w:rPr>
                <w:sz w:val="19"/>
              </w:rPr>
              <w:t>核心芯片/激光器控制力弱</w:t>
            </w:r>
          </w:p>
        </w:tc>
        <w:tc>
          <w:tcPr>
            <w:tcW w:type="dxa" w:w="1960"/>
            <w:tcMar>
              <w:top w:w="80" w:type="dxa"/>
              <w:bottom w:w="80" w:type="dxa"/>
              <w:start w:w="120" w:type="dxa"/>
              <w:end w:w="120" w:type="dxa"/>
            </w:tcMar>
            <w:vAlign w:val="center"/>
          </w:tcPr>
          <w:p>
            <w:pPr>
              <w:jc w:val="left"/>
            </w:pPr>
            <w:r>
              <w:rPr>
                <w:sz w:val="19"/>
              </w:rPr>
              <w:t>制造交付层受益者</w:t>
            </w:r>
          </w:p>
        </w:tc>
      </w:tr>
      <w:tr>
        <w:tc>
          <w:tcPr>
            <w:tcW w:type="dxa" w:w="1600"/>
            <w:tcMar>
              <w:top w:w="80" w:type="dxa"/>
              <w:bottom w:w="80" w:type="dxa"/>
              <w:start w:w="120" w:type="dxa"/>
              <w:end w:w="120" w:type="dxa"/>
            </w:tcMar>
            <w:vAlign w:val="center"/>
          </w:tcPr>
          <w:p>
            <w:pPr>
              <w:jc w:val="center"/>
            </w:pPr>
            <w:r>
              <w:rPr>
                <w:sz w:val="19"/>
              </w:rPr>
              <w:t>中国光模块链</w:t>
            </w:r>
          </w:p>
        </w:tc>
        <w:tc>
          <w:tcPr>
            <w:tcW w:type="dxa" w:w="3100"/>
            <w:tcMar>
              <w:top w:w="80" w:type="dxa"/>
              <w:bottom w:w="80" w:type="dxa"/>
              <w:start w:w="120" w:type="dxa"/>
              <w:end w:w="120" w:type="dxa"/>
            </w:tcMar>
            <w:vAlign w:val="center"/>
          </w:tcPr>
          <w:p>
            <w:pPr>
              <w:jc w:val="left"/>
            </w:pPr>
            <w:r>
              <w:rPr>
                <w:sz w:val="19"/>
              </w:rPr>
              <w:t>规模、成本和快速迭代强</w:t>
            </w:r>
          </w:p>
        </w:tc>
        <w:tc>
          <w:tcPr>
            <w:tcW w:type="dxa" w:w="2700"/>
            <w:tcMar>
              <w:top w:w="80" w:type="dxa"/>
              <w:bottom w:w="80" w:type="dxa"/>
              <w:start w:w="120" w:type="dxa"/>
              <w:end w:w="120" w:type="dxa"/>
            </w:tcMar>
            <w:vAlign w:val="center"/>
          </w:tcPr>
          <w:p>
            <w:pPr>
              <w:jc w:val="left"/>
            </w:pPr>
            <w:r>
              <w:rPr>
                <w:sz w:val="19"/>
              </w:rPr>
              <w:t>受出口管制、客户认证和高端器件供给约束</w:t>
            </w:r>
          </w:p>
        </w:tc>
        <w:tc>
          <w:tcPr>
            <w:tcW w:type="dxa" w:w="1960"/>
            <w:tcMar>
              <w:top w:w="80" w:type="dxa"/>
              <w:bottom w:w="80" w:type="dxa"/>
              <w:start w:w="120" w:type="dxa"/>
              <w:end w:w="120" w:type="dxa"/>
            </w:tcMar>
            <w:vAlign w:val="center"/>
          </w:tcPr>
          <w:p>
            <w:pPr>
              <w:jc w:val="left"/>
            </w:pPr>
            <w:r>
              <w:rPr>
                <w:sz w:val="19"/>
              </w:rPr>
              <w:t>高 beta 光模块制造弹性</w:t>
            </w:r>
          </w:p>
        </w:tc>
      </w:tr>
    </w:tbl>
    <w:p/>
    <w:p>
      <w:pPr>
        <w:pStyle w:val="Heading2"/>
      </w:pPr>
      <w:r>
        <w:t>5.3 竞争格局判断</w:t>
      </w:r>
    </w:p>
    <w:p>
      <w:pPr>
        <w:spacing w:after="120" w:line="264" w:lineRule="auto"/>
      </w:pPr>
      <w:r>
        <w:rPr>
          <w:sz w:val="22"/>
        </w:rPr>
        <w:t>AI 光互联市场不是单一赢家通吃。上游激光器、InP、DSP/SerDes、模块制造、云客户规格和系统集成共同决定价值分配。Coherent 的优势在于上游核心器件和材料能力较深，NVIDIA 投资提升其战略稀缺性；压力在于中国光模块链和专业制造商可能在模块制造和成本上持续竞争，长期必须通过器件、良率和客户绑定保持利润率。</w:t>
      </w:r>
    </w:p>
    <w:p>
      <w:pPr>
        <w:pStyle w:val="Heading1"/>
      </w:pPr>
      <w:r>
        <w:t>六、管理层与治理结构</w:t>
      </w:r>
    </w:p>
    <w:p>
      <w:pPr>
        <w:pStyle w:val="Heading2"/>
      </w:pPr>
      <w:r>
        <w:t>6.1 核心管理层</w:t>
      </w:r>
    </w:p>
    <w:tbl>
      <w:tblPr>
        <w:tblStyle w:val="TableGrid"/>
        <w:tblW w:type="dxa" w:w="9360"/>
        <w:jc w:val="center"/>
        <w:tblLook w:firstColumn="1" w:firstRow="1" w:lastColumn="0" w:lastRow="0" w:noHBand="0" w:noVBand="1" w:val="04A0"/>
        <w:tblInd w:w="120" w:type="dxa"/>
      </w:tblPr>
      <w:tblGrid>
        <w:gridCol w:w="2300"/>
        <w:gridCol w:w="2700"/>
        <w:gridCol w:w="4360"/>
      </w:tblGrid>
      <w:tr>
        <w:trPr>
          <w:tblHeader w:val="true"/>
        </w:trPr>
        <w:tc>
          <w:tcPr>
            <w:tcW w:type="dxa" w:w="2300"/>
            <w:shd w:fill="E8EEF5"/>
            <w:tcMar>
              <w:top w:w="80" w:type="dxa"/>
              <w:bottom w:w="80" w:type="dxa"/>
              <w:start w:w="120" w:type="dxa"/>
              <w:end w:w="120" w:type="dxa"/>
            </w:tcMar>
            <w:vAlign w:val="center"/>
          </w:tcPr>
          <w:p>
            <w:pPr>
              <w:jc w:val="center"/>
            </w:pPr>
            <w:r>
              <w:rPr>
                <w:b/>
                <w:sz w:val="19"/>
              </w:rPr>
              <w:t>人员</w:t>
            </w:r>
          </w:p>
        </w:tc>
        <w:tc>
          <w:tcPr>
            <w:tcW w:type="dxa" w:w="2700"/>
            <w:shd w:fill="E8EEF5"/>
            <w:tcMar>
              <w:top w:w="80" w:type="dxa"/>
              <w:bottom w:w="80" w:type="dxa"/>
              <w:start w:w="120" w:type="dxa"/>
              <w:end w:w="120" w:type="dxa"/>
            </w:tcMar>
            <w:vAlign w:val="center"/>
          </w:tcPr>
          <w:p>
            <w:pPr>
              <w:jc w:val="center"/>
            </w:pPr>
            <w:r>
              <w:rPr>
                <w:b/>
                <w:sz w:val="19"/>
              </w:rPr>
              <w:t>职务</w:t>
            </w:r>
          </w:p>
        </w:tc>
        <w:tc>
          <w:tcPr>
            <w:tcW w:type="dxa" w:w="4360"/>
            <w:shd w:fill="E8EEF5"/>
            <w:tcMar>
              <w:top w:w="80" w:type="dxa"/>
              <w:bottom w:w="80" w:type="dxa"/>
              <w:start w:w="120" w:type="dxa"/>
              <w:end w:w="120" w:type="dxa"/>
            </w:tcMar>
            <w:vAlign w:val="center"/>
          </w:tcPr>
          <w:p>
            <w:pPr>
              <w:jc w:val="center"/>
            </w:pPr>
            <w:r>
              <w:rPr>
                <w:b/>
                <w:sz w:val="19"/>
              </w:rPr>
              <w:t>研究关注点</w:t>
            </w:r>
          </w:p>
        </w:tc>
      </w:tr>
      <w:tr>
        <w:tc>
          <w:tcPr>
            <w:tcW w:type="dxa" w:w="2300"/>
            <w:tcMar>
              <w:top w:w="80" w:type="dxa"/>
              <w:bottom w:w="80" w:type="dxa"/>
              <w:start w:w="120" w:type="dxa"/>
              <w:end w:w="120" w:type="dxa"/>
            </w:tcMar>
            <w:vAlign w:val="center"/>
          </w:tcPr>
          <w:p>
            <w:pPr>
              <w:jc w:val="center"/>
            </w:pPr>
            <w:r>
              <w:rPr>
                <w:sz w:val="19"/>
              </w:rPr>
              <w:t>Jim Anderson</w:t>
            </w:r>
          </w:p>
        </w:tc>
        <w:tc>
          <w:tcPr>
            <w:tcW w:type="dxa" w:w="2700"/>
            <w:tcMar>
              <w:top w:w="80" w:type="dxa"/>
              <w:bottom w:w="80" w:type="dxa"/>
              <w:start w:w="120" w:type="dxa"/>
              <w:end w:w="120" w:type="dxa"/>
            </w:tcMar>
            <w:vAlign w:val="center"/>
          </w:tcPr>
          <w:p>
            <w:pPr>
              <w:jc w:val="left"/>
            </w:pPr>
            <w:r>
              <w:rPr>
                <w:sz w:val="19"/>
              </w:rPr>
              <w:t>Chief Executive Officer</w:t>
            </w:r>
          </w:p>
        </w:tc>
        <w:tc>
          <w:tcPr>
            <w:tcW w:type="dxa" w:w="4360"/>
            <w:tcMar>
              <w:top w:w="80" w:type="dxa"/>
              <w:bottom w:w="80" w:type="dxa"/>
              <w:start w:w="120" w:type="dxa"/>
              <w:end w:w="120" w:type="dxa"/>
            </w:tcMar>
            <w:vAlign w:val="center"/>
          </w:tcPr>
          <w:p>
            <w:pPr>
              <w:jc w:val="left"/>
            </w:pPr>
            <w:r>
              <w:rPr>
                <w:sz w:val="19"/>
              </w:rPr>
              <w:t>组合聚焦、AI 光互联战略、产能扩张和执行改善</w:t>
            </w:r>
          </w:p>
        </w:tc>
      </w:tr>
      <w:tr>
        <w:tc>
          <w:tcPr>
            <w:tcW w:type="dxa" w:w="2300"/>
            <w:tcMar>
              <w:top w:w="80" w:type="dxa"/>
              <w:bottom w:w="80" w:type="dxa"/>
              <w:start w:w="120" w:type="dxa"/>
              <w:end w:w="120" w:type="dxa"/>
            </w:tcMar>
            <w:vAlign w:val="center"/>
          </w:tcPr>
          <w:p>
            <w:pPr>
              <w:jc w:val="center"/>
            </w:pPr>
            <w:r>
              <w:rPr>
                <w:sz w:val="19"/>
              </w:rPr>
              <w:t>CFO / Finance Leadership</w:t>
            </w:r>
          </w:p>
        </w:tc>
        <w:tc>
          <w:tcPr>
            <w:tcW w:type="dxa" w:w="2700"/>
            <w:tcMar>
              <w:top w:w="80" w:type="dxa"/>
              <w:bottom w:w="80" w:type="dxa"/>
              <w:start w:w="120" w:type="dxa"/>
              <w:end w:w="120" w:type="dxa"/>
            </w:tcMar>
            <w:vAlign w:val="center"/>
          </w:tcPr>
          <w:p>
            <w:pPr>
              <w:jc w:val="left"/>
            </w:pPr>
            <w:r>
              <w:rPr>
                <w:sz w:val="19"/>
              </w:rPr>
              <w:t>Chief Financial Officer function</w:t>
            </w:r>
          </w:p>
        </w:tc>
        <w:tc>
          <w:tcPr>
            <w:tcW w:type="dxa" w:w="4360"/>
            <w:tcMar>
              <w:top w:w="80" w:type="dxa"/>
              <w:bottom w:w="80" w:type="dxa"/>
              <w:start w:w="120" w:type="dxa"/>
              <w:end w:w="120" w:type="dxa"/>
            </w:tcMar>
            <w:vAlign w:val="center"/>
          </w:tcPr>
          <w:p>
            <w:pPr>
              <w:jc w:val="left"/>
            </w:pPr>
            <w:r>
              <w:rPr>
                <w:sz w:val="19"/>
              </w:rPr>
              <w:t>债务管理、现金流、资本开支和 NVIDIA 投资使用效率</w:t>
            </w:r>
          </w:p>
        </w:tc>
      </w:tr>
      <w:tr>
        <w:tc>
          <w:tcPr>
            <w:tcW w:type="dxa" w:w="2300"/>
            <w:tcMar>
              <w:top w:w="80" w:type="dxa"/>
              <w:bottom w:w="80" w:type="dxa"/>
              <w:start w:w="120" w:type="dxa"/>
              <w:end w:w="120" w:type="dxa"/>
            </w:tcMar>
            <w:vAlign w:val="center"/>
          </w:tcPr>
          <w:p>
            <w:pPr>
              <w:jc w:val="center"/>
            </w:pPr>
            <w:r>
              <w:rPr>
                <w:sz w:val="19"/>
              </w:rPr>
              <w:t>Board and Strategy Team</w:t>
            </w:r>
          </w:p>
        </w:tc>
        <w:tc>
          <w:tcPr>
            <w:tcW w:type="dxa" w:w="2700"/>
            <w:tcMar>
              <w:top w:w="80" w:type="dxa"/>
              <w:bottom w:w="80" w:type="dxa"/>
              <w:start w:w="120" w:type="dxa"/>
              <w:end w:w="120" w:type="dxa"/>
            </w:tcMar>
            <w:vAlign w:val="center"/>
          </w:tcPr>
          <w:p>
            <w:pPr>
              <w:jc w:val="left"/>
            </w:pPr>
            <w:r>
              <w:rPr>
                <w:sz w:val="19"/>
              </w:rPr>
              <w:t>董事会与战略团队</w:t>
            </w:r>
          </w:p>
        </w:tc>
        <w:tc>
          <w:tcPr>
            <w:tcW w:type="dxa" w:w="4360"/>
            <w:tcMar>
              <w:top w:w="80" w:type="dxa"/>
              <w:bottom w:w="80" w:type="dxa"/>
              <w:start w:w="120" w:type="dxa"/>
              <w:end w:w="120" w:type="dxa"/>
            </w:tcMar>
            <w:vAlign w:val="center"/>
          </w:tcPr>
          <w:p>
            <w:pPr>
              <w:jc w:val="left"/>
            </w:pPr>
            <w:r>
              <w:rPr>
                <w:sz w:val="19"/>
              </w:rPr>
              <w:t>资产出售、SiC 外部投资、工业组合优化和长期资本配置</w:t>
            </w:r>
          </w:p>
        </w:tc>
      </w:tr>
    </w:tbl>
    <w:p/>
    <w:p>
      <w:pPr>
        <w:pStyle w:val="Heading2"/>
      </w:pPr>
      <w:r>
        <w:t>6.2 股东回报与治理特点</w:t>
      </w:r>
    </w:p>
    <w:p>
      <w:pPr>
        <w:spacing w:after="120" w:line="264" w:lineRule="auto"/>
      </w:pPr>
      <w:r>
        <w:rPr>
          <w:sz w:val="22"/>
        </w:rPr>
        <w:t>Coherent 当前仍处于再投资和降杠杆阶段，不是以回购分红为核心的成熟现金牛。FY2026 前九个月，公司通过 NVIDIA 私募获得 20 亿美元普通股资金，并完成 preferred stock 转换，显著改善权益结构；同时公司用经营改善、资产出售和资本市场融资支持 InP/AI 产能扩张和债务管理。</w:t>
      </w:r>
    </w:p>
    <w:p>
      <w:pPr>
        <w:pStyle w:val="Heading1"/>
      </w:pPr>
      <w:r>
        <w:t>七、财务会计信息</w:t>
      </w:r>
    </w:p>
    <w:p>
      <w:pPr>
        <w:pStyle w:val="Heading2"/>
      </w:pPr>
      <w:r>
        <w:t>7.1 FY2026 Q3 最新季度财务</w:t>
      </w:r>
    </w:p>
    <w:p>
      <w:pPr>
        <w:spacing w:after="80"/>
      </w:pPr>
      <w:r>
        <w:rPr>
          <w:color w:val="585858"/>
          <w:sz w:val="18"/>
        </w:rPr>
        <w:t>数据来源：Coherent FY2026 Q3 Form 10-Q，季度截至 2026年3月31日。金额单位：亿美元，EPS 为美元。</w:t>
      </w:r>
    </w:p>
    <w:tbl>
      <w:tblPr>
        <w:tblStyle w:val="TableGrid"/>
        <w:tblW w:type="dxa" w:w="9360"/>
        <w:jc w:val="center"/>
        <w:tblLook w:firstColumn="1" w:firstRow="1" w:lastColumn="0" w:lastRow="0" w:noHBand="0" w:noVBand="1" w:val="04A0"/>
        <w:tblInd w:w="120" w:type="dxa"/>
      </w:tblPr>
      <w:tblGrid>
        <w:gridCol w:w="1800"/>
        <w:gridCol w:w="1700"/>
        <w:gridCol w:w="1400"/>
        <w:gridCol w:w="4460"/>
      </w:tblGrid>
      <w:tr>
        <w:trPr>
          <w:tblHeader w:val="true"/>
        </w:trPr>
        <w:tc>
          <w:tcPr>
            <w:tcW w:type="dxa" w:w="1800"/>
            <w:shd w:fill="E8EEF5"/>
            <w:tcMar>
              <w:top w:w="80" w:type="dxa"/>
              <w:bottom w:w="80" w:type="dxa"/>
              <w:start w:w="120" w:type="dxa"/>
              <w:end w:w="120" w:type="dxa"/>
            </w:tcMar>
            <w:vAlign w:val="center"/>
          </w:tcPr>
          <w:p>
            <w:pPr>
              <w:jc w:val="center"/>
            </w:pPr>
            <w:r>
              <w:rPr>
                <w:b/>
                <w:sz w:val="19"/>
              </w:rPr>
              <w:t>指标</w:t>
            </w:r>
          </w:p>
        </w:tc>
        <w:tc>
          <w:tcPr>
            <w:tcW w:type="dxa" w:w="1700"/>
            <w:shd w:fill="E8EEF5"/>
            <w:tcMar>
              <w:top w:w="80" w:type="dxa"/>
              <w:bottom w:w="80" w:type="dxa"/>
              <w:start w:w="120" w:type="dxa"/>
              <w:end w:w="120" w:type="dxa"/>
            </w:tcMar>
            <w:vAlign w:val="center"/>
          </w:tcPr>
          <w:p>
            <w:pPr>
              <w:jc w:val="center"/>
            </w:pPr>
            <w:r>
              <w:rPr>
                <w:b/>
                <w:sz w:val="19"/>
              </w:rPr>
              <w:t>FY2026 Q3</w:t>
            </w:r>
          </w:p>
        </w:tc>
        <w:tc>
          <w:tcPr>
            <w:tcW w:type="dxa" w:w="1400"/>
            <w:shd w:fill="E8EEF5"/>
            <w:tcMar>
              <w:top w:w="80" w:type="dxa"/>
              <w:bottom w:w="80" w:type="dxa"/>
              <w:start w:w="120" w:type="dxa"/>
              <w:end w:w="120" w:type="dxa"/>
            </w:tcMar>
            <w:vAlign w:val="center"/>
          </w:tcPr>
          <w:p>
            <w:pPr>
              <w:jc w:val="center"/>
            </w:pPr>
            <w:r>
              <w:rPr>
                <w:b/>
                <w:sz w:val="19"/>
              </w:rPr>
              <w:t>同比变化</w:t>
            </w:r>
          </w:p>
        </w:tc>
        <w:tc>
          <w:tcPr>
            <w:tcW w:type="dxa" w:w="4460"/>
            <w:shd w:fill="E8EEF5"/>
            <w:tcMar>
              <w:top w:w="80" w:type="dxa"/>
              <w:bottom w:w="80" w:type="dxa"/>
              <w:start w:w="120" w:type="dxa"/>
              <w:end w:w="120" w:type="dxa"/>
            </w:tcMar>
            <w:vAlign w:val="center"/>
          </w:tcPr>
          <w:p>
            <w:pPr>
              <w:jc w:val="center"/>
            </w:pPr>
            <w:r>
              <w:rPr>
                <w:b/>
                <w:sz w:val="19"/>
              </w:rPr>
              <w:t>研究解读</w:t>
            </w:r>
          </w:p>
        </w:tc>
      </w:tr>
      <w:tr>
        <w:tc>
          <w:tcPr>
            <w:tcW w:type="dxa" w:w="1800"/>
            <w:tcMar>
              <w:top w:w="80" w:type="dxa"/>
              <w:bottom w:w="80" w:type="dxa"/>
              <w:start w:w="120" w:type="dxa"/>
              <w:end w:w="120" w:type="dxa"/>
            </w:tcMar>
            <w:vAlign w:val="center"/>
          </w:tcPr>
          <w:p>
            <w:pPr>
              <w:jc w:val="center"/>
            </w:pPr>
            <w:r>
              <w:rPr>
                <w:sz w:val="19"/>
              </w:rPr>
              <w:t>总收入</w:t>
            </w:r>
          </w:p>
        </w:tc>
        <w:tc>
          <w:tcPr>
            <w:tcW w:type="dxa" w:w="1700"/>
            <w:tcMar>
              <w:top w:w="80" w:type="dxa"/>
              <w:bottom w:w="80" w:type="dxa"/>
              <w:start w:w="120" w:type="dxa"/>
              <w:end w:w="120" w:type="dxa"/>
            </w:tcMar>
            <w:vAlign w:val="center"/>
          </w:tcPr>
          <w:p>
            <w:pPr>
              <w:jc w:val="left"/>
            </w:pPr>
            <w:r>
              <w:rPr>
                <w:sz w:val="19"/>
              </w:rPr>
              <w:t>18.06</w:t>
            </w:r>
          </w:p>
        </w:tc>
        <w:tc>
          <w:tcPr>
            <w:tcW w:type="dxa" w:w="1400"/>
            <w:tcMar>
              <w:top w:w="80" w:type="dxa"/>
              <w:bottom w:w="80" w:type="dxa"/>
              <w:start w:w="120" w:type="dxa"/>
              <w:end w:w="120" w:type="dxa"/>
            </w:tcMar>
            <w:vAlign w:val="center"/>
          </w:tcPr>
          <w:p>
            <w:pPr>
              <w:jc w:val="left"/>
            </w:pPr>
            <w:r>
              <w:rPr>
                <w:sz w:val="19"/>
              </w:rPr>
              <w:t>+21%</w:t>
            </w:r>
          </w:p>
        </w:tc>
        <w:tc>
          <w:tcPr>
            <w:tcW w:type="dxa" w:w="4460"/>
            <w:tcMar>
              <w:top w:w="80" w:type="dxa"/>
              <w:bottom w:w="80" w:type="dxa"/>
              <w:start w:w="120" w:type="dxa"/>
              <w:end w:w="120" w:type="dxa"/>
            </w:tcMar>
            <w:vAlign w:val="center"/>
          </w:tcPr>
          <w:p>
            <w:pPr>
              <w:jc w:val="left"/>
            </w:pPr>
            <w:r>
              <w:rPr>
                <w:sz w:val="19"/>
              </w:rPr>
              <w:t>AI datacenter 和通信需求拉动增长</w:t>
            </w:r>
          </w:p>
        </w:tc>
      </w:tr>
      <w:tr>
        <w:tc>
          <w:tcPr>
            <w:tcW w:type="dxa" w:w="1800"/>
            <w:tcMar>
              <w:top w:w="80" w:type="dxa"/>
              <w:bottom w:w="80" w:type="dxa"/>
              <w:start w:w="120" w:type="dxa"/>
              <w:end w:w="120" w:type="dxa"/>
            </w:tcMar>
            <w:vAlign w:val="center"/>
          </w:tcPr>
          <w:p>
            <w:pPr>
              <w:jc w:val="center"/>
            </w:pPr>
            <w:r>
              <w:rPr>
                <w:sz w:val="19"/>
              </w:rPr>
              <w:t>GAAP 毛利</w:t>
            </w:r>
          </w:p>
        </w:tc>
        <w:tc>
          <w:tcPr>
            <w:tcW w:type="dxa" w:w="1700"/>
            <w:tcMar>
              <w:top w:w="80" w:type="dxa"/>
              <w:bottom w:w="80" w:type="dxa"/>
              <w:start w:w="120" w:type="dxa"/>
              <w:end w:w="120" w:type="dxa"/>
            </w:tcMar>
            <w:vAlign w:val="center"/>
          </w:tcPr>
          <w:p>
            <w:pPr>
              <w:jc w:val="left"/>
            </w:pPr>
            <w:r>
              <w:rPr>
                <w:sz w:val="19"/>
              </w:rPr>
              <w:t>6.80</w:t>
            </w:r>
          </w:p>
        </w:tc>
        <w:tc>
          <w:tcPr>
            <w:tcW w:type="dxa" w:w="1400"/>
            <w:tcMar>
              <w:top w:w="80" w:type="dxa"/>
              <w:bottom w:w="80" w:type="dxa"/>
              <w:start w:w="120" w:type="dxa"/>
              <w:end w:w="120" w:type="dxa"/>
            </w:tcMar>
            <w:vAlign w:val="center"/>
          </w:tcPr>
          <w:p>
            <w:pPr>
              <w:jc w:val="left"/>
            </w:pPr>
            <w:r>
              <w:rPr>
                <w:sz w:val="19"/>
              </w:rPr>
              <w:t>+29%</w:t>
            </w:r>
          </w:p>
        </w:tc>
        <w:tc>
          <w:tcPr>
            <w:tcW w:type="dxa" w:w="4460"/>
            <w:tcMar>
              <w:top w:w="80" w:type="dxa"/>
              <w:bottom w:w="80" w:type="dxa"/>
              <w:start w:w="120" w:type="dxa"/>
              <w:end w:w="120" w:type="dxa"/>
            </w:tcMar>
            <w:vAlign w:val="center"/>
          </w:tcPr>
          <w:p>
            <w:pPr>
              <w:jc w:val="left"/>
            </w:pPr>
            <w:r>
              <w:rPr>
                <w:sz w:val="19"/>
              </w:rPr>
              <w:t>毛利率约 38%，同比提升约 243bp</w:t>
            </w:r>
          </w:p>
        </w:tc>
      </w:tr>
      <w:tr>
        <w:tc>
          <w:tcPr>
            <w:tcW w:type="dxa" w:w="1800"/>
            <w:tcMar>
              <w:top w:w="80" w:type="dxa"/>
              <w:bottom w:w="80" w:type="dxa"/>
              <w:start w:w="120" w:type="dxa"/>
              <w:end w:w="120" w:type="dxa"/>
            </w:tcMar>
            <w:vAlign w:val="center"/>
          </w:tcPr>
          <w:p>
            <w:pPr>
              <w:jc w:val="center"/>
            </w:pPr>
            <w:r>
              <w:rPr>
                <w:sz w:val="19"/>
              </w:rPr>
              <w:t>R&amp;D 费用</w:t>
            </w:r>
          </w:p>
        </w:tc>
        <w:tc>
          <w:tcPr>
            <w:tcW w:type="dxa" w:w="1700"/>
            <w:tcMar>
              <w:top w:w="80" w:type="dxa"/>
              <w:bottom w:w="80" w:type="dxa"/>
              <w:start w:w="120" w:type="dxa"/>
              <w:end w:w="120" w:type="dxa"/>
            </w:tcMar>
            <w:vAlign w:val="center"/>
          </w:tcPr>
          <w:p>
            <w:pPr>
              <w:jc w:val="left"/>
            </w:pPr>
            <w:r>
              <w:rPr>
                <w:sz w:val="19"/>
              </w:rPr>
              <w:t>1.86</w:t>
            </w:r>
          </w:p>
        </w:tc>
        <w:tc>
          <w:tcPr>
            <w:tcW w:type="dxa" w:w="1400"/>
            <w:tcMar>
              <w:top w:w="80" w:type="dxa"/>
              <w:bottom w:w="80" w:type="dxa"/>
              <w:start w:w="120" w:type="dxa"/>
              <w:end w:w="120" w:type="dxa"/>
            </w:tcMar>
            <w:vAlign w:val="center"/>
          </w:tcPr>
          <w:p>
            <w:pPr>
              <w:jc w:val="left"/>
            </w:pPr>
            <w:r>
              <w:rPr>
                <w:sz w:val="19"/>
              </w:rPr>
              <w:t>+23%</w:t>
            </w:r>
          </w:p>
        </w:tc>
        <w:tc>
          <w:tcPr>
            <w:tcW w:type="dxa" w:w="4460"/>
            <w:tcMar>
              <w:top w:w="80" w:type="dxa"/>
              <w:bottom w:w="80" w:type="dxa"/>
              <w:start w:w="120" w:type="dxa"/>
              <w:end w:w="120" w:type="dxa"/>
            </w:tcMar>
            <w:vAlign w:val="center"/>
          </w:tcPr>
          <w:p>
            <w:pPr>
              <w:jc w:val="left"/>
            </w:pPr>
            <w:r>
              <w:rPr>
                <w:sz w:val="19"/>
              </w:rPr>
              <w:t>继续投向 D&amp;C 产品组合和产能能力</w:t>
            </w:r>
          </w:p>
        </w:tc>
      </w:tr>
      <w:tr>
        <w:tc>
          <w:tcPr>
            <w:tcW w:type="dxa" w:w="1800"/>
            <w:tcMar>
              <w:top w:w="80" w:type="dxa"/>
              <w:bottom w:w="80" w:type="dxa"/>
              <w:start w:w="120" w:type="dxa"/>
              <w:end w:w="120" w:type="dxa"/>
            </w:tcMar>
            <w:vAlign w:val="center"/>
          </w:tcPr>
          <w:p>
            <w:pPr>
              <w:jc w:val="center"/>
            </w:pPr>
            <w:r>
              <w:rPr>
                <w:sz w:val="19"/>
              </w:rPr>
              <w:t>SG&amp;A 费用</w:t>
            </w:r>
          </w:p>
        </w:tc>
        <w:tc>
          <w:tcPr>
            <w:tcW w:type="dxa" w:w="1700"/>
            <w:tcMar>
              <w:top w:w="80" w:type="dxa"/>
              <w:bottom w:w="80" w:type="dxa"/>
              <w:start w:w="120" w:type="dxa"/>
              <w:end w:w="120" w:type="dxa"/>
            </w:tcMar>
            <w:vAlign w:val="center"/>
          </w:tcPr>
          <w:p>
            <w:pPr>
              <w:jc w:val="left"/>
            </w:pPr>
            <w:r>
              <w:rPr>
                <w:sz w:val="19"/>
              </w:rPr>
              <w:t>2.68</w:t>
            </w:r>
          </w:p>
        </w:tc>
        <w:tc>
          <w:tcPr>
            <w:tcW w:type="dxa" w:w="1400"/>
            <w:tcMar>
              <w:top w:w="80" w:type="dxa"/>
              <w:bottom w:w="80" w:type="dxa"/>
              <w:start w:w="120" w:type="dxa"/>
              <w:end w:w="120" w:type="dxa"/>
            </w:tcMar>
            <w:vAlign w:val="center"/>
          </w:tcPr>
          <w:p>
            <w:pPr>
              <w:jc w:val="left"/>
            </w:pPr>
            <w:r>
              <w:rPr>
                <w:sz w:val="19"/>
              </w:rPr>
              <w:t>+16%</w:t>
            </w:r>
          </w:p>
        </w:tc>
        <w:tc>
          <w:tcPr>
            <w:tcW w:type="dxa" w:w="4460"/>
            <w:tcMar>
              <w:top w:w="80" w:type="dxa"/>
              <w:bottom w:w="80" w:type="dxa"/>
              <w:start w:w="120" w:type="dxa"/>
              <w:end w:w="120" w:type="dxa"/>
            </w:tcMar>
            <w:vAlign w:val="center"/>
          </w:tcPr>
          <w:p>
            <w:pPr>
              <w:jc w:val="left"/>
            </w:pPr>
            <w:r>
              <w:rPr>
                <w:sz w:val="19"/>
              </w:rPr>
              <w:t>费用率约 15%，随收入增长保持稳定</w:t>
            </w:r>
          </w:p>
        </w:tc>
      </w:tr>
      <w:tr>
        <w:tc>
          <w:tcPr>
            <w:tcW w:type="dxa" w:w="1800"/>
            <w:tcMar>
              <w:top w:w="80" w:type="dxa"/>
              <w:bottom w:w="80" w:type="dxa"/>
              <w:start w:w="120" w:type="dxa"/>
              <w:end w:w="120" w:type="dxa"/>
            </w:tcMar>
            <w:vAlign w:val="center"/>
          </w:tcPr>
          <w:p>
            <w:pPr>
              <w:jc w:val="center"/>
            </w:pPr>
            <w:r>
              <w:rPr>
                <w:sz w:val="19"/>
              </w:rPr>
              <w:t>利息费用</w:t>
            </w:r>
          </w:p>
        </w:tc>
        <w:tc>
          <w:tcPr>
            <w:tcW w:type="dxa" w:w="1700"/>
            <w:tcMar>
              <w:top w:w="80" w:type="dxa"/>
              <w:bottom w:w="80" w:type="dxa"/>
              <w:start w:w="120" w:type="dxa"/>
              <w:end w:w="120" w:type="dxa"/>
            </w:tcMar>
            <w:vAlign w:val="center"/>
          </w:tcPr>
          <w:p>
            <w:pPr>
              <w:jc w:val="left"/>
            </w:pPr>
            <w:r>
              <w:rPr>
                <w:sz w:val="19"/>
              </w:rPr>
              <w:t>0.45</w:t>
            </w:r>
          </w:p>
        </w:tc>
        <w:tc>
          <w:tcPr>
            <w:tcW w:type="dxa" w:w="1400"/>
            <w:tcMar>
              <w:top w:w="80" w:type="dxa"/>
              <w:bottom w:w="80" w:type="dxa"/>
              <w:start w:w="120" w:type="dxa"/>
              <w:end w:w="120" w:type="dxa"/>
            </w:tcMar>
            <w:vAlign w:val="center"/>
          </w:tcPr>
          <w:p>
            <w:pPr>
              <w:jc w:val="left"/>
            </w:pPr>
            <w:r>
              <w:rPr>
                <w:sz w:val="19"/>
              </w:rPr>
              <w:t>-22%</w:t>
            </w:r>
          </w:p>
        </w:tc>
        <w:tc>
          <w:tcPr>
            <w:tcW w:type="dxa" w:w="4460"/>
            <w:tcMar>
              <w:top w:w="80" w:type="dxa"/>
              <w:bottom w:w="80" w:type="dxa"/>
              <w:start w:w="120" w:type="dxa"/>
              <w:end w:w="120" w:type="dxa"/>
            </w:tcMar>
            <w:vAlign w:val="center"/>
          </w:tcPr>
          <w:p>
            <w:pPr>
              <w:jc w:val="left"/>
            </w:pPr>
            <w:r>
              <w:rPr>
                <w:sz w:val="19"/>
              </w:rPr>
              <w:t>债务成本下降，降杠杆开始反映在损益表</w:t>
            </w:r>
          </w:p>
        </w:tc>
      </w:tr>
      <w:tr>
        <w:tc>
          <w:tcPr>
            <w:tcW w:type="dxa" w:w="1800"/>
            <w:tcMar>
              <w:top w:w="80" w:type="dxa"/>
              <w:bottom w:w="80" w:type="dxa"/>
              <w:start w:w="120" w:type="dxa"/>
              <w:end w:w="120" w:type="dxa"/>
            </w:tcMar>
            <w:vAlign w:val="center"/>
          </w:tcPr>
          <w:p>
            <w:pPr>
              <w:jc w:val="center"/>
            </w:pPr>
            <w:r>
              <w:rPr>
                <w:sz w:val="19"/>
              </w:rPr>
              <w:t>GAAP 净利润</w:t>
            </w:r>
          </w:p>
        </w:tc>
        <w:tc>
          <w:tcPr>
            <w:tcW w:type="dxa" w:w="1700"/>
            <w:tcMar>
              <w:top w:w="80" w:type="dxa"/>
              <w:bottom w:w="80" w:type="dxa"/>
              <w:start w:w="120" w:type="dxa"/>
              <w:end w:w="120" w:type="dxa"/>
            </w:tcMar>
            <w:vAlign w:val="center"/>
          </w:tcPr>
          <w:p>
            <w:pPr>
              <w:jc w:val="left"/>
            </w:pPr>
            <w:r>
              <w:rPr>
                <w:sz w:val="19"/>
              </w:rPr>
              <w:t>1.82</w:t>
            </w:r>
          </w:p>
        </w:tc>
        <w:tc>
          <w:tcPr>
            <w:tcW w:type="dxa" w:w="1400"/>
            <w:tcMar>
              <w:top w:w="80" w:type="dxa"/>
              <w:bottom w:w="80" w:type="dxa"/>
              <w:start w:w="120" w:type="dxa"/>
              <w:end w:w="120" w:type="dxa"/>
            </w:tcMar>
            <w:vAlign w:val="center"/>
          </w:tcPr>
          <w:p>
            <w:pPr>
              <w:jc w:val="left"/>
            </w:pPr>
            <w:r>
              <w:rPr>
                <w:sz w:val="19"/>
              </w:rPr>
              <w:t>大幅改善</w:t>
            </w:r>
          </w:p>
        </w:tc>
        <w:tc>
          <w:tcPr>
            <w:tcW w:type="dxa" w:w="4460"/>
            <w:tcMar>
              <w:top w:w="80" w:type="dxa"/>
              <w:bottom w:w="80" w:type="dxa"/>
              <w:start w:w="120" w:type="dxa"/>
              <w:end w:w="120" w:type="dxa"/>
            </w:tcMar>
            <w:vAlign w:val="center"/>
          </w:tcPr>
          <w:p>
            <w:pPr>
              <w:jc w:val="left"/>
            </w:pPr>
            <w:r>
              <w:rPr>
                <w:sz w:val="19"/>
              </w:rPr>
              <w:t>受收入增长、毛利率改善和资产出售收益等影响</w:t>
            </w:r>
          </w:p>
        </w:tc>
      </w:tr>
      <w:tr>
        <w:tc>
          <w:tcPr>
            <w:tcW w:type="dxa" w:w="1800"/>
            <w:tcMar>
              <w:top w:w="80" w:type="dxa"/>
              <w:bottom w:w="80" w:type="dxa"/>
              <w:start w:w="120" w:type="dxa"/>
              <w:end w:w="120" w:type="dxa"/>
            </w:tcMar>
            <w:vAlign w:val="center"/>
          </w:tcPr>
          <w:p>
            <w:pPr>
              <w:jc w:val="center"/>
            </w:pPr>
            <w:r>
              <w:rPr>
                <w:sz w:val="19"/>
              </w:rPr>
              <w:t>GAAP diluted EPS</w:t>
            </w:r>
          </w:p>
        </w:tc>
        <w:tc>
          <w:tcPr>
            <w:tcW w:type="dxa" w:w="1700"/>
            <w:tcMar>
              <w:top w:w="80" w:type="dxa"/>
              <w:bottom w:w="80" w:type="dxa"/>
              <w:start w:w="120" w:type="dxa"/>
              <w:end w:w="120" w:type="dxa"/>
            </w:tcMar>
            <w:vAlign w:val="center"/>
          </w:tcPr>
          <w:p>
            <w:pPr>
              <w:jc w:val="left"/>
            </w:pPr>
            <w:r>
              <w:rPr>
                <w:sz w:val="19"/>
              </w:rPr>
              <w:t>0.97</w:t>
            </w:r>
          </w:p>
        </w:tc>
        <w:tc>
          <w:tcPr>
            <w:tcW w:type="dxa" w:w="1400"/>
            <w:tcMar>
              <w:top w:w="80" w:type="dxa"/>
              <w:bottom w:w="80" w:type="dxa"/>
              <w:start w:w="120" w:type="dxa"/>
              <w:end w:w="120" w:type="dxa"/>
            </w:tcMar>
            <w:vAlign w:val="center"/>
          </w:tcPr>
          <w:p>
            <w:pPr>
              <w:jc w:val="left"/>
            </w:pPr>
            <w:r>
              <w:rPr>
                <w:sz w:val="19"/>
              </w:rPr>
              <w:t>转正</w:t>
            </w:r>
          </w:p>
        </w:tc>
        <w:tc>
          <w:tcPr>
            <w:tcW w:type="dxa" w:w="4460"/>
            <w:tcMar>
              <w:top w:w="80" w:type="dxa"/>
              <w:bottom w:w="80" w:type="dxa"/>
              <w:start w:w="120" w:type="dxa"/>
              <w:end w:w="120" w:type="dxa"/>
            </w:tcMar>
            <w:vAlign w:val="center"/>
          </w:tcPr>
          <w:p>
            <w:pPr>
              <w:jc w:val="left"/>
            </w:pPr>
            <w:r>
              <w:rPr>
                <w:sz w:val="19"/>
              </w:rPr>
              <w:t>普通股可得利润明显改善</w:t>
            </w:r>
          </w:p>
        </w:tc>
      </w:tr>
      <w:tr>
        <w:tc>
          <w:tcPr>
            <w:tcW w:type="dxa" w:w="1800"/>
            <w:tcMar>
              <w:top w:w="80" w:type="dxa"/>
              <w:bottom w:w="80" w:type="dxa"/>
              <w:start w:w="120" w:type="dxa"/>
              <w:end w:w="120" w:type="dxa"/>
            </w:tcMar>
            <w:vAlign w:val="center"/>
          </w:tcPr>
          <w:p>
            <w:pPr>
              <w:jc w:val="center"/>
            </w:pPr>
            <w:r>
              <w:rPr>
                <w:sz w:val="19"/>
              </w:rPr>
              <w:t>Non-GAAP EPS</w:t>
            </w:r>
          </w:p>
        </w:tc>
        <w:tc>
          <w:tcPr>
            <w:tcW w:type="dxa" w:w="1700"/>
            <w:tcMar>
              <w:top w:w="80" w:type="dxa"/>
              <w:bottom w:w="80" w:type="dxa"/>
              <w:start w:w="120" w:type="dxa"/>
              <w:end w:w="120" w:type="dxa"/>
            </w:tcMar>
            <w:vAlign w:val="center"/>
          </w:tcPr>
          <w:p>
            <w:pPr>
              <w:jc w:val="left"/>
            </w:pPr>
            <w:r>
              <w:rPr>
                <w:sz w:val="19"/>
              </w:rPr>
              <w:t>1.41</w:t>
            </w:r>
          </w:p>
        </w:tc>
        <w:tc>
          <w:tcPr>
            <w:tcW w:type="dxa" w:w="1400"/>
            <w:tcMar>
              <w:top w:w="80" w:type="dxa"/>
              <w:bottom w:w="80" w:type="dxa"/>
              <w:start w:w="120" w:type="dxa"/>
              <w:end w:w="120" w:type="dxa"/>
            </w:tcMar>
            <w:vAlign w:val="center"/>
          </w:tcPr>
          <w:p>
            <w:pPr>
              <w:jc w:val="left"/>
            </w:pPr>
            <w:r>
              <w:rPr>
                <w:sz w:val="19"/>
              </w:rPr>
              <w:t>高于去年同期 0.91</w:t>
            </w:r>
          </w:p>
        </w:tc>
        <w:tc>
          <w:tcPr>
            <w:tcW w:type="dxa" w:w="4460"/>
            <w:tcMar>
              <w:top w:w="80" w:type="dxa"/>
              <w:bottom w:w="80" w:type="dxa"/>
              <w:start w:w="120" w:type="dxa"/>
              <w:end w:w="120" w:type="dxa"/>
            </w:tcMar>
            <w:vAlign w:val="center"/>
          </w:tcPr>
          <w:p>
            <w:pPr>
              <w:jc w:val="left"/>
            </w:pPr>
            <w:r>
              <w:rPr>
                <w:sz w:val="19"/>
              </w:rPr>
              <w:t>市场更关注的经营口径，基本符合预期</w:t>
            </w:r>
          </w:p>
        </w:tc>
      </w:tr>
    </w:tbl>
    <w:p/>
    <w:p>
      <w:pPr>
        <w:pStyle w:val="Heading2"/>
      </w:pPr>
      <w:r>
        <w:t>7.2 FY2026 前九个月财务</w:t>
      </w:r>
    </w:p>
    <w:tbl>
      <w:tblPr>
        <w:tblStyle w:val="TableGrid"/>
        <w:tblW w:type="dxa" w:w="9360"/>
        <w:jc w:val="center"/>
        <w:tblLook w:firstColumn="1" w:firstRow="1" w:lastColumn="0" w:lastRow="0" w:noHBand="0" w:noVBand="1" w:val="04A0"/>
        <w:tblInd w:w="120" w:type="dxa"/>
      </w:tblPr>
      <w:tblGrid>
        <w:gridCol w:w="2100"/>
        <w:gridCol w:w="1700"/>
        <w:gridCol w:w="1400"/>
        <w:gridCol w:w="4160"/>
      </w:tblGrid>
      <w:tr>
        <w:trPr>
          <w:tblHeader w:val="true"/>
        </w:trPr>
        <w:tc>
          <w:tcPr>
            <w:tcW w:type="dxa" w:w="2100"/>
            <w:shd w:fill="F2F4F7"/>
            <w:tcMar>
              <w:top w:w="80" w:type="dxa"/>
              <w:bottom w:w="80" w:type="dxa"/>
              <w:start w:w="120" w:type="dxa"/>
              <w:end w:w="120" w:type="dxa"/>
            </w:tcMar>
            <w:vAlign w:val="center"/>
          </w:tcPr>
          <w:p>
            <w:pPr>
              <w:jc w:val="center"/>
            </w:pPr>
            <w:r>
              <w:rPr>
                <w:b/>
                <w:sz w:val="19"/>
              </w:rPr>
              <w:t>指标</w:t>
            </w:r>
          </w:p>
        </w:tc>
        <w:tc>
          <w:tcPr>
            <w:tcW w:type="dxa" w:w="1700"/>
            <w:shd w:fill="F2F4F7"/>
            <w:tcMar>
              <w:top w:w="80" w:type="dxa"/>
              <w:bottom w:w="80" w:type="dxa"/>
              <w:start w:w="120" w:type="dxa"/>
              <w:end w:w="120" w:type="dxa"/>
            </w:tcMar>
            <w:vAlign w:val="center"/>
          </w:tcPr>
          <w:p>
            <w:pPr>
              <w:jc w:val="center"/>
            </w:pPr>
            <w:r>
              <w:rPr>
                <w:b/>
                <w:sz w:val="19"/>
              </w:rPr>
              <w:t>FY2026 前九个月</w:t>
            </w:r>
          </w:p>
        </w:tc>
        <w:tc>
          <w:tcPr>
            <w:tcW w:type="dxa" w:w="1400"/>
            <w:shd w:fill="F2F4F7"/>
            <w:tcMar>
              <w:top w:w="80" w:type="dxa"/>
              <w:bottom w:w="80" w:type="dxa"/>
              <w:start w:w="120" w:type="dxa"/>
              <w:end w:w="120" w:type="dxa"/>
            </w:tcMar>
            <w:vAlign w:val="center"/>
          </w:tcPr>
          <w:p>
            <w:pPr>
              <w:jc w:val="center"/>
            </w:pPr>
            <w:r>
              <w:rPr>
                <w:b/>
                <w:sz w:val="19"/>
              </w:rPr>
              <w:t>同比变化</w:t>
            </w:r>
          </w:p>
        </w:tc>
        <w:tc>
          <w:tcPr>
            <w:tcW w:type="dxa" w:w="4160"/>
            <w:shd w:fill="F2F4F7"/>
            <w:tcMar>
              <w:top w:w="80" w:type="dxa"/>
              <w:bottom w:w="80" w:type="dxa"/>
              <w:start w:w="120" w:type="dxa"/>
              <w:end w:w="120" w:type="dxa"/>
            </w:tcMar>
            <w:vAlign w:val="center"/>
          </w:tcPr>
          <w:p>
            <w:pPr>
              <w:jc w:val="center"/>
            </w:pPr>
            <w:r>
              <w:rPr>
                <w:b/>
                <w:sz w:val="19"/>
              </w:rPr>
              <w:t>研究解读</w:t>
            </w:r>
          </w:p>
        </w:tc>
      </w:tr>
      <w:tr>
        <w:tc>
          <w:tcPr>
            <w:tcW w:type="dxa" w:w="2100"/>
            <w:tcMar>
              <w:top w:w="80" w:type="dxa"/>
              <w:bottom w:w="80" w:type="dxa"/>
              <w:start w:w="120" w:type="dxa"/>
              <w:end w:w="120" w:type="dxa"/>
            </w:tcMar>
            <w:vAlign w:val="center"/>
          </w:tcPr>
          <w:p>
            <w:pPr>
              <w:jc w:val="center"/>
            </w:pPr>
            <w:r>
              <w:rPr>
                <w:sz w:val="19"/>
              </w:rPr>
              <w:t>总收入</w:t>
            </w:r>
          </w:p>
        </w:tc>
        <w:tc>
          <w:tcPr>
            <w:tcW w:type="dxa" w:w="1700"/>
            <w:tcMar>
              <w:top w:w="80" w:type="dxa"/>
              <w:bottom w:w="80" w:type="dxa"/>
              <w:start w:w="120" w:type="dxa"/>
              <w:end w:w="120" w:type="dxa"/>
            </w:tcMar>
            <w:vAlign w:val="center"/>
          </w:tcPr>
          <w:p>
            <w:pPr>
              <w:jc w:val="left"/>
            </w:pPr>
            <w:r>
              <w:rPr>
                <w:sz w:val="19"/>
              </w:rPr>
              <w:t>50.73</w:t>
            </w:r>
          </w:p>
        </w:tc>
        <w:tc>
          <w:tcPr>
            <w:tcW w:type="dxa" w:w="1400"/>
            <w:tcMar>
              <w:top w:w="80" w:type="dxa"/>
              <w:bottom w:w="80" w:type="dxa"/>
              <w:start w:w="120" w:type="dxa"/>
              <w:end w:w="120" w:type="dxa"/>
            </w:tcMar>
            <w:vAlign w:val="center"/>
          </w:tcPr>
          <w:p>
            <w:pPr>
              <w:jc w:val="left"/>
            </w:pPr>
            <w:r>
              <w:rPr>
                <w:sz w:val="19"/>
              </w:rPr>
              <w:t>+19%</w:t>
            </w:r>
          </w:p>
        </w:tc>
        <w:tc>
          <w:tcPr>
            <w:tcW w:type="dxa" w:w="4160"/>
            <w:tcMar>
              <w:top w:w="80" w:type="dxa"/>
              <w:bottom w:w="80" w:type="dxa"/>
              <w:start w:w="120" w:type="dxa"/>
              <w:end w:w="120" w:type="dxa"/>
            </w:tcMar>
            <w:vAlign w:val="center"/>
          </w:tcPr>
          <w:p>
            <w:pPr>
              <w:jc w:val="left"/>
            </w:pPr>
            <w:r>
              <w:rPr>
                <w:sz w:val="19"/>
              </w:rPr>
              <w:t>D&amp;C 高增长抵消 Industrial 下滑</w:t>
            </w:r>
          </w:p>
        </w:tc>
      </w:tr>
      <w:tr>
        <w:tc>
          <w:tcPr>
            <w:tcW w:type="dxa" w:w="2100"/>
            <w:tcMar>
              <w:top w:w="80" w:type="dxa"/>
              <w:bottom w:w="80" w:type="dxa"/>
              <w:start w:w="120" w:type="dxa"/>
              <w:end w:w="120" w:type="dxa"/>
            </w:tcMar>
            <w:vAlign w:val="center"/>
          </w:tcPr>
          <w:p>
            <w:pPr>
              <w:jc w:val="center"/>
            </w:pPr>
            <w:r>
              <w:rPr>
                <w:sz w:val="19"/>
              </w:rPr>
              <w:t>GAAP 毛利</w:t>
            </w:r>
          </w:p>
        </w:tc>
        <w:tc>
          <w:tcPr>
            <w:tcW w:type="dxa" w:w="1700"/>
            <w:tcMar>
              <w:top w:w="80" w:type="dxa"/>
              <w:bottom w:w="80" w:type="dxa"/>
              <w:start w:w="120" w:type="dxa"/>
              <w:end w:w="120" w:type="dxa"/>
            </w:tcMar>
            <w:vAlign w:val="center"/>
          </w:tcPr>
          <w:p>
            <w:pPr>
              <w:jc w:val="left"/>
            </w:pPr>
            <w:r>
              <w:rPr>
                <w:sz w:val="19"/>
              </w:rPr>
              <w:t>18.82</w:t>
            </w:r>
          </w:p>
        </w:tc>
        <w:tc>
          <w:tcPr>
            <w:tcW w:type="dxa" w:w="1400"/>
            <w:tcMar>
              <w:top w:w="80" w:type="dxa"/>
              <w:bottom w:w="80" w:type="dxa"/>
              <w:start w:w="120" w:type="dxa"/>
              <w:end w:w="120" w:type="dxa"/>
            </w:tcMar>
            <w:vAlign w:val="center"/>
          </w:tcPr>
          <w:p>
            <w:pPr>
              <w:jc w:val="left"/>
            </w:pPr>
            <w:r>
              <w:rPr>
                <w:sz w:val="19"/>
              </w:rPr>
              <w:t>+26%</w:t>
            </w:r>
          </w:p>
        </w:tc>
        <w:tc>
          <w:tcPr>
            <w:tcW w:type="dxa" w:w="4160"/>
            <w:tcMar>
              <w:top w:w="80" w:type="dxa"/>
              <w:bottom w:w="80" w:type="dxa"/>
              <w:start w:w="120" w:type="dxa"/>
              <w:end w:w="120" w:type="dxa"/>
            </w:tcMar>
            <w:vAlign w:val="center"/>
          </w:tcPr>
          <w:p>
            <w:pPr>
              <w:jc w:val="left"/>
            </w:pPr>
            <w:r>
              <w:rPr>
                <w:sz w:val="19"/>
              </w:rPr>
              <w:t>毛利率约 37%，同比提升约 213bp</w:t>
            </w:r>
          </w:p>
        </w:tc>
      </w:tr>
      <w:tr>
        <w:tc>
          <w:tcPr>
            <w:tcW w:type="dxa" w:w="2100"/>
            <w:tcMar>
              <w:top w:w="80" w:type="dxa"/>
              <w:bottom w:w="80" w:type="dxa"/>
              <w:start w:w="120" w:type="dxa"/>
              <w:end w:w="120" w:type="dxa"/>
            </w:tcMar>
            <w:vAlign w:val="center"/>
          </w:tcPr>
          <w:p>
            <w:pPr>
              <w:jc w:val="center"/>
            </w:pPr>
            <w:r>
              <w:rPr>
                <w:sz w:val="19"/>
              </w:rPr>
              <w:t>GAAP 净利润</w:t>
            </w:r>
          </w:p>
        </w:tc>
        <w:tc>
          <w:tcPr>
            <w:tcW w:type="dxa" w:w="1700"/>
            <w:tcMar>
              <w:top w:w="80" w:type="dxa"/>
              <w:bottom w:w="80" w:type="dxa"/>
              <w:start w:w="120" w:type="dxa"/>
              <w:end w:w="120" w:type="dxa"/>
            </w:tcMar>
            <w:vAlign w:val="center"/>
          </w:tcPr>
          <w:p>
            <w:pPr>
              <w:jc w:val="left"/>
            </w:pPr>
            <w:r>
              <w:rPr>
                <w:sz w:val="19"/>
              </w:rPr>
              <w:t>5.51</w:t>
            </w:r>
          </w:p>
        </w:tc>
        <w:tc>
          <w:tcPr>
            <w:tcW w:type="dxa" w:w="1400"/>
            <w:tcMar>
              <w:top w:w="80" w:type="dxa"/>
              <w:bottom w:w="80" w:type="dxa"/>
              <w:start w:w="120" w:type="dxa"/>
              <w:end w:w="120" w:type="dxa"/>
            </w:tcMar>
            <w:vAlign w:val="center"/>
          </w:tcPr>
          <w:p>
            <w:pPr>
              <w:jc w:val="left"/>
            </w:pPr>
            <w:r>
              <w:rPr>
                <w:sz w:val="19"/>
              </w:rPr>
              <w:t>+330%</w:t>
            </w:r>
          </w:p>
        </w:tc>
        <w:tc>
          <w:tcPr>
            <w:tcW w:type="dxa" w:w="4160"/>
            <w:tcMar>
              <w:top w:w="80" w:type="dxa"/>
              <w:bottom w:w="80" w:type="dxa"/>
              <w:start w:w="120" w:type="dxa"/>
              <w:end w:w="120" w:type="dxa"/>
            </w:tcMar>
            <w:vAlign w:val="center"/>
          </w:tcPr>
          <w:p>
            <w:pPr>
              <w:jc w:val="left"/>
            </w:pPr>
            <w:r>
              <w:rPr>
                <w:sz w:val="19"/>
              </w:rPr>
              <w:t>盈利修复显著，但包含资产出售等项目</w:t>
            </w:r>
          </w:p>
        </w:tc>
      </w:tr>
      <w:tr>
        <w:tc>
          <w:tcPr>
            <w:tcW w:type="dxa" w:w="2100"/>
            <w:tcMar>
              <w:top w:w="80" w:type="dxa"/>
              <w:bottom w:w="80" w:type="dxa"/>
              <w:start w:w="120" w:type="dxa"/>
              <w:end w:w="120" w:type="dxa"/>
            </w:tcMar>
            <w:vAlign w:val="center"/>
          </w:tcPr>
          <w:p>
            <w:pPr>
              <w:jc w:val="center"/>
            </w:pPr>
            <w:r>
              <w:rPr>
                <w:sz w:val="19"/>
              </w:rPr>
              <w:t>普通股可得净利润</w:t>
            </w:r>
          </w:p>
        </w:tc>
        <w:tc>
          <w:tcPr>
            <w:tcW w:type="dxa" w:w="1700"/>
            <w:tcMar>
              <w:top w:w="80" w:type="dxa"/>
              <w:bottom w:w="80" w:type="dxa"/>
              <w:start w:w="120" w:type="dxa"/>
              <w:end w:w="120" w:type="dxa"/>
            </w:tcMar>
            <w:vAlign w:val="center"/>
          </w:tcPr>
          <w:p>
            <w:pPr>
              <w:jc w:val="left"/>
            </w:pPr>
            <w:r>
              <w:rPr>
                <w:sz w:val="19"/>
              </w:rPr>
              <w:t>5.29</w:t>
            </w:r>
          </w:p>
        </w:tc>
        <w:tc>
          <w:tcPr>
            <w:tcW w:type="dxa" w:w="1400"/>
            <w:tcMar>
              <w:top w:w="80" w:type="dxa"/>
              <w:bottom w:w="80" w:type="dxa"/>
              <w:start w:w="120" w:type="dxa"/>
              <w:end w:w="120" w:type="dxa"/>
            </w:tcMar>
            <w:vAlign w:val="center"/>
          </w:tcPr>
          <w:p>
            <w:pPr>
              <w:jc w:val="left"/>
            </w:pPr>
            <w:r>
              <w:rPr>
                <w:sz w:val="19"/>
              </w:rPr>
              <w:t>大幅增长</w:t>
            </w:r>
          </w:p>
        </w:tc>
        <w:tc>
          <w:tcPr>
            <w:tcW w:type="dxa" w:w="4160"/>
            <w:tcMar>
              <w:top w:w="80" w:type="dxa"/>
              <w:bottom w:w="80" w:type="dxa"/>
              <w:start w:w="120" w:type="dxa"/>
              <w:end w:w="120" w:type="dxa"/>
            </w:tcMar>
            <w:vAlign w:val="center"/>
          </w:tcPr>
          <w:p>
            <w:pPr>
              <w:jc w:val="left"/>
            </w:pPr>
            <w:r>
              <w:rPr>
                <w:sz w:val="19"/>
              </w:rPr>
              <w:t>preferred conversion 降低优先股分红压力</w:t>
            </w:r>
          </w:p>
        </w:tc>
      </w:tr>
      <w:tr>
        <w:tc>
          <w:tcPr>
            <w:tcW w:type="dxa" w:w="2100"/>
            <w:tcMar>
              <w:top w:w="80" w:type="dxa"/>
              <w:bottom w:w="80" w:type="dxa"/>
              <w:start w:w="120" w:type="dxa"/>
              <w:end w:w="120" w:type="dxa"/>
            </w:tcMar>
            <w:vAlign w:val="center"/>
          </w:tcPr>
          <w:p>
            <w:pPr>
              <w:jc w:val="center"/>
            </w:pPr>
            <w:r>
              <w:rPr>
                <w:sz w:val="19"/>
              </w:rPr>
              <w:t>GAAP diluted EPS</w:t>
            </w:r>
          </w:p>
        </w:tc>
        <w:tc>
          <w:tcPr>
            <w:tcW w:type="dxa" w:w="1700"/>
            <w:tcMar>
              <w:top w:w="80" w:type="dxa"/>
              <w:bottom w:w="80" w:type="dxa"/>
              <w:start w:w="120" w:type="dxa"/>
              <w:end w:w="120" w:type="dxa"/>
            </w:tcMar>
            <w:vAlign w:val="center"/>
          </w:tcPr>
          <w:p>
            <w:pPr>
              <w:jc w:val="left"/>
            </w:pPr>
            <w:r>
              <w:rPr>
                <w:sz w:val="19"/>
              </w:rPr>
              <w:t>2.92</w:t>
            </w:r>
          </w:p>
        </w:tc>
        <w:tc>
          <w:tcPr>
            <w:tcW w:type="dxa" w:w="1400"/>
            <w:tcMar>
              <w:top w:w="80" w:type="dxa"/>
              <w:bottom w:w="80" w:type="dxa"/>
              <w:start w:w="120" w:type="dxa"/>
              <w:end w:w="120" w:type="dxa"/>
            </w:tcMar>
            <w:vAlign w:val="center"/>
          </w:tcPr>
          <w:p>
            <w:pPr>
              <w:jc w:val="left"/>
            </w:pPr>
            <w:r>
              <w:rPr>
                <w:sz w:val="19"/>
              </w:rPr>
              <w:t>+873%</w:t>
            </w:r>
          </w:p>
        </w:tc>
        <w:tc>
          <w:tcPr>
            <w:tcW w:type="dxa" w:w="4160"/>
            <w:tcMar>
              <w:top w:w="80" w:type="dxa"/>
              <w:bottom w:w="80" w:type="dxa"/>
              <w:start w:w="120" w:type="dxa"/>
              <w:end w:w="120" w:type="dxa"/>
            </w:tcMar>
            <w:vAlign w:val="center"/>
          </w:tcPr>
          <w:p>
            <w:pPr>
              <w:jc w:val="left"/>
            </w:pPr>
            <w:r>
              <w:rPr>
                <w:sz w:val="19"/>
              </w:rPr>
              <w:t>EPS 弹性来自利润修复和资本结构改善</w:t>
            </w:r>
          </w:p>
        </w:tc>
      </w:tr>
      <w:tr>
        <w:tc>
          <w:tcPr>
            <w:tcW w:type="dxa" w:w="2100"/>
            <w:tcMar>
              <w:top w:w="80" w:type="dxa"/>
              <w:bottom w:w="80" w:type="dxa"/>
              <w:start w:w="120" w:type="dxa"/>
              <w:end w:w="120" w:type="dxa"/>
            </w:tcMar>
            <w:vAlign w:val="center"/>
          </w:tcPr>
          <w:p>
            <w:pPr>
              <w:jc w:val="center"/>
            </w:pPr>
            <w:r>
              <w:rPr>
                <w:sz w:val="19"/>
              </w:rPr>
              <w:t>经营现金流</w:t>
            </w:r>
          </w:p>
        </w:tc>
        <w:tc>
          <w:tcPr>
            <w:tcW w:type="dxa" w:w="1700"/>
            <w:tcMar>
              <w:top w:w="80" w:type="dxa"/>
              <w:bottom w:w="80" w:type="dxa"/>
              <w:start w:w="120" w:type="dxa"/>
              <w:end w:w="120" w:type="dxa"/>
            </w:tcMar>
            <w:vAlign w:val="center"/>
          </w:tcPr>
          <w:p>
            <w:pPr>
              <w:jc w:val="left"/>
            </w:pPr>
            <w:r>
              <w:rPr>
                <w:sz w:val="19"/>
              </w:rPr>
              <w:t>0.10</w:t>
            </w:r>
          </w:p>
        </w:tc>
        <w:tc>
          <w:tcPr>
            <w:tcW w:type="dxa" w:w="1400"/>
            <w:tcMar>
              <w:top w:w="80" w:type="dxa"/>
              <w:bottom w:w="80" w:type="dxa"/>
              <w:start w:w="120" w:type="dxa"/>
              <w:end w:w="120" w:type="dxa"/>
            </w:tcMar>
            <w:vAlign w:val="center"/>
          </w:tcPr>
          <w:p>
            <w:pPr>
              <w:jc w:val="left"/>
            </w:pPr>
            <w:r>
              <w:rPr>
                <w:sz w:val="19"/>
              </w:rPr>
              <w:t>低于去年同期 5.03</w:t>
            </w:r>
          </w:p>
        </w:tc>
        <w:tc>
          <w:tcPr>
            <w:tcW w:type="dxa" w:w="4160"/>
            <w:tcMar>
              <w:top w:w="80" w:type="dxa"/>
              <w:bottom w:w="80" w:type="dxa"/>
              <w:start w:w="120" w:type="dxa"/>
              <w:end w:w="120" w:type="dxa"/>
            </w:tcMar>
            <w:vAlign w:val="center"/>
          </w:tcPr>
          <w:p>
            <w:pPr>
              <w:jc w:val="left"/>
            </w:pPr>
            <w:r>
              <w:rPr>
                <w:sz w:val="19"/>
              </w:rPr>
              <w:t>库存和应收增加吞噬现金流，是最重要审慎点</w:t>
            </w:r>
          </w:p>
        </w:tc>
      </w:tr>
      <w:tr>
        <w:tc>
          <w:tcPr>
            <w:tcW w:type="dxa" w:w="2100"/>
            <w:tcMar>
              <w:top w:w="80" w:type="dxa"/>
              <w:bottom w:w="80" w:type="dxa"/>
              <w:start w:w="120" w:type="dxa"/>
              <w:end w:w="120" w:type="dxa"/>
            </w:tcMar>
            <w:vAlign w:val="center"/>
          </w:tcPr>
          <w:p>
            <w:pPr>
              <w:jc w:val="center"/>
            </w:pPr>
            <w:r>
              <w:rPr>
                <w:sz w:val="19"/>
              </w:rPr>
              <w:t>资本开支</w:t>
            </w:r>
          </w:p>
        </w:tc>
        <w:tc>
          <w:tcPr>
            <w:tcW w:type="dxa" w:w="1700"/>
            <w:tcMar>
              <w:top w:w="80" w:type="dxa"/>
              <w:bottom w:w="80" w:type="dxa"/>
              <w:start w:w="120" w:type="dxa"/>
              <w:end w:w="120" w:type="dxa"/>
            </w:tcMar>
            <w:vAlign w:val="center"/>
          </w:tcPr>
          <w:p>
            <w:pPr>
              <w:jc w:val="left"/>
            </w:pPr>
            <w:r>
              <w:rPr>
                <w:sz w:val="19"/>
              </w:rPr>
              <w:t>5.47</w:t>
            </w:r>
          </w:p>
        </w:tc>
        <w:tc>
          <w:tcPr>
            <w:tcW w:type="dxa" w:w="1400"/>
            <w:tcMar>
              <w:top w:w="80" w:type="dxa"/>
              <w:bottom w:w="80" w:type="dxa"/>
              <w:start w:w="120" w:type="dxa"/>
              <w:end w:w="120" w:type="dxa"/>
            </w:tcMar>
            <w:vAlign w:val="center"/>
          </w:tcPr>
          <w:p>
            <w:pPr>
              <w:jc w:val="left"/>
            </w:pPr>
            <w:r>
              <w:rPr>
                <w:sz w:val="19"/>
              </w:rPr>
              <w:t>+77%</w:t>
            </w:r>
          </w:p>
        </w:tc>
        <w:tc>
          <w:tcPr>
            <w:tcW w:type="dxa" w:w="4160"/>
            <w:tcMar>
              <w:top w:w="80" w:type="dxa"/>
              <w:bottom w:w="80" w:type="dxa"/>
              <w:start w:w="120" w:type="dxa"/>
              <w:end w:w="120" w:type="dxa"/>
            </w:tcMar>
            <w:vAlign w:val="center"/>
          </w:tcPr>
          <w:p>
            <w:pPr>
              <w:jc w:val="left"/>
            </w:pPr>
            <w:r>
              <w:rPr>
                <w:sz w:val="19"/>
              </w:rPr>
              <w:t>InP/AI 产能和制造能力扩张拉高资本强度</w:t>
            </w:r>
          </w:p>
        </w:tc>
      </w:tr>
      <w:tr>
        <w:tc>
          <w:tcPr>
            <w:tcW w:type="dxa" w:w="2100"/>
            <w:tcMar>
              <w:top w:w="80" w:type="dxa"/>
              <w:bottom w:w="80" w:type="dxa"/>
              <w:start w:w="120" w:type="dxa"/>
              <w:end w:w="120" w:type="dxa"/>
            </w:tcMar>
            <w:vAlign w:val="center"/>
          </w:tcPr>
          <w:p>
            <w:pPr>
              <w:jc w:val="center"/>
            </w:pPr>
            <w:r>
              <w:rPr>
                <w:sz w:val="19"/>
              </w:rPr>
              <w:t>利息现金支出</w:t>
            </w:r>
          </w:p>
        </w:tc>
        <w:tc>
          <w:tcPr>
            <w:tcW w:type="dxa" w:w="1700"/>
            <w:tcMar>
              <w:top w:w="80" w:type="dxa"/>
              <w:bottom w:w="80" w:type="dxa"/>
              <w:start w:w="120" w:type="dxa"/>
              <w:end w:w="120" w:type="dxa"/>
            </w:tcMar>
            <w:vAlign w:val="center"/>
          </w:tcPr>
          <w:p>
            <w:pPr>
              <w:jc w:val="left"/>
            </w:pPr>
            <w:r>
              <w:rPr>
                <w:sz w:val="19"/>
              </w:rPr>
              <w:t>1.35</w:t>
            </w:r>
          </w:p>
        </w:tc>
        <w:tc>
          <w:tcPr>
            <w:tcW w:type="dxa" w:w="1400"/>
            <w:tcMar>
              <w:top w:w="80" w:type="dxa"/>
              <w:bottom w:w="80" w:type="dxa"/>
              <w:start w:w="120" w:type="dxa"/>
              <w:end w:w="120" w:type="dxa"/>
            </w:tcMar>
            <w:vAlign w:val="center"/>
          </w:tcPr>
          <w:p>
            <w:pPr>
              <w:jc w:val="left"/>
            </w:pPr>
            <w:r>
              <w:rPr>
                <w:sz w:val="19"/>
              </w:rPr>
              <w:t>-28%</w:t>
            </w:r>
          </w:p>
        </w:tc>
        <w:tc>
          <w:tcPr>
            <w:tcW w:type="dxa" w:w="4160"/>
            <w:tcMar>
              <w:top w:w="80" w:type="dxa"/>
              <w:bottom w:w="80" w:type="dxa"/>
              <w:start w:w="120" w:type="dxa"/>
              <w:end w:w="120" w:type="dxa"/>
            </w:tcMar>
            <w:vAlign w:val="center"/>
          </w:tcPr>
          <w:p>
            <w:pPr>
              <w:jc w:val="left"/>
            </w:pPr>
            <w:r>
              <w:rPr>
                <w:sz w:val="19"/>
              </w:rPr>
              <w:t>债务重组和还款改善利息压力</w:t>
            </w:r>
          </w:p>
        </w:tc>
      </w:tr>
    </w:tbl>
    <w:p/>
    <w:p>
      <w:pPr>
        <w:pStyle w:val="Heading2"/>
      </w:pPr>
      <w:r>
        <w:t>7.3 指引与市场预期</w:t>
      </w:r>
    </w:p>
    <w:p>
      <w:pPr>
        <w:spacing w:after="80"/>
      </w:pPr>
      <w:r>
        <w:rPr>
          <w:color w:val="585858"/>
          <w:sz w:val="18"/>
        </w:rPr>
        <w:t>数据来源：Barron's 对 Coherent FY2026 Q3 结果与 FY2026 Q4 指引的报道。</w:t>
      </w:r>
    </w:p>
    <w:tbl>
      <w:tblPr>
        <w:tblStyle w:val="TableGrid"/>
        <w:tblW w:type="dxa" w:w="9360"/>
        <w:jc w:val="center"/>
        <w:tblLook w:firstColumn="1" w:firstRow="1" w:lastColumn="0" w:lastRow="0" w:noHBand="0" w:noVBand="1" w:val="04A0"/>
        <w:tblInd w:w="120" w:type="dxa"/>
      </w:tblPr>
      <w:tblGrid>
        <w:gridCol w:w="2300"/>
        <w:gridCol w:w="2200"/>
        <w:gridCol w:w="4860"/>
      </w:tblGrid>
      <w:tr>
        <w:trPr>
          <w:tblHeader w:val="true"/>
        </w:trPr>
        <w:tc>
          <w:tcPr>
            <w:tcW w:type="dxa" w:w="2300"/>
            <w:shd w:fill="EAF4EA"/>
            <w:tcMar>
              <w:top w:w="80" w:type="dxa"/>
              <w:bottom w:w="80" w:type="dxa"/>
              <w:start w:w="120" w:type="dxa"/>
              <w:end w:w="120" w:type="dxa"/>
            </w:tcMar>
            <w:vAlign w:val="center"/>
          </w:tcPr>
          <w:p>
            <w:pPr>
              <w:jc w:val="center"/>
            </w:pPr>
            <w:r>
              <w:rPr>
                <w:b/>
                <w:sz w:val="19"/>
              </w:rPr>
              <w:t>项目</w:t>
            </w:r>
          </w:p>
        </w:tc>
        <w:tc>
          <w:tcPr>
            <w:tcW w:type="dxa" w:w="2200"/>
            <w:shd w:fill="EAF4EA"/>
            <w:tcMar>
              <w:top w:w="80" w:type="dxa"/>
              <w:bottom w:w="80" w:type="dxa"/>
              <w:start w:w="120" w:type="dxa"/>
              <w:end w:w="120" w:type="dxa"/>
            </w:tcMar>
            <w:vAlign w:val="center"/>
          </w:tcPr>
          <w:p>
            <w:pPr>
              <w:jc w:val="center"/>
            </w:pPr>
            <w:r>
              <w:rPr>
                <w:b/>
                <w:sz w:val="19"/>
              </w:rPr>
              <w:t>口径</w:t>
            </w:r>
          </w:p>
        </w:tc>
        <w:tc>
          <w:tcPr>
            <w:tcW w:type="dxa" w:w="4860"/>
            <w:shd w:fill="EAF4EA"/>
            <w:tcMar>
              <w:top w:w="80" w:type="dxa"/>
              <w:bottom w:w="80" w:type="dxa"/>
              <w:start w:w="120" w:type="dxa"/>
              <w:end w:w="120" w:type="dxa"/>
            </w:tcMar>
            <w:vAlign w:val="center"/>
          </w:tcPr>
          <w:p>
            <w:pPr>
              <w:jc w:val="center"/>
            </w:pPr>
            <w:r>
              <w:rPr>
                <w:b/>
                <w:sz w:val="19"/>
              </w:rPr>
              <w:t>研究判断</w:t>
            </w:r>
          </w:p>
        </w:tc>
      </w:tr>
      <w:tr>
        <w:tc>
          <w:tcPr>
            <w:tcW w:type="dxa" w:w="2300"/>
            <w:tcMar>
              <w:top w:w="80" w:type="dxa"/>
              <w:bottom w:w="80" w:type="dxa"/>
              <w:start w:w="120" w:type="dxa"/>
              <w:end w:w="120" w:type="dxa"/>
            </w:tcMar>
            <w:vAlign w:val="center"/>
          </w:tcPr>
          <w:p>
            <w:pPr>
              <w:jc w:val="center"/>
            </w:pPr>
            <w:r>
              <w:rPr>
                <w:sz w:val="19"/>
              </w:rPr>
              <w:t>FY2026 Q3 revenue</w:t>
            </w:r>
          </w:p>
        </w:tc>
        <w:tc>
          <w:tcPr>
            <w:tcW w:type="dxa" w:w="2200"/>
            <w:tcMar>
              <w:top w:w="80" w:type="dxa"/>
              <w:bottom w:w="80" w:type="dxa"/>
              <w:start w:w="120" w:type="dxa"/>
              <w:end w:w="120" w:type="dxa"/>
            </w:tcMar>
            <w:vAlign w:val="center"/>
          </w:tcPr>
          <w:p>
            <w:pPr>
              <w:jc w:val="left"/>
            </w:pPr>
            <w:r>
              <w:rPr>
                <w:sz w:val="19"/>
              </w:rPr>
              <w:t>18.1 亿美元，略高于市场预期</w:t>
            </w:r>
          </w:p>
        </w:tc>
        <w:tc>
          <w:tcPr>
            <w:tcW w:type="dxa" w:w="4860"/>
            <w:tcMar>
              <w:top w:w="80" w:type="dxa"/>
              <w:bottom w:w="80" w:type="dxa"/>
              <w:start w:w="120" w:type="dxa"/>
              <w:end w:w="120" w:type="dxa"/>
            </w:tcMar>
            <w:vAlign w:val="center"/>
          </w:tcPr>
          <w:p>
            <w:pPr>
              <w:jc w:val="left"/>
            </w:pPr>
            <w:r>
              <w:rPr>
                <w:sz w:val="19"/>
              </w:rPr>
              <w:t>AI 光通信需求已经进入收入兑现阶段</w:t>
            </w:r>
          </w:p>
        </w:tc>
      </w:tr>
      <w:tr>
        <w:tc>
          <w:tcPr>
            <w:tcW w:type="dxa" w:w="2300"/>
            <w:tcMar>
              <w:top w:w="80" w:type="dxa"/>
              <w:bottom w:w="80" w:type="dxa"/>
              <w:start w:w="120" w:type="dxa"/>
              <w:end w:w="120" w:type="dxa"/>
            </w:tcMar>
            <w:vAlign w:val="center"/>
          </w:tcPr>
          <w:p>
            <w:pPr>
              <w:jc w:val="center"/>
            </w:pPr>
            <w:r>
              <w:rPr>
                <w:sz w:val="19"/>
              </w:rPr>
              <w:t>FY2026 Q3 adjusted EPS</w:t>
            </w:r>
          </w:p>
        </w:tc>
        <w:tc>
          <w:tcPr>
            <w:tcW w:type="dxa" w:w="2200"/>
            <w:tcMar>
              <w:top w:w="80" w:type="dxa"/>
              <w:bottom w:w="80" w:type="dxa"/>
              <w:start w:w="120" w:type="dxa"/>
              <w:end w:w="120" w:type="dxa"/>
            </w:tcMar>
            <w:vAlign w:val="center"/>
          </w:tcPr>
          <w:p>
            <w:pPr>
              <w:jc w:val="left"/>
            </w:pPr>
            <w:r>
              <w:rPr>
                <w:sz w:val="19"/>
              </w:rPr>
              <w:t>1.41 美元</w:t>
            </w:r>
          </w:p>
        </w:tc>
        <w:tc>
          <w:tcPr>
            <w:tcW w:type="dxa" w:w="4860"/>
            <w:tcMar>
              <w:top w:w="80" w:type="dxa"/>
              <w:bottom w:w="80" w:type="dxa"/>
              <w:start w:w="120" w:type="dxa"/>
              <w:end w:w="120" w:type="dxa"/>
            </w:tcMar>
            <w:vAlign w:val="center"/>
          </w:tcPr>
          <w:p>
            <w:pPr>
              <w:jc w:val="left"/>
            </w:pPr>
            <w:r>
              <w:rPr>
                <w:sz w:val="19"/>
              </w:rPr>
              <w:t>基本符合市场预期，说明盈利改善被市场部分预期</w:t>
            </w:r>
          </w:p>
        </w:tc>
      </w:tr>
      <w:tr>
        <w:tc>
          <w:tcPr>
            <w:tcW w:type="dxa" w:w="2300"/>
            <w:tcMar>
              <w:top w:w="80" w:type="dxa"/>
              <w:bottom w:w="80" w:type="dxa"/>
              <w:start w:w="120" w:type="dxa"/>
              <w:end w:w="120" w:type="dxa"/>
            </w:tcMar>
            <w:vAlign w:val="center"/>
          </w:tcPr>
          <w:p>
            <w:pPr>
              <w:jc w:val="center"/>
            </w:pPr>
            <w:r>
              <w:rPr>
                <w:sz w:val="19"/>
              </w:rPr>
              <w:t>FY2026 Q3 adjusted gross margin</w:t>
            </w:r>
          </w:p>
        </w:tc>
        <w:tc>
          <w:tcPr>
            <w:tcW w:type="dxa" w:w="2200"/>
            <w:tcMar>
              <w:top w:w="80" w:type="dxa"/>
              <w:bottom w:w="80" w:type="dxa"/>
              <w:start w:w="120" w:type="dxa"/>
              <w:end w:w="120" w:type="dxa"/>
            </w:tcMar>
            <w:vAlign w:val="center"/>
          </w:tcPr>
          <w:p>
            <w:pPr>
              <w:jc w:val="left"/>
            </w:pPr>
            <w:r>
              <w:rPr>
                <w:sz w:val="19"/>
              </w:rPr>
              <w:t>39.6%</w:t>
            </w:r>
          </w:p>
        </w:tc>
        <w:tc>
          <w:tcPr>
            <w:tcW w:type="dxa" w:w="4860"/>
            <w:tcMar>
              <w:top w:w="80" w:type="dxa"/>
              <w:bottom w:w="80" w:type="dxa"/>
              <w:start w:w="120" w:type="dxa"/>
              <w:end w:w="120" w:type="dxa"/>
            </w:tcMar>
            <w:vAlign w:val="center"/>
          </w:tcPr>
          <w:p>
            <w:pPr>
              <w:jc w:val="left"/>
            </w:pPr>
            <w:r>
              <w:rPr>
                <w:sz w:val="19"/>
              </w:rPr>
              <w:t>高于去年同期 38.5%，接近公司此前指引区间</w:t>
            </w:r>
          </w:p>
        </w:tc>
      </w:tr>
      <w:tr>
        <w:tc>
          <w:tcPr>
            <w:tcW w:type="dxa" w:w="2300"/>
            <w:tcMar>
              <w:top w:w="80" w:type="dxa"/>
              <w:bottom w:w="80" w:type="dxa"/>
              <w:start w:w="120" w:type="dxa"/>
              <w:end w:w="120" w:type="dxa"/>
            </w:tcMar>
            <w:vAlign w:val="center"/>
          </w:tcPr>
          <w:p>
            <w:pPr>
              <w:jc w:val="center"/>
            </w:pPr>
            <w:r>
              <w:rPr>
                <w:sz w:val="19"/>
              </w:rPr>
              <w:t>FY2026 Q4 revenue 指引</w:t>
            </w:r>
          </w:p>
        </w:tc>
        <w:tc>
          <w:tcPr>
            <w:tcW w:type="dxa" w:w="2200"/>
            <w:tcMar>
              <w:top w:w="80" w:type="dxa"/>
              <w:bottom w:w="80" w:type="dxa"/>
              <w:start w:w="120" w:type="dxa"/>
              <w:end w:w="120" w:type="dxa"/>
            </w:tcMar>
            <w:vAlign w:val="center"/>
          </w:tcPr>
          <w:p>
            <w:pPr>
              <w:jc w:val="left"/>
            </w:pPr>
            <w:r>
              <w:rPr>
                <w:sz w:val="19"/>
              </w:rPr>
              <w:t>19.1-20.5 亿美元</w:t>
            </w:r>
          </w:p>
        </w:tc>
        <w:tc>
          <w:tcPr>
            <w:tcW w:type="dxa" w:w="4860"/>
            <w:tcMar>
              <w:top w:w="80" w:type="dxa"/>
              <w:bottom w:w="80" w:type="dxa"/>
              <w:start w:w="120" w:type="dxa"/>
              <w:end w:w="120" w:type="dxa"/>
            </w:tcMar>
            <w:vAlign w:val="center"/>
          </w:tcPr>
          <w:p>
            <w:pPr>
              <w:jc w:val="left"/>
            </w:pPr>
            <w:r>
              <w:rPr>
                <w:sz w:val="19"/>
              </w:rPr>
              <w:t>中点继续环比增长，显示订单动能仍强</w:t>
            </w:r>
          </w:p>
        </w:tc>
      </w:tr>
      <w:tr>
        <w:tc>
          <w:tcPr>
            <w:tcW w:type="dxa" w:w="2300"/>
            <w:tcMar>
              <w:top w:w="80" w:type="dxa"/>
              <w:bottom w:w="80" w:type="dxa"/>
              <w:start w:w="120" w:type="dxa"/>
              <w:end w:w="120" w:type="dxa"/>
            </w:tcMar>
            <w:vAlign w:val="center"/>
          </w:tcPr>
          <w:p>
            <w:pPr>
              <w:jc w:val="center"/>
            </w:pPr>
            <w:r>
              <w:rPr>
                <w:sz w:val="19"/>
              </w:rPr>
              <w:t>FY2026 Q4 adjusted EPS 指引</w:t>
            </w:r>
          </w:p>
        </w:tc>
        <w:tc>
          <w:tcPr>
            <w:tcW w:type="dxa" w:w="2200"/>
            <w:tcMar>
              <w:top w:w="80" w:type="dxa"/>
              <w:bottom w:w="80" w:type="dxa"/>
              <w:start w:w="120" w:type="dxa"/>
              <w:end w:w="120" w:type="dxa"/>
            </w:tcMar>
            <w:vAlign w:val="center"/>
          </w:tcPr>
          <w:p>
            <w:pPr>
              <w:jc w:val="left"/>
            </w:pPr>
            <w:r>
              <w:rPr>
                <w:sz w:val="19"/>
              </w:rPr>
              <w:t>1.52-1.72 美元</w:t>
            </w:r>
          </w:p>
        </w:tc>
        <w:tc>
          <w:tcPr>
            <w:tcW w:type="dxa" w:w="4860"/>
            <w:tcMar>
              <w:top w:w="80" w:type="dxa"/>
              <w:bottom w:w="80" w:type="dxa"/>
              <w:start w:w="120" w:type="dxa"/>
              <w:end w:w="120" w:type="dxa"/>
            </w:tcMar>
            <w:vAlign w:val="center"/>
          </w:tcPr>
          <w:p>
            <w:pPr>
              <w:jc w:val="left"/>
            </w:pPr>
            <w:r>
              <w:rPr>
                <w:sz w:val="19"/>
              </w:rPr>
              <w:t>若兑现，全年盈利动能继续改善</w:t>
            </w:r>
          </w:p>
        </w:tc>
      </w:tr>
      <w:tr>
        <w:tc>
          <w:tcPr>
            <w:tcW w:type="dxa" w:w="2300"/>
            <w:tcMar>
              <w:top w:w="80" w:type="dxa"/>
              <w:bottom w:w="80" w:type="dxa"/>
              <w:start w:w="120" w:type="dxa"/>
              <w:end w:w="120" w:type="dxa"/>
            </w:tcMar>
            <w:vAlign w:val="center"/>
          </w:tcPr>
          <w:p>
            <w:pPr>
              <w:jc w:val="center"/>
            </w:pPr>
            <w:r>
              <w:rPr>
                <w:sz w:val="19"/>
              </w:rPr>
              <w:t>FY2026 Q4 gross margin 展望</w:t>
            </w:r>
          </w:p>
        </w:tc>
        <w:tc>
          <w:tcPr>
            <w:tcW w:type="dxa" w:w="2200"/>
            <w:tcMar>
              <w:top w:w="80" w:type="dxa"/>
              <w:bottom w:w="80" w:type="dxa"/>
              <w:start w:w="120" w:type="dxa"/>
              <w:end w:w="120" w:type="dxa"/>
            </w:tcMar>
            <w:vAlign w:val="center"/>
          </w:tcPr>
          <w:p>
            <w:pPr>
              <w:jc w:val="left"/>
            </w:pPr>
            <w:r>
              <w:rPr>
                <w:sz w:val="19"/>
              </w:rPr>
              <w:t>约 41%</w:t>
            </w:r>
          </w:p>
        </w:tc>
        <w:tc>
          <w:tcPr>
            <w:tcW w:type="dxa" w:w="4860"/>
            <w:tcMar>
              <w:top w:w="80" w:type="dxa"/>
              <w:bottom w:w="80" w:type="dxa"/>
              <w:start w:w="120" w:type="dxa"/>
              <w:end w:w="120" w:type="dxa"/>
            </w:tcMar>
            <w:vAlign w:val="center"/>
          </w:tcPr>
          <w:p>
            <w:pPr>
              <w:jc w:val="left"/>
            </w:pPr>
            <w:r>
              <w:rPr>
                <w:sz w:val="19"/>
              </w:rPr>
              <w:t>关键在于 InP/光模块 mix 与良率是否继续改善</w:t>
            </w:r>
          </w:p>
        </w:tc>
      </w:tr>
    </w:tbl>
    <w:p/>
    <w:p>
      <w:pPr>
        <w:pStyle w:val="Heading1"/>
      </w:pPr>
      <w:r>
        <w:t>八、主营业务收入与分部分析</w:t>
      </w:r>
    </w:p>
    <w:p>
      <w:pPr>
        <w:pStyle w:val="Heading2"/>
      </w:pPr>
      <w:r>
        <w:t>8.1 FY2026 Q3 分部收入</w:t>
      </w:r>
    </w:p>
    <w:p>
      <w:pPr>
        <w:spacing w:after="80"/>
      </w:pPr>
      <w:r>
        <w:rPr>
          <w:color w:val="585858"/>
          <w:sz w:val="18"/>
        </w:rPr>
        <w:t>数据来源：Coherent FY2026 Q3 Form 10-Q。金额单位：亿美元。</w:t>
      </w:r>
    </w:p>
    <w:tbl>
      <w:tblPr>
        <w:tblStyle w:val="TableGrid"/>
        <w:tblW w:type="dxa" w:w="9360"/>
        <w:jc w:val="center"/>
        <w:tblLook w:firstColumn="1" w:firstRow="1" w:lastColumn="0" w:lastRow="0" w:noHBand="0" w:noVBand="1" w:val="04A0"/>
        <w:tblInd w:w="120" w:type="dxa"/>
      </w:tblPr>
      <w:tblGrid>
        <w:gridCol w:w="2100"/>
        <w:gridCol w:w="1700"/>
        <w:gridCol w:w="1300"/>
        <w:gridCol w:w="1300"/>
        <w:gridCol w:w="2960"/>
      </w:tblGrid>
      <w:tr>
        <w:trPr>
          <w:tblHeader w:val="true"/>
        </w:trPr>
        <w:tc>
          <w:tcPr>
            <w:tcW w:type="dxa" w:w="2100"/>
            <w:shd w:fill="F2F4F7"/>
            <w:tcMar>
              <w:top w:w="80" w:type="dxa"/>
              <w:bottom w:w="80" w:type="dxa"/>
              <w:start w:w="120" w:type="dxa"/>
              <w:end w:w="120" w:type="dxa"/>
            </w:tcMar>
            <w:vAlign w:val="center"/>
          </w:tcPr>
          <w:p>
            <w:pPr>
              <w:jc w:val="center"/>
            </w:pPr>
            <w:r>
              <w:rPr>
                <w:b/>
                <w:sz w:val="19"/>
              </w:rPr>
              <w:t>分部</w:t>
            </w:r>
          </w:p>
        </w:tc>
        <w:tc>
          <w:tcPr>
            <w:tcW w:type="dxa" w:w="1700"/>
            <w:shd w:fill="F2F4F7"/>
            <w:tcMar>
              <w:top w:w="80" w:type="dxa"/>
              <w:bottom w:w="80" w:type="dxa"/>
              <w:start w:w="120" w:type="dxa"/>
              <w:end w:w="120" w:type="dxa"/>
            </w:tcMar>
            <w:vAlign w:val="center"/>
          </w:tcPr>
          <w:p>
            <w:pPr>
              <w:jc w:val="center"/>
            </w:pPr>
            <w:r>
              <w:rPr>
                <w:b/>
                <w:sz w:val="19"/>
              </w:rPr>
              <w:t>FY2026 Q3 收入</w:t>
            </w:r>
          </w:p>
        </w:tc>
        <w:tc>
          <w:tcPr>
            <w:tcW w:type="dxa" w:w="1300"/>
            <w:shd w:fill="F2F4F7"/>
            <w:tcMar>
              <w:top w:w="80" w:type="dxa"/>
              <w:bottom w:w="80" w:type="dxa"/>
              <w:start w:w="120" w:type="dxa"/>
              <w:end w:w="120" w:type="dxa"/>
            </w:tcMar>
            <w:vAlign w:val="center"/>
          </w:tcPr>
          <w:p>
            <w:pPr>
              <w:jc w:val="center"/>
            </w:pPr>
            <w:r>
              <w:rPr>
                <w:b/>
                <w:sz w:val="19"/>
              </w:rPr>
              <w:t>同比变化</w:t>
            </w:r>
          </w:p>
        </w:tc>
        <w:tc>
          <w:tcPr>
            <w:tcW w:type="dxa" w:w="1300"/>
            <w:shd w:fill="F2F4F7"/>
            <w:tcMar>
              <w:top w:w="80" w:type="dxa"/>
              <w:bottom w:w="80" w:type="dxa"/>
              <w:start w:w="120" w:type="dxa"/>
              <w:end w:w="120" w:type="dxa"/>
            </w:tcMar>
            <w:vAlign w:val="center"/>
          </w:tcPr>
          <w:p>
            <w:pPr>
              <w:jc w:val="center"/>
            </w:pPr>
            <w:r>
              <w:rPr>
                <w:b/>
                <w:sz w:val="19"/>
              </w:rPr>
              <w:t>分部利润</w:t>
            </w:r>
          </w:p>
        </w:tc>
        <w:tc>
          <w:tcPr>
            <w:tcW w:type="dxa" w:w="2960"/>
            <w:shd w:fill="F2F4F7"/>
            <w:tcMar>
              <w:top w:w="80" w:type="dxa"/>
              <w:bottom w:w="80" w:type="dxa"/>
              <w:start w:w="120" w:type="dxa"/>
              <w:end w:w="120" w:type="dxa"/>
            </w:tcMar>
            <w:vAlign w:val="center"/>
          </w:tcPr>
          <w:p>
            <w:pPr>
              <w:jc w:val="center"/>
            </w:pPr>
            <w:r>
              <w:rPr>
                <w:b/>
                <w:sz w:val="19"/>
              </w:rPr>
              <w:t>经营判断</w:t>
            </w:r>
          </w:p>
        </w:tc>
      </w:tr>
      <w:tr>
        <w:tc>
          <w:tcPr>
            <w:tcW w:type="dxa" w:w="2100"/>
            <w:tcMar>
              <w:top w:w="80" w:type="dxa"/>
              <w:bottom w:w="80" w:type="dxa"/>
              <w:start w:w="120" w:type="dxa"/>
              <w:end w:w="120" w:type="dxa"/>
            </w:tcMar>
            <w:vAlign w:val="center"/>
          </w:tcPr>
          <w:p>
            <w:pPr>
              <w:jc w:val="center"/>
            </w:pPr>
            <w:r>
              <w:rPr>
                <w:sz w:val="19"/>
              </w:rPr>
              <w:t>Datacenter &amp; Communications</w:t>
            </w:r>
          </w:p>
        </w:tc>
        <w:tc>
          <w:tcPr>
            <w:tcW w:type="dxa" w:w="1700"/>
            <w:tcMar>
              <w:top w:w="80" w:type="dxa"/>
              <w:bottom w:w="80" w:type="dxa"/>
              <w:start w:w="120" w:type="dxa"/>
              <w:end w:w="120" w:type="dxa"/>
            </w:tcMar>
            <w:vAlign w:val="center"/>
          </w:tcPr>
          <w:p>
            <w:pPr>
              <w:jc w:val="left"/>
            </w:pPr>
            <w:r>
              <w:rPr>
                <w:sz w:val="19"/>
              </w:rPr>
              <w:t>13.62</w:t>
            </w:r>
          </w:p>
        </w:tc>
        <w:tc>
          <w:tcPr>
            <w:tcW w:type="dxa" w:w="1300"/>
            <w:tcMar>
              <w:top w:w="80" w:type="dxa"/>
              <w:bottom w:w="80" w:type="dxa"/>
              <w:start w:w="120" w:type="dxa"/>
              <w:end w:w="120" w:type="dxa"/>
            </w:tcMar>
            <w:vAlign w:val="center"/>
          </w:tcPr>
          <w:p>
            <w:pPr>
              <w:jc w:val="left"/>
            </w:pPr>
            <w:r>
              <w:rPr>
                <w:sz w:val="19"/>
              </w:rPr>
              <w:t>+41%</w:t>
            </w:r>
          </w:p>
        </w:tc>
        <w:tc>
          <w:tcPr>
            <w:tcW w:type="dxa" w:w="1300"/>
            <w:tcMar>
              <w:top w:w="80" w:type="dxa"/>
              <w:bottom w:w="80" w:type="dxa"/>
              <w:start w:w="120" w:type="dxa"/>
              <w:end w:w="120" w:type="dxa"/>
            </w:tcMar>
            <w:vAlign w:val="center"/>
          </w:tcPr>
          <w:p>
            <w:pPr>
              <w:jc w:val="left"/>
            </w:pPr>
            <w:r>
              <w:rPr>
                <w:sz w:val="19"/>
              </w:rPr>
              <w:t>3.48</w:t>
            </w:r>
          </w:p>
        </w:tc>
        <w:tc>
          <w:tcPr>
            <w:tcW w:type="dxa" w:w="2960"/>
            <w:tcMar>
              <w:top w:w="80" w:type="dxa"/>
              <w:bottom w:w="80" w:type="dxa"/>
              <w:start w:w="120" w:type="dxa"/>
              <w:end w:w="120" w:type="dxa"/>
            </w:tcMar>
            <w:vAlign w:val="center"/>
          </w:tcPr>
          <w:p>
            <w:pPr>
              <w:jc w:val="left"/>
            </w:pPr>
            <w:r>
              <w:rPr>
                <w:sz w:val="19"/>
              </w:rPr>
              <w:t>AI datacenter、DCI、scale-across 和 telecom 共同拉动</w:t>
            </w:r>
          </w:p>
        </w:tc>
      </w:tr>
      <w:tr>
        <w:tc>
          <w:tcPr>
            <w:tcW w:type="dxa" w:w="2100"/>
            <w:tcMar>
              <w:top w:w="80" w:type="dxa"/>
              <w:bottom w:w="80" w:type="dxa"/>
              <w:start w:w="120" w:type="dxa"/>
              <w:end w:w="120" w:type="dxa"/>
            </w:tcMar>
            <w:vAlign w:val="center"/>
          </w:tcPr>
          <w:p>
            <w:pPr>
              <w:jc w:val="center"/>
            </w:pPr>
            <w:r>
              <w:rPr>
                <w:sz w:val="19"/>
              </w:rPr>
              <w:t>Industrial</w:t>
            </w:r>
          </w:p>
        </w:tc>
        <w:tc>
          <w:tcPr>
            <w:tcW w:type="dxa" w:w="1700"/>
            <w:tcMar>
              <w:top w:w="80" w:type="dxa"/>
              <w:bottom w:w="80" w:type="dxa"/>
              <w:start w:w="120" w:type="dxa"/>
              <w:end w:w="120" w:type="dxa"/>
            </w:tcMar>
            <w:vAlign w:val="center"/>
          </w:tcPr>
          <w:p>
            <w:pPr>
              <w:jc w:val="left"/>
            </w:pPr>
            <w:r>
              <w:rPr>
                <w:sz w:val="19"/>
              </w:rPr>
              <w:t>4.44</w:t>
            </w:r>
          </w:p>
        </w:tc>
        <w:tc>
          <w:tcPr>
            <w:tcW w:type="dxa" w:w="1300"/>
            <w:tcMar>
              <w:top w:w="80" w:type="dxa"/>
              <w:bottom w:w="80" w:type="dxa"/>
              <w:start w:w="120" w:type="dxa"/>
              <w:end w:w="120" w:type="dxa"/>
            </w:tcMar>
            <w:vAlign w:val="center"/>
          </w:tcPr>
          <w:p>
            <w:pPr>
              <w:jc w:val="left"/>
            </w:pPr>
            <w:r>
              <w:rPr>
                <w:sz w:val="19"/>
              </w:rPr>
              <w:t>-16%</w:t>
            </w:r>
          </w:p>
        </w:tc>
        <w:tc>
          <w:tcPr>
            <w:tcW w:type="dxa" w:w="1300"/>
            <w:tcMar>
              <w:top w:w="80" w:type="dxa"/>
              <w:bottom w:w="80" w:type="dxa"/>
              <w:start w:w="120" w:type="dxa"/>
              <w:end w:w="120" w:type="dxa"/>
            </w:tcMar>
            <w:vAlign w:val="center"/>
          </w:tcPr>
          <w:p>
            <w:pPr>
              <w:jc w:val="left"/>
            </w:pPr>
            <w:r>
              <w:rPr>
                <w:sz w:val="19"/>
              </w:rPr>
              <w:t>1.01</w:t>
            </w:r>
          </w:p>
        </w:tc>
        <w:tc>
          <w:tcPr>
            <w:tcW w:type="dxa" w:w="2960"/>
            <w:tcMar>
              <w:top w:w="80" w:type="dxa"/>
              <w:bottom w:w="80" w:type="dxa"/>
              <w:start w:w="120" w:type="dxa"/>
              <w:end w:w="120" w:type="dxa"/>
            </w:tcMar>
            <w:vAlign w:val="center"/>
          </w:tcPr>
          <w:p>
            <w:pPr>
              <w:jc w:val="left"/>
            </w:pPr>
            <w:r>
              <w:rPr>
                <w:sz w:val="19"/>
              </w:rPr>
              <w:t>受航天防务和 Munich 业务出售影响，收入下降但利润率仍较好</w:t>
            </w:r>
          </w:p>
        </w:tc>
      </w:tr>
      <w:tr>
        <w:tc>
          <w:tcPr>
            <w:tcW w:type="dxa" w:w="2100"/>
            <w:tcMar>
              <w:top w:w="80" w:type="dxa"/>
              <w:bottom w:w="80" w:type="dxa"/>
              <w:start w:w="120" w:type="dxa"/>
              <w:end w:w="120" w:type="dxa"/>
            </w:tcMar>
            <w:vAlign w:val="center"/>
          </w:tcPr>
          <w:p>
            <w:pPr>
              <w:jc w:val="center"/>
            </w:pPr>
            <w:r>
              <w:rPr>
                <w:sz w:val="19"/>
              </w:rPr>
              <w:t>合计</w:t>
            </w:r>
          </w:p>
        </w:tc>
        <w:tc>
          <w:tcPr>
            <w:tcW w:type="dxa" w:w="1700"/>
            <w:tcMar>
              <w:top w:w="80" w:type="dxa"/>
              <w:bottom w:w="80" w:type="dxa"/>
              <w:start w:w="120" w:type="dxa"/>
              <w:end w:w="120" w:type="dxa"/>
            </w:tcMar>
            <w:vAlign w:val="center"/>
          </w:tcPr>
          <w:p>
            <w:pPr>
              <w:jc w:val="left"/>
            </w:pPr>
            <w:r>
              <w:rPr>
                <w:sz w:val="19"/>
              </w:rPr>
              <w:t>18.06</w:t>
            </w:r>
          </w:p>
        </w:tc>
        <w:tc>
          <w:tcPr>
            <w:tcW w:type="dxa" w:w="1300"/>
            <w:tcMar>
              <w:top w:w="80" w:type="dxa"/>
              <w:bottom w:w="80" w:type="dxa"/>
              <w:start w:w="120" w:type="dxa"/>
              <w:end w:w="120" w:type="dxa"/>
            </w:tcMar>
            <w:vAlign w:val="center"/>
          </w:tcPr>
          <w:p>
            <w:pPr>
              <w:jc w:val="left"/>
            </w:pPr>
            <w:r>
              <w:rPr>
                <w:sz w:val="19"/>
              </w:rPr>
              <w:t>+21%</w:t>
            </w:r>
          </w:p>
        </w:tc>
        <w:tc>
          <w:tcPr>
            <w:tcW w:type="dxa" w:w="1300"/>
            <w:tcMar>
              <w:top w:w="80" w:type="dxa"/>
              <w:bottom w:w="80" w:type="dxa"/>
              <w:start w:w="120" w:type="dxa"/>
              <w:end w:w="120" w:type="dxa"/>
            </w:tcMar>
            <w:vAlign w:val="center"/>
          </w:tcPr>
          <w:p>
            <w:pPr>
              <w:jc w:val="left"/>
            </w:pPr>
            <w:r>
              <w:rPr>
                <w:sz w:val="19"/>
              </w:rPr>
              <w:t>4.48</w:t>
            </w:r>
          </w:p>
        </w:tc>
        <w:tc>
          <w:tcPr>
            <w:tcW w:type="dxa" w:w="2960"/>
            <w:tcMar>
              <w:top w:w="80" w:type="dxa"/>
              <w:bottom w:w="80" w:type="dxa"/>
              <w:start w:w="120" w:type="dxa"/>
              <w:end w:w="120" w:type="dxa"/>
            </w:tcMar>
            <w:vAlign w:val="center"/>
          </w:tcPr>
          <w:p>
            <w:pPr>
              <w:jc w:val="left"/>
            </w:pPr>
            <w:r>
              <w:rPr>
                <w:sz w:val="19"/>
              </w:rPr>
              <w:t>D&amp;C 已占收入约 75%，成为核心估值锚</w:t>
            </w:r>
          </w:p>
        </w:tc>
      </w:tr>
    </w:tbl>
    <w:p/>
    <w:p>
      <w:pPr>
        <w:pStyle w:val="Heading2"/>
      </w:pPr>
      <w:r>
        <w:t>8.2 FY2026 前九个月分部收入</w:t>
      </w:r>
    </w:p>
    <w:tbl>
      <w:tblPr>
        <w:tblStyle w:val="TableGrid"/>
        <w:tblW w:type="dxa" w:w="9360"/>
        <w:jc w:val="center"/>
        <w:tblLook w:firstColumn="1" w:firstRow="1" w:lastColumn="0" w:lastRow="0" w:noHBand="0" w:noVBand="1" w:val="04A0"/>
        <w:tblInd w:w="120" w:type="dxa"/>
      </w:tblPr>
      <w:tblGrid>
        <w:gridCol w:w="2100"/>
        <w:gridCol w:w="1700"/>
        <w:gridCol w:w="1300"/>
        <w:gridCol w:w="1300"/>
        <w:gridCol w:w="2960"/>
      </w:tblGrid>
      <w:tr>
        <w:trPr>
          <w:tblHeader w:val="true"/>
        </w:trPr>
        <w:tc>
          <w:tcPr>
            <w:tcW w:type="dxa" w:w="2100"/>
            <w:shd w:fill="E8EEF5"/>
            <w:tcMar>
              <w:top w:w="80" w:type="dxa"/>
              <w:bottom w:w="80" w:type="dxa"/>
              <w:start w:w="120" w:type="dxa"/>
              <w:end w:w="120" w:type="dxa"/>
            </w:tcMar>
            <w:vAlign w:val="center"/>
          </w:tcPr>
          <w:p>
            <w:pPr>
              <w:jc w:val="center"/>
            </w:pPr>
            <w:r>
              <w:rPr>
                <w:b/>
                <w:sz w:val="19"/>
              </w:rPr>
              <w:t>分部</w:t>
            </w:r>
          </w:p>
        </w:tc>
        <w:tc>
          <w:tcPr>
            <w:tcW w:type="dxa" w:w="1700"/>
            <w:shd w:fill="E8EEF5"/>
            <w:tcMar>
              <w:top w:w="80" w:type="dxa"/>
              <w:bottom w:w="80" w:type="dxa"/>
              <w:start w:w="120" w:type="dxa"/>
              <w:end w:w="120" w:type="dxa"/>
            </w:tcMar>
            <w:vAlign w:val="center"/>
          </w:tcPr>
          <w:p>
            <w:pPr>
              <w:jc w:val="center"/>
            </w:pPr>
            <w:r>
              <w:rPr>
                <w:b/>
                <w:sz w:val="19"/>
              </w:rPr>
              <w:t>FY2026 前九个月收入</w:t>
            </w:r>
          </w:p>
        </w:tc>
        <w:tc>
          <w:tcPr>
            <w:tcW w:type="dxa" w:w="1300"/>
            <w:shd w:fill="E8EEF5"/>
            <w:tcMar>
              <w:top w:w="80" w:type="dxa"/>
              <w:bottom w:w="80" w:type="dxa"/>
              <w:start w:w="120" w:type="dxa"/>
              <w:end w:w="120" w:type="dxa"/>
            </w:tcMar>
            <w:vAlign w:val="center"/>
          </w:tcPr>
          <w:p>
            <w:pPr>
              <w:jc w:val="center"/>
            </w:pPr>
            <w:r>
              <w:rPr>
                <w:b/>
                <w:sz w:val="19"/>
              </w:rPr>
              <w:t>同比变化</w:t>
            </w:r>
          </w:p>
        </w:tc>
        <w:tc>
          <w:tcPr>
            <w:tcW w:type="dxa" w:w="1300"/>
            <w:shd w:fill="E8EEF5"/>
            <w:tcMar>
              <w:top w:w="80" w:type="dxa"/>
              <w:bottom w:w="80" w:type="dxa"/>
              <w:start w:w="120" w:type="dxa"/>
              <w:end w:w="120" w:type="dxa"/>
            </w:tcMar>
            <w:vAlign w:val="center"/>
          </w:tcPr>
          <w:p>
            <w:pPr>
              <w:jc w:val="center"/>
            </w:pPr>
            <w:r>
              <w:rPr>
                <w:b/>
                <w:sz w:val="19"/>
              </w:rPr>
              <w:t>分部利润</w:t>
            </w:r>
          </w:p>
        </w:tc>
        <w:tc>
          <w:tcPr>
            <w:tcW w:type="dxa" w:w="2960"/>
            <w:shd w:fill="E8EEF5"/>
            <w:tcMar>
              <w:top w:w="80" w:type="dxa"/>
              <w:bottom w:w="80" w:type="dxa"/>
              <w:start w:w="120" w:type="dxa"/>
              <w:end w:w="120" w:type="dxa"/>
            </w:tcMar>
            <w:vAlign w:val="center"/>
          </w:tcPr>
          <w:p>
            <w:pPr>
              <w:jc w:val="center"/>
            </w:pPr>
            <w:r>
              <w:rPr>
                <w:b/>
                <w:sz w:val="19"/>
              </w:rPr>
              <w:t>经营判断</w:t>
            </w:r>
          </w:p>
        </w:tc>
      </w:tr>
      <w:tr>
        <w:tc>
          <w:tcPr>
            <w:tcW w:type="dxa" w:w="2100"/>
            <w:tcMar>
              <w:top w:w="80" w:type="dxa"/>
              <w:bottom w:w="80" w:type="dxa"/>
              <w:start w:w="120" w:type="dxa"/>
              <w:end w:w="120" w:type="dxa"/>
            </w:tcMar>
            <w:vAlign w:val="center"/>
          </w:tcPr>
          <w:p>
            <w:pPr>
              <w:jc w:val="center"/>
            </w:pPr>
            <w:r>
              <w:rPr>
                <w:sz w:val="19"/>
              </w:rPr>
              <w:t>Datacenter &amp; Communications</w:t>
            </w:r>
          </w:p>
        </w:tc>
        <w:tc>
          <w:tcPr>
            <w:tcW w:type="dxa" w:w="1700"/>
            <w:tcMar>
              <w:top w:w="80" w:type="dxa"/>
              <w:bottom w:w="80" w:type="dxa"/>
              <w:start w:w="120" w:type="dxa"/>
              <w:end w:w="120" w:type="dxa"/>
            </w:tcMar>
            <w:vAlign w:val="center"/>
          </w:tcPr>
          <w:p>
            <w:pPr>
              <w:jc w:val="left"/>
            </w:pPr>
            <w:r>
              <w:rPr>
                <w:sz w:val="19"/>
              </w:rPr>
              <w:t>36.60</w:t>
            </w:r>
          </w:p>
        </w:tc>
        <w:tc>
          <w:tcPr>
            <w:tcW w:type="dxa" w:w="1300"/>
            <w:tcMar>
              <w:top w:w="80" w:type="dxa"/>
              <w:bottom w:w="80" w:type="dxa"/>
              <w:start w:w="120" w:type="dxa"/>
              <w:end w:w="120" w:type="dxa"/>
            </w:tcMar>
            <w:vAlign w:val="center"/>
          </w:tcPr>
          <w:p>
            <w:pPr>
              <w:jc w:val="left"/>
            </w:pPr>
            <w:r>
              <w:rPr>
                <w:sz w:val="19"/>
              </w:rPr>
              <w:t>+34%</w:t>
            </w:r>
          </w:p>
        </w:tc>
        <w:tc>
          <w:tcPr>
            <w:tcW w:type="dxa" w:w="1300"/>
            <w:tcMar>
              <w:top w:w="80" w:type="dxa"/>
              <w:bottom w:w="80" w:type="dxa"/>
              <w:start w:w="120" w:type="dxa"/>
              <w:end w:w="120" w:type="dxa"/>
            </w:tcMar>
            <w:vAlign w:val="center"/>
          </w:tcPr>
          <w:p>
            <w:pPr>
              <w:jc w:val="left"/>
            </w:pPr>
            <w:r>
              <w:rPr>
                <w:sz w:val="19"/>
              </w:rPr>
              <w:t>9.23</w:t>
            </w:r>
          </w:p>
        </w:tc>
        <w:tc>
          <w:tcPr>
            <w:tcW w:type="dxa" w:w="2960"/>
            <w:tcMar>
              <w:top w:w="80" w:type="dxa"/>
              <w:bottom w:w="80" w:type="dxa"/>
              <w:start w:w="120" w:type="dxa"/>
              <w:end w:w="120" w:type="dxa"/>
            </w:tcMar>
            <w:vAlign w:val="center"/>
          </w:tcPr>
          <w:p>
            <w:pPr>
              <w:jc w:val="left"/>
            </w:pPr>
            <w:r>
              <w:rPr>
                <w:sz w:val="19"/>
              </w:rPr>
              <w:t>AI 与通信需求推动增长，利润同比 +39%</w:t>
            </w:r>
          </w:p>
        </w:tc>
      </w:tr>
      <w:tr>
        <w:tc>
          <w:tcPr>
            <w:tcW w:type="dxa" w:w="2100"/>
            <w:tcMar>
              <w:top w:w="80" w:type="dxa"/>
              <w:bottom w:w="80" w:type="dxa"/>
              <w:start w:w="120" w:type="dxa"/>
              <w:end w:w="120" w:type="dxa"/>
            </w:tcMar>
            <w:vAlign w:val="center"/>
          </w:tcPr>
          <w:p>
            <w:pPr>
              <w:jc w:val="center"/>
            </w:pPr>
            <w:r>
              <w:rPr>
                <w:sz w:val="19"/>
              </w:rPr>
              <w:t>Industrial</w:t>
            </w:r>
          </w:p>
        </w:tc>
        <w:tc>
          <w:tcPr>
            <w:tcW w:type="dxa" w:w="1700"/>
            <w:tcMar>
              <w:top w:w="80" w:type="dxa"/>
              <w:bottom w:w="80" w:type="dxa"/>
              <w:start w:w="120" w:type="dxa"/>
              <w:end w:w="120" w:type="dxa"/>
            </w:tcMar>
            <w:vAlign w:val="center"/>
          </w:tcPr>
          <w:p>
            <w:pPr>
              <w:jc w:val="left"/>
            </w:pPr>
            <w:r>
              <w:rPr>
                <w:sz w:val="19"/>
              </w:rPr>
              <w:t>14.13</w:t>
            </w:r>
          </w:p>
        </w:tc>
        <w:tc>
          <w:tcPr>
            <w:tcW w:type="dxa" w:w="1300"/>
            <w:tcMar>
              <w:top w:w="80" w:type="dxa"/>
              <w:bottom w:w="80" w:type="dxa"/>
              <w:start w:w="120" w:type="dxa"/>
              <w:end w:w="120" w:type="dxa"/>
            </w:tcMar>
            <w:vAlign w:val="center"/>
          </w:tcPr>
          <w:p>
            <w:pPr>
              <w:jc w:val="left"/>
            </w:pPr>
            <w:r>
              <w:rPr>
                <w:sz w:val="19"/>
              </w:rPr>
              <w:t>-8%</w:t>
            </w:r>
          </w:p>
        </w:tc>
        <w:tc>
          <w:tcPr>
            <w:tcW w:type="dxa" w:w="1300"/>
            <w:tcMar>
              <w:top w:w="80" w:type="dxa"/>
              <w:bottom w:w="80" w:type="dxa"/>
              <w:start w:w="120" w:type="dxa"/>
              <w:end w:w="120" w:type="dxa"/>
            </w:tcMar>
            <w:vAlign w:val="center"/>
          </w:tcPr>
          <w:p>
            <w:pPr>
              <w:jc w:val="left"/>
            </w:pPr>
            <w:r>
              <w:rPr>
                <w:sz w:val="19"/>
              </w:rPr>
              <w:t>3.29</w:t>
            </w:r>
          </w:p>
        </w:tc>
        <w:tc>
          <w:tcPr>
            <w:tcW w:type="dxa" w:w="2960"/>
            <w:tcMar>
              <w:top w:w="80" w:type="dxa"/>
              <w:bottom w:w="80" w:type="dxa"/>
              <w:start w:w="120" w:type="dxa"/>
              <w:end w:w="120" w:type="dxa"/>
            </w:tcMar>
            <w:vAlign w:val="center"/>
          </w:tcPr>
          <w:p>
            <w:pPr>
              <w:jc w:val="left"/>
            </w:pPr>
            <w:r>
              <w:rPr>
                <w:sz w:val="19"/>
              </w:rPr>
              <w:t>收入受剥离影响，但利润同比 +10%，显示成本和 mix 改善</w:t>
            </w:r>
          </w:p>
        </w:tc>
      </w:tr>
      <w:tr>
        <w:tc>
          <w:tcPr>
            <w:tcW w:type="dxa" w:w="2100"/>
            <w:tcMar>
              <w:top w:w="80" w:type="dxa"/>
              <w:bottom w:w="80" w:type="dxa"/>
              <w:start w:w="120" w:type="dxa"/>
              <w:end w:w="120" w:type="dxa"/>
            </w:tcMar>
            <w:vAlign w:val="center"/>
          </w:tcPr>
          <w:p>
            <w:pPr>
              <w:jc w:val="center"/>
            </w:pPr>
            <w:r>
              <w:rPr>
                <w:sz w:val="19"/>
              </w:rPr>
              <w:t>合计</w:t>
            </w:r>
          </w:p>
        </w:tc>
        <w:tc>
          <w:tcPr>
            <w:tcW w:type="dxa" w:w="1700"/>
            <w:tcMar>
              <w:top w:w="80" w:type="dxa"/>
              <w:bottom w:w="80" w:type="dxa"/>
              <w:start w:w="120" w:type="dxa"/>
              <w:end w:w="120" w:type="dxa"/>
            </w:tcMar>
            <w:vAlign w:val="center"/>
          </w:tcPr>
          <w:p>
            <w:pPr>
              <w:jc w:val="left"/>
            </w:pPr>
            <w:r>
              <w:rPr>
                <w:sz w:val="19"/>
              </w:rPr>
              <w:t>50.73</w:t>
            </w:r>
          </w:p>
        </w:tc>
        <w:tc>
          <w:tcPr>
            <w:tcW w:type="dxa" w:w="1300"/>
            <w:tcMar>
              <w:top w:w="80" w:type="dxa"/>
              <w:bottom w:w="80" w:type="dxa"/>
              <w:start w:w="120" w:type="dxa"/>
              <w:end w:w="120" w:type="dxa"/>
            </w:tcMar>
            <w:vAlign w:val="center"/>
          </w:tcPr>
          <w:p>
            <w:pPr>
              <w:jc w:val="left"/>
            </w:pPr>
            <w:r>
              <w:rPr>
                <w:sz w:val="19"/>
              </w:rPr>
              <w:t>+19%</w:t>
            </w:r>
          </w:p>
        </w:tc>
        <w:tc>
          <w:tcPr>
            <w:tcW w:type="dxa" w:w="1300"/>
            <w:tcMar>
              <w:top w:w="80" w:type="dxa"/>
              <w:bottom w:w="80" w:type="dxa"/>
              <w:start w:w="120" w:type="dxa"/>
              <w:end w:w="120" w:type="dxa"/>
            </w:tcMar>
            <w:vAlign w:val="center"/>
          </w:tcPr>
          <w:p>
            <w:pPr>
              <w:jc w:val="left"/>
            </w:pPr>
            <w:r>
              <w:rPr>
                <w:sz w:val="19"/>
              </w:rPr>
              <w:t>12.52</w:t>
            </w:r>
          </w:p>
        </w:tc>
        <w:tc>
          <w:tcPr>
            <w:tcW w:type="dxa" w:w="2960"/>
            <w:tcMar>
              <w:top w:w="80" w:type="dxa"/>
              <w:bottom w:w="80" w:type="dxa"/>
              <w:start w:w="120" w:type="dxa"/>
              <w:end w:w="120" w:type="dxa"/>
            </w:tcMar>
            <w:vAlign w:val="center"/>
          </w:tcPr>
          <w:p>
            <w:pPr>
              <w:jc w:val="left"/>
            </w:pPr>
            <w:r>
              <w:rPr>
                <w:sz w:val="19"/>
              </w:rPr>
              <w:t>分部利润率约 24.7%，但集团层面仍有折旧、重组、利息和公司费用</w:t>
            </w:r>
          </w:p>
        </w:tc>
      </w:tr>
    </w:tbl>
    <w:p/>
    <w:p>
      <w:pPr>
        <w:pStyle w:val="Heading2"/>
      </w:pPr>
      <w:r>
        <w:t>8.3 分部质量判断</w:t>
      </w:r>
    </w:p>
    <w:p>
      <w:pPr>
        <w:spacing w:after="120" w:line="264" w:lineRule="auto"/>
      </w:pPr>
      <w:r>
        <w:rPr>
          <w:sz w:val="22"/>
        </w:rPr>
        <w:t>D&amp;C 的收入和利润增速均高于公司整体，是 Coherent 当前估值重估的主线。Q3 D&amp;C 分部利润率约 25.5%，高于公司 GAAP 营业口径，说明核心产品线具备较好盈利质量。Industrial 短期被资产剥离压低收入，但利润率约 22.7%，仍是有价值的现金流与技术组合。</w:t>
      </w:r>
    </w:p>
    <w:p>
      <w:pPr>
        <w:spacing w:after="120" w:line="264" w:lineRule="auto"/>
      </w:pPr>
      <w:r>
        <w:rPr>
          <w:sz w:val="22"/>
        </w:rPr>
        <w:t>真正需要跟踪的是 D&amp;C 增长能否从短期 AI 光模块缺货，转化为可持续的客户绑定和高良率规模制造；同时，Industrial 和 SiC/材料业务是否会持续占用资本，影响自由现金流。</w:t>
      </w:r>
    </w:p>
    <w:p>
      <w:pPr>
        <w:pStyle w:val="Heading1"/>
      </w:pPr>
      <w:r>
        <w:t>九、财务杠杆与资本配置</w:t>
      </w:r>
    </w:p>
    <w:p>
      <w:pPr>
        <w:pStyle w:val="Heading2"/>
      </w:pPr>
      <w:r>
        <w:t>9.1 资产负债表杠杆</w:t>
      </w:r>
    </w:p>
    <w:p>
      <w:pPr>
        <w:spacing w:after="80"/>
      </w:pPr>
      <w:r>
        <w:rPr>
          <w:color w:val="585858"/>
          <w:sz w:val="18"/>
        </w:rPr>
        <w:t>数据来源：Coherent FY2026 Q3 Form 10-Q。金额单位：亿美元。</w:t>
      </w:r>
    </w:p>
    <w:tbl>
      <w:tblPr>
        <w:tblStyle w:val="TableGrid"/>
        <w:tblW w:type="dxa" w:w="9360"/>
        <w:jc w:val="center"/>
        <w:tblLook w:firstColumn="1" w:firstRow="1" w:lastColumn="0" w:lastRow="0" w:noHBand="0" w:noVBand="1" w:val="04A0"/>
        <w:tblInd w:w="120" w:type="dxa"/>
      </w:tblPr>
      <w:tblGrid>
        <w:gridCol w:w="2300"/>
        <w:gridCol w:w="1800"/>
        <w:gridCol w:w="5260"/>
      </w:tblGrid>
      <w:tr>
        <w:trPr>
          <w:tblHeader w:val="true"/>
        </w:trPr>
        <w:tc>
          <w:tcPr>
            <w:tcW w:type="dxa" w:w="2300"/>
            <w:shd w:fill="F2F4F7"/>
            <w:tcMar>
              <w:top w:w="80" w:type="dxa"/>
              <w:bottom w:w="80" w:type="dxa"/>
              <w:start w:w="120" w:type="dxa"/>
              <w:end w:w="120" w:type="dxa"/>
            </w:tcMar>
            <w:vAlign w:val="center"/>
          </w:tcPr>
          <w:p>
            <w:pPr>
              <w:jc w:val="center"/>
            </w:pPr>
            <w:r>
              <w:rPr>
                <w:b/>
                <w:sz w:val="19"/>
              </w:rPr>
              <w:t>项目</w:t>
            </w:r>
          </w:p>
        </w:tc>
        <w:tc>
          <w:tcPr>
            <w:tcW w:type="dxa" w:w="1800"/>
            <w:shd w:fill="F2F4F7"/>
            <w:tcMar>
              <w:top w:w="80" w:type="dxa"/>
              <w:bottom w:w="80" w:type="dxa"/>
              <w:start w:w="120" w:type="dxa"/>
              <w:end w:w="120" w:type="dxa"/>
            </w:tcMar>
            <w:vAlign w:val="center"/>
          </w:tcPr>
          <w:p>
            <w:pPr>
              <w:jc w:val="center"/>
            </w:pPr>
            <w:r>
              <w:rPr>
                <w:b/>
                <w:sz w:val="19"/>
              </w:rPr>
              <w:t>FY2026 Q3</w:t>
            </w:r>
          </w:p>
        </w:tc>
        <w:tc>
          <w:tcPr>
            <w:tcW w:type="dxa" w:w="5260"/>
            <w:shd w:fill="F2F4F7"/>
            <w:tcMar>
              <w:top w:w="80" w:type="dxa"/>
              <w:bottom w:w="80" w:type="dxa"/>
              <w:start w:w="120" w:type="dxa"/>
              <w:end w:w="120" w:type="dxa"/>
            </w:tcMar>
            <w:vAlign w:val="center"/>
          </w:tcPr>
          <w:p>
            <w:pPr>
              <w:jc w:val="center"/>
            </w:pPr>
            <w:r>
              <w:rPr>
                <w:b/>
                <w:sz w:val="19"/>
              </w:rPr>
              <w:t>研究解读</w:t>
            </w:r>
          </w:p>
        </w:tc>
      </w:tr>
      <w:tr>
        <w:tc>
          <w:tcPr>
            <w:tcW w:type="dxa" w:w="2300"/>
            <w:tcMar>
              <w:top w:w="80" w:type="dxa"/>
              <w:bottom w:w="80" w:type="dxa"/>
              <w:start w:w="120" w:type="dxa"/>
              <w:end w:w="120" w:type="dxa"/>
            </w:tcMar>
            <w:vAlign w:val="center"/>
          </w:tcPr>
          <w:p>
            <w:pPr>
              <w:jc w:val="center"/>
            </w:pPr>
            <w:r>
              <w:rPr>
                <w:sz w:val="19"/>
              </w:rPr>
              <w:t>现金及现金等价物</w:t>
            </w:r>
          </w:p>
        </w:tc>
        <w:tc>
          <w:tcPr>
            <w:tcW w:type="dxa" w:w="1800"/>
            <w:tcMar>
              <w:top w:w="80" w:type="dxa"/>
              <w:bottom w:w="80" w:type="dxa"/>
              <w:start w:w="120" w:type="dxa"/>
              <w:end w:w="120" w:type="dxa"/>
            </w:tcMar>
            <w:vAlign w:val="center"/>
          </w:tcPr>
          <w:p>
            <w:pPr>
              <w:jc w:val="left"/>
            </w:pPr>
            <w:r>
              <w:rPr>
                <w:sz w:val="19"/>
              </w:rPr>
              <w:t>15.93</w:t>
            </w:r>
          </w:p>
        </w:tc>
        <w:tc>
          <w:tcPr>
            <w:tcW w:type="dxa" w:w="5260"/>
            <w:tcMar>
              <w:top w:w="80" w:type="dxa"/>
              <w:bottom w:w="80" w:type="dxa"/>
              <w:start w:w="120" w:type="dxa"/>
              <w:end w:w="120" w:type="dxa"/>
            </w:tcMar>
            <w:vAlign w:val="center"/>
          </w:tcPr>
          <w:p>
            <w:pPr>
              <w:jc w:val="left"/>
            </w:pPr>
            <w:r>
              <w:rPr>
                <w:sz w:val="19"/>
              </w:rPr>
              <w:t>现金余额较 FY2025 年末明显提升</w:t>
            </w:r>
          </w:p>
        </w:tc>
      </w:tr>
      <w:tr>
        <w:tc>
          <w:tcPr>
            <w:tcW w:type="dxa" w:w="2300"/>
            <w:tcMar>
              <w:top w:w="80" w:type="dxa"/>
              <w:bottom w:w="80" w:type="dxa"/>
              <w:start w:w="120" w:type="dxa"/>
              <w:end w:w="120" w:type="dxa"/>
            </w:tcMar>
            <w:vAlign w:val="center"/>
          </w:tcPr>
          <w:p>
            <w:pPr>
              <w:jc w:val="center"/>
            </w:pPr>
            <w:r>
              <w:rPr>
                <w:sz w:val="19"/>
              </w:rPr>
              <w:t>短期投资</w:t>
            </w:r>
          </w:p>
        </w:tc>
        <w:tc>
          <w:tcPr>
            <w:tcW w:type="dxa" w:w="1800"/>
            <w:tcMar>
              <w:top w:w="80" w:type="dxa"/>
              <w:bottom w:w="80" w:type="dxa"/>
              <w:start w:w="120" w:type="dxa"/>
              <w:end w:w="120" w:type="dxa"/>
            </w:tcMar>
            <w:vAlign w:val="center"/>
          </w:tcPr>
          <w:p>
            <w:pPr>
              <w:jc w:val="left"/>
            </w:pPr>
            <w:r>
              <w:rPr>
                <w:sz w:val="19"/>
              </w:rPr>
              <w:t>8.25</w:t>
            </w:r>
          </w:p>
        </w:tc>
        <w:tc>
          <w:tcPr>
            <w:tcW w:type="dxa" w:w="5260"/>
            <w:tcMar>
              <w:top w:w="80" w:type="dxa"/>
              <w:bottom w:w="80" w:type="dxa"/>
              <w:start w:w="120" w:type="dxa"/>
              <w:end w:w="120" w:type="dxa"/>
            </w:tcMar>
            <w:vAlign w:val="center"/>
          </w:tcPr>
          <w:p>
            <w:pPr>
              <w:jc w:val="left"/>
            </w:pPr>
            <w:r>
              <w:rPr>
                <w:sz w:val="19"/>
              </w:rPr>
              <w:t>NVIDIA 投资后形成额外流动性缓冲</w:t>
            </w:r>
          </w:p>
        </w:tc>
      </w:tr>
      <w:tr>
        <w:tc>
          <w:tcPr>
            <w:tcW w:type="dxa" w:w="2300"/>
            <w:tcMar>
              <w:top w:w="80" w:type="dxa"/>
              <w:bottom w:w="80" w:type="dxa"/>
              <w:start w:w="120" w:type="dxa"/>
              <w:end w:w="120" w:type="dxa"/>
            </w:tcMar>
            <w:vAlign w:val="center"/>
          </w:tcPr>
          <w:p>
            <w:pPr>
              <w:jc w:val="center"/>
            </w:pPr>
            <w:r>
              <w:rPr>
                <w:sz w:val="19"/>
              </w:rPr>
              <w:t>受限现金</w:t>
            </w:r>
          </w:p>
        </w:tc>
        <w:tc>
          <w:tcPr>
            <w:tcW w:type="dxa" w:w="1800"/>
            <w:tcMar>
              <w:top w:w="80" w:type="dxa"/>
              <w:bottom w:w="80" w:type="dxa"/>
              <w:start w:w="120" w:type="dxa"/>
              <w:end w:w="120" w:type="dxa"/>
            </w:tcMar>
            <w:vAlign w:val="center"/>
          </w:tcPr>
          <w:p>
            <w:pPr>
              <w:jc w:val="left"/>
            </w:pPr>
            <w:r>
              <w:rPr>
                <w:sz w:val="19"/>
              </w:rPr>
              <w:t>6.33</w:t>
            </w:r>
          </w:p>
        </w:tc>
        <w:tc>
          <w:tcPr>
            <w:tcW w:type="dxa" w:w="5260"/>
            <w:tcMar>
              <w:top w:w="80" w:type="dxa"/>
              <w:bottom w:w="80" w:type="dxa"/>
              <w:start w:w="120" w:type="dxa"/>
              <w:end w:w="120" w:type="dxa"/>
            </w:tcMar>
            <w:vAlign w:val="center"/>
          </w:tcPr>
          <w:p>
            <w:pPr>
              <w:jc w:val="left"/>
            </w:pPr>
            <w:r>
              <w:rPr>
                <w:sz w:val="19"/>
              </w:rPr>
              <w:t>与 SiC/特定项目和融资安排相关，不能完全视为可自由现金</w:t>
            </w:r>
          </w:p>
        </w:tc>
      </w:tr>
      <w:tr>
        <w:tc>
          <w:tcPr>
            <w:tcW w:type="dxa" w:w="2300"/>
            <w:tcMar>
              <w:top w:w="80" w:type="dxa"/>
              <w:bottom w:w="80" w:type="dxa"/>
              <w:start w:w="120" w:type="dxa"/>
              <w:end w:w="120" w:type="dxa"/>
            </w:tcMar>
            <w:vAlign w:val="center"/>
          </w:tcPr>
          <w:p>
            <w:pPr>
              <w:jc w:val="center"/>
            </w:pPr>
            <w:r>
              <w:rPr>
                <w:sz w:val="19"/>
              </w:rPr>
              <w:t>总资产</w:t>
            </w:r>
          </w:p>
        </w:tc>
        <w:tc>
          <w:tcPr>
            <w:tcW w:type="dxa" w:w="1800"/>
            <w:tcMar>
              <w:top w:w="80" w:type="dxa"/>
              <w:bottom w:w="80" w:type="dxa"/>
              <w:start w:w="120" w:type="dxa"/>
              <w:end w:w="120" w:type="dxa"/>
            </w:tcMar>
            <w:vAlign w:val="center"/>
          </w:tcPr>
          <w:p>
            <w:pPr>
              <w:jc w:val="left"/>
            </w:pPr>
            <w:r>
              <w:rPr>
                <w:sz w:val="19"/>
              </w:rPr>
              <w:t>172.87</w:t>
            </w:r>
          </w:p>
        </w:tc>
        <w:tc>
          <w:tcPr>
            <w:tcW w:type="dxa" w:w="5260"/>
            <w:tcMar>
              <w:top w:w="80" w:type="dxa"/>
              <w:bottom w:w="80" w:type="dxa"/>
              <w:start w:w="120" w:type="dxa"/>
              <w:end w:w="120" w:type="dxa"/>
            </w:tcMar>
            <w:vAlign w:val="center"/>
          </w:tcPr>
          <w:p>
            <w:pPr>
              <w:jc w:val="left"/>
            </w:pPr>
            <w:r>
              <w:rPr>
                <w:sz w:val="19"/>
              </w:rPr>
              <w:t>AI 扩产、库存和权益融资推动资产规模上升</w:t>
            </w:r>
          </w:p>
        </w:tc>
      </w:tr>
      <w:tr>
        <w:tc>
          <w:tcPr>
            <w:tcW w:type="dxa" w:w="2300"/>
            <w:tcMar>
              <w:top w:w="80" w:type="dxa"/>
              <w:bottom w:w="80" w:type="dxa"/>
              <w:start w:w="120" w:type="dxa"/>
              <w:end w:w="120" w:type="dxa"/>
            </w:tcMar>
            <w:vAlign w:val="center"/>
          </w:tcPr>
          <w:p>
            <w:pPr>
              <w:jc w:val="center"/>
            </w:pPr>
            <w:r>
              <w:rPr>
                <w:sz w:val="19"/>
              </w:rPr>
              <w:t>总债务</w:t>
            </w:r>
          </w:p>
        </w:tc>
        <w:tc>
          <w:tcPr>
            <w:tcW w:type="dxa" w:w="1800"/>
            <w:tcMar>
              <w:top w:w="80" w:type="dxa"/>
              <w:bottom w:w="80" w:type="dxa"/>
              <w:start w:w="120" w:type="dxa"/>
              <w:end w:w="120" w:type="dxa"/>
            </w:tcMar>
            <w:vAlign w:val="center"/>
          </w:tcPr>
          <w:p>
            <w:pPr>
              <w:jc w:val="left"/>
            </w:pPr>
            <w:r>
              <w:rPr>
                <w:sz w:val="19"/>
              </w:rPr>
              <w:t>31.94</w:t>
            </w:r>
          </w:p>
        </w:tc>
        <w:tc>
          <w:tcPr>
            <w:tcW w:type="dxa" w:w="5260"/>
            <w:tcMar>
              <w:top w:w="80" w:type="dxa"/>
              <w:bottom w:w="80" w:type="dxa"/>
              <w:start w:w="120" w:type="dxa"/>
              <w:end w:w="120" w:type="dxa"/>
            </w:tcMar>
            <w:vAlign w:val="center"/>
          </w:tcPr>
          <w:p>
            <w:pPr>
              <w:jc w:val="left"/>
            </w:pPr>
            <w:r>
              <w:rPr>
                <w:sz w:val="19"/>
              </w:rPr>
              <w:t>较 FY2025 年末 36.87 亿美元下降</w:t>
            </w:r>
          </w:p>
        </w:tc>
      </w:tr>
      <w:tr>
        <w:tc>
          <w:tcPr>
            <w:tcW w:type="dxa" w:w="2300"/>
            <w:tcMar>
              <w:top w:w="80" w:type="dxa"/>
              <w:bottom w:w="80" w:type="dxa"/>
              <w:start w:w="120" w:type="dxa"/>
              <w:end w:w="120" w:type="dxa"/>
            </w:tcMar>
            <w:vAlign w:val="center"/>
          </w:tcPr>
          <w:p>
            <w:pPr>
              <w:jc w:val="center"/>
            </w:pPr>
            <w:r>
              <w:rPr>
                <w:sz w:val="19"/>
              </w:rPr>
              <w:t>净债务（现金+短投口径）</w:t>
            </w:r>
          </w:p>
        </w:tc>
        <w:tc>
          <w:tcPr>
            <w:tcW w:type="dxa" w:w="1800"/>
            <w:tcMar>
              <w:top w:w="80" w:type="dxa"/>
              <w:bottom w:w="80" w:type="dxa"/>
              <w:start w:w="120" w:type="dxa"/>
              <w:end w:w="120" w:type="dxa"/>
            </w:tcMar>
            <w:vAlign w:val="center"/>
          </w:tcPr>
          <w:p>
            <w:pPr>
              <w:jc w:val="left"/>
            </w:pPr>
            <w:r>
              <w:rPr>
                <w:sz w:val="19"/>
              </w:rPr>
              <w:t>约 7.76</w:t>
            </w:r>
          </w:p>
        </w:tc>
        <w:tc>
          <w:tcPr>
            <w:tcW w:type="dxa" w:w="5260"/>
            <w:tcMar>
              <w:top w:w="80" w:type="dxa"/>
              <w:bottom w:w="80" w:type="dxa"/>
              <w:start w:w="120" w:type="dxa"/>
              <w:end w:w="120" w:type="dxa"/>
            </w:tcMar>
            <w:vAlign w:val="center"/>
          </w:tcPr>
          <w:p>
            <w:pPr>
              <w:jc w:val="left"/>
            </w:pPr>
            <w:r>
              <w:rPr>
                <w:sz w:val="19"/>
              </w:rPr>
              <w:t>债务压力大幅缓和，但仍需看自由现金流</w:t>
            </w:r>
          </w:p>
        </w:tc>
      </w:tr>
      <w:tr>
        <w:tc>
          <w:tcPr>
            <w:tcW w:type="dxa" w:w="2300"/>
            <w:tcMar>
              <w:top w:w="80" w:type="dxa"/>
              <w:bottom w:w="80" w:type="dxa"/>
              <w:start w:w="120" w:type="dxa"/>
              <w:end w:w="120" w:type="dxa"/>
            </w:tcMar>
            <w:vAlign w:val="center"/>
          </w:tcPr>
          <w:p>
            <w:pPr>
              <w:jc w:val="center"/>
            </w:pPr>
            <w:r>
              <w:rPr>
                <w:sz w:val="19"/>
              </w:rPr>
              <w:t>股东权益</w:t>
            </w:r>
          </w:p>
        </w:tc>
        <w:tc>
          <w:tcPr>
            <w:tcW w:type="dxa" w:w="1800"/>
            <w:tcMar>
              <w:top w:w="80" w:type="dxa"/>
              <w:bottom w:w="80" w:type="dxa"/>
              <w:start w:w="120" w:type="dxa"/>
              <w:end w:w="120" w:type="dxa"/>
            </w:tcMar>
            <w:vAlign w:val="center"/>
          </w:tcPr>
          <w:p>
            <w:pPr>
              <w:jc w:val="left"/>
            </w:pPr>
            <w:r>
              <w:rPr>
                <w:sz w:val="19"/>
              </w:rPr>
              <w:t>106.77</w:t>
            </w:r>
          </w:p>
        </w:tc>
        <w:tc>
          <w:tcPr>
            <w:tcW w:type="dxa" w:w="5260"/>
            <w:tcMar>
              <w:top w:w="80" w:type="dxa"/>
              <w:bottom w:w="80" w:type="dxa"/>
              <w:start w:w="120" w:type="dxa"/>
              <w:end w:w="120" w:type="dxa"/>
            </w:tcMar>
            <w:vAlign w:val="center"/>
          </w:tcPr>
          <w:p>
            <w:pPr>
              <w:jc w:val="left"/>
            </w:pPr>
            <w:r>
              <w:rPr>
                <w:sz w:val="19"/>
              </w:rPr>
              <w:t>preferred conversion 和 NVIDIA 投资使权益显著改善</w:t>
            </w:r>
          </w:p>
        </w:tc>
      </w:tr>
      <w:tr>
        <w:tc>
          <w:tcPr>
            <w:tcW w:type="dxa" w:w="2300"/>
            <w:tcMar>
              <w:top w:w="80" w:type="dxa"/>
              <w:bottom w:w="80" w:type="dxa"/>
              <w:start w:w="120" w:type="dxa"/>
              <w:end w:w="120" w:type="dxa"/>
            </w:tcMar>
            <w:vAlign w:val="center"/>
          </w:tcPr>
          <w:p>
            <w:pPr>
              <w:jc w:val="center"/>
            </w:pPr>
            <w:r>
              <w:rPr>
                <w:sz w:val="19"/>
              </w:rPr>
              <w:t>库存</w:t>
            </w:r>
          </w:p>
        </w:tc>
        <w:tc>
          <w:tcPr>
            <w:tcW w:type="dxa" w:w="1800"/>
            <w:tcMar>
              <w:top w:w="80" w:type="dxa"/>
              <w:bottom w:w="80" w:type="dxa"/>
              <w:start w:w="120" w:type="dxa"/>
              <w:end w:w="120" w:type="dxa"/>
            </w:tcMar>
            <w:vAlign w:val="center"/>
          </w:tcPr>
          <w:p>
            <w:pPr>
              <w:jc w:val="left"/>
            </w:pPr>
            <w:r>
              <w:rPr>
                <w:sz w:val="19"/>
              </w:rPr>
              <w:t>21.27</w:t>
            </w:r>
          </w:p>
        </w:tc>
        <w:tc>
          <w:tcPr>
            <w:tcW w:type="dxa" w:w="5260"/>
            <w:tcMar>
              <w:top w:w="80" w:type="dxa"/>
              <w:bottom w:w="80" w:type="dxa"/>
              <w:start w:w="120" w:type="dxa"/>
              <w:end w:w="120" w:type="dxa"/>
            </w:tcMar>
            <w:vAlign w:val="center"/>
          </w:tcPr>
          <w:p>
            <w:pPr>
              <w:jc w:val="left"/>
            </w:pPr>
            <w:r>
              <w:rPr>
                <w:sz w:val="19"/>
              </w:rPr>
              <w:t>库存较 FY2025 年末显著上升，是现金流核心压力点</w:t>
            </w:r>
          </w:p>
        </w:tc>
      </w:tr>
    </w:tbl>
    <w:p/>
    <w:p>
      <w:pPr>
        <w:pStyle w:val="Heading2"/>
      </w:pPr>
      <w:r>
        <w:t>9.2 财务杠杆分析</w:t>
      </w:r>
    </w:p>
    <w:p>
      <w:pPr>
        <w:spacing w:after="120" w:line="264" w:lineRule="auto"/>
      </w:pPr>
      <w:r>
        <w:rPr>
          <w:sz w:val="22"/>
        </w:rPr>
        <w:t>Coherent 的财务杠杆已经从“并购后高债务压力”转向“AI 扩产期营运资本和资本开支压力”。NVIDIA 20 亿美元投资、preferred stock 转换、资产出售和债务偿还显著改善了表观杠杆；但 FY2026 前九个月经营现金流仅约 0.10 亿美元，说明应收、库存和资本开支仍在消耗现金。</w:t>
      </w:r>
    </w:p>
    <w:tbl>
      <w:tblPr>
        <w:tblStyle w:val="TableGrid"/>
        <w:tblW w:type="dxa" w:w="9360"/>
        <w:jc w:val="center"/>
        <w:tblLook w:firstColumn="1" w:firstRow="1" w:lastColumn="0" w:lastRow="0" w:noHBand="0" w:noVBand="1" w:val="04A0"/>
        <w:tblInd w:w="120" w:type="dxa"/>
      </w:tblPr>
      <w:tblGrid>
        <w:gridCol w:w="1800"/>
        <w:gridCol w:w="3900"/>
        <w:gridCol w:w="3660"/>
      </w:tblGrid>
      <w:tr>
        <w:trPr>
          <w:tblHeader w:val="true"/>
        </w:trPr>
        <w:tc>
          <w:tcPr>
            <w:tcW w:type="dxa" w:w="1800"/>
            <w:shd w:fill="E8EEF5"/>
            <w:tcMar>
              <w:top w:w="80" w:type="dxa"/>
              <w:bottom w:w="80" w:type="dxa"/>
              <w:start w:w="120" w:type="dxa"/>
              <w:end w:w="120" w:type="dxa"/>
            </w:tcMar>
            <w:vAlign w:val="center"/>
          </w:tcPr>
          <w:p>
            <w:pPr>
              <w:jc w:val="center"/>
            </w:pPr>
            <w:r>
              <w:rPr>
                <w:b/>
                <w:sz w:val="19"/>
              </w:rPr>
              <w:t>杠杆类型</w:t>
            </w:r>
          </w:p>
        </w:tc>
        <w:tc>
          <w:tcPr>
            <w:tcW w:type="dxa" w:w="3900"/>
            <w:shd w:fill="E8EEF5"/>
            <w:tcMar>
              <w:top w:w="80" w:type="dxa"/>
              <w:bottom w:w="80" w:type="dxa"/>
              <w:start w:w="120" w:type="dxa"/>
              <w:end w:w="120" w:type="dxa"/>
            </w:tcMar>
            <w:vAlign w:val="center"/>
          </w:tcPr>
          <w:p>
            <w:pPr>
              <w:jc w:val="center"/>
            </w:pPr>
            <w:r>
              <w:rPr>
                <w:b/>
                <w:sz w:val="19"/>
              </w:rPr>
              <w:t>当前表现</w:t>
            </w:r>
          </w:p>
        </w:tc>
        <w:tc>
          <w:tcPr>
            <w:tcW w:type="dxa" w:w="3660"/>
            <w:shd w:fill="E8EEF5"/>
            <w:tcMar>
              <w:top w:w="80" w:type="dxa"/>
              <w:bottom w:w="80" w:type="dxa"/>
              <w:start w:w="120" w:type="dxa"/>
              <w:end w:w="120" w:type="dxa"/>
            </w:tcMar>
            <w:vAlign w:val="center"/>
          </w:tcPr>
          <w:p>
            <w:pPr>
              <w:jc w:val="center"/>
            </w:pPr>
            <w:r>
              <w:rPr>
                <w:b/>
                <w:sz w:val="19"/>
              </w:rPr>
              <w:t>投资含义</w:t>
            </w:r>
          </w:p>
        </w:tc>
      </w:tr>
      <w:tr>
        <w:tc>
          <w:tcPr>
            <w:tcW w:type="dxa" w:w="1800"/>
            <w:tcMar>
              <w:top w:w="80" w:type="dxa"/>
              <w:bottom w:w="80" w:type="dxa"/>
              <w:start w:w="120" w:type="dxa"/>
              <w:end w:w="120" w:type="dxa"/>
            </w:tcMar>
            <w:vAlign w:val="center"/>
          </w:tcPr>
          <w:p>
            <w:pPr>
              <w:jc w:val="center"/>
            </w:pPr>
            <w:r>
              <w:rPr>
                <w:sz w:val="19"/>
              </w:rPr>
              <w:t>经营杠杆</w:t>
            </w:r>
          </w:p>
        </w:tc>
        <w:tc>
          <w:tcPr>
            <w:tcW w:type="dxa" w:w="3900"/>
            <w:tcMar>
              <w:top w:w="80" w:type="dxa"/>
              <w:bottom w:w="80" w:type="dxa"/>
              <w:start w:w="120" w:type="dxa"/>
              <w:end w:w="120" w:type="dxa"/>
            </w:tcMar>
            <w:vAlign w:val="center"/>
          </w:tcPr>
          <w:p>
            <w:pPr>
              <w:jc w:val="left"/>
            </w:pPr>
            <w:r>
              <w:rPr>
                <w:sz w:val="19"/>
              </w:rPr>
              <w:t>Q3 收入 +21%，GAAP 净利润显著修复</w:t>
            </w:r>
          </w:p>
        </w:tc>
        <w:tc>
          <w:tcPr>
            <w:tcW w:type="dxa" w:w="3660"/>
            <w:tcMar>
              <w:top w:w="80" w:type="dxa"/>
              <w:bottom w:w="80" w:type="dxa"/>
              <w:start w:w="120" w:type="dxa"/>
              <w:end w:w="120" w:type="dxa"/>
            </w:tcMar>
            <w:vAlign w:val="center"/>
          </w:tcPr>
          <w:p>
            <w:pPr>
              <w:jc w:val="left"/>
            </w:pPr>
            <w:r>
              <w:rPr>
                <w:sz w:val="19"/>
              </w:rPr>
              <w:t>收入增长和毛利率改善带来利润弹性</w:t>
            </w:r>
          </w:p>
        </w:tc>
      </w:tr>
      <w:tr>
        <w:tc>
          <w:tcPr>
            <w:tcW w:type="dxa" w:w="1800"/>
            <w:tcMar>
              <w:top w:w="80" w:type="dxa"/>
              <w:bottom w:w="80" w:type="dxa"/>
              <w:start w:w="120" w:type="dxa"/>
              <w:end w:w="120" w:type="dxa"/>
            </w:tcMar>
            <w:vAlign w:val="center"/>
          </w:tcPr>
          <w:p>
            <w:pPr>
              <w:jc w:val="center"/>
            </w:pPr>
            <w:r>
              <w:rPr>
                <w:sz w:val="19"/>
              </w:rPr>
              <w:t>毛利率杠杆</w:t>
            </w:r>
          </w:p>
        </w:tc>
        <w:tc>
          <w:tcPr>
            <w:tcW w:type="dxa" w:w="3900"/>
            <w:tcMar>
              <w:top w:w="80" w:type="dxa"/>
              <w:bottom w:w="80" w:type="dxa"/>
              <w:start w:w="120" w:type="dxa"/>
              <w:end w:w="120" w:type="dxa"/>
            </w:tcMar>
            <w:vAlign w:val="center"/>
          </w:tcPr>
          <w:p>
            <w:pPr>
              <w:jc w:val="left"/>
            </w:pPr>
            <w:r>
              <w:rPr>
                <w:sz w:val="19"/>
              </w:rPr>
              <w:t>Q3 GAAP 毛利率约 38%，同比 +243bp</w:t>
            </w:r>
          </w:p>
        </w:tc>
        <w:tc>
          <w:tcPr>
            <w:tcW w:type="dxa" w:w="3660"/>
            <w:tcMar>
              <w:top w:w="80" w:type="dxa"/>
              <w:bottom w:w="80" w:type="dxa"/>
              <w:start w:w="120" w:type="dxa"/>
              <w:end w:w="120" w:type="dxa"/>
            </w:tcMar>
            <w:vAlign w:val="center"/>
          </w:tcPr>
          <w:p>
            <w:pPr>
              <w:jc w:val="left"/>
            </w:pPr>
            <w:r>
              <w:rPr>
                <w:sz w:val="19"/>
              </w:rPr>
              <w:t>D&amp;C 良率、成本和 pricing optimization 是核心</w:t>
            </w:r>
          </w:p>
        </w:tc>
      </w:tr>
      <w:tr>
        <w:tc>
          <w:tcPr>
            <w:tcW w:type="dxa" w:w="1800"/>
            <w:tcMar>
              <w:top w:w="80" w:type="dxa"/>
              <w:bottom w:w="80" w:type="dxa"/>
              <w:start w:w="120" w:type="dxa"/>
              <w:end w:w="120" w:type="dxa"/>
            </w:tcMar>
            <w:vAlign w:val="center"/>
          </w:tcPr>
          <w:p>
            <w:pPr>
              <w:jc w:val="center"/>
            </w:pPr>
            <w:r>
              <w:rPr>
                <w:sz w:val="19"/>
              </w:rPr>
              <w:t>债务杠杆</w:t>
            </w:r>
          </w:p>
        </w:tc>
        <w:tc>
          <w:tcPr>
            <w:tcW w:type="dxa" w:w="3900"/>
            <w:tcMar>
              <w:top w:w="80" w:type="dxa"/>
              <w:bottom w:w="80" w:type="dxa"/>
              <w:start w:w="120" w:type="dxa"/>
              <w:end w:w="120" w:type="dxa"/>
            </w:tcMar>
            <w:vAlign w:val="center"/>
          </w:tcPr>
          <w:p>
            <w:pPr>
              <w:jc w:val="left"/>
            </w:pPr>
            <w:r>
              <w:rPr>
                <w:sz w:val="19"/>
              </w:rPr>
              <w:t>总债务 31.94 亿美元，现金+短投 24.18 亿美元</w:t>
            </w:r>
          </w:p>
        </w:tc>
        <w:tc>
          <w:tcPr>
            <w:tcW w:type="dxa" w:w="3660"/>
            <w:tcMar>
              <w:top w:w="80" w:type="dxa"/>
              <w:bottom w:w="80" w:type="dxa"/>
              <w:start w:w="120" w:type="dxa"/>
              <w:end w:w="120" w:type="dxa"/>
            </w:tcMar>
            <w:vAlign w:val="center"/>
          </w:tcPr>
          <w:p>
            <w:pPr>
              <w:jc w:val="left"/>
            </w:pPr>
            <w:r>
              <w:rPr>
                <w:sz w:val="19"/>
              </w:rPr>
              <w:t>净债务下降明显，破产式风险大幅降低</w:t>
            </w:r>
          </w:p>
        </w:tc>
      </w:tr>
      <w:tr>
        <w:tc>
          <w:tcPr>
            <w:tcW w:type="dxa" w:w="1800"/>
            <w:tcMar>
              <w:top w:w="80" w:type="dxa"/>
              <w:bottom w:w="80" w:type="dxa"/>
              <w:start w:w="120" w:type="dxa"/>
              <w:end w:w="120" w:type="dxa"/>
            </w:tcMar>
            <w:vAlign w:val="center"/>
          </w:tcPr>
          <w:p>
            <w:pPr>
              <w:jc w:val="center"/>
            </w:pPr>
            <w:r>
              <w:rPr>
                <w:sz w:val="19"/>
              </w:rPr>
              <w:t>营运资本杠杆</w:t>
            </w:r>
          </w:p>
        </w:tc>
        <w:tc>
          <w:tcPr>
            <w:tcW w:type="dxa" w:w="3900"/>
            <w:tcMar>
              <w:top w:w="80" w:type="dxa"/>
              <w:bottom w:w="80" w:type="dxa"/>
              <w:start w:w="120" w:type="dxa"/>
              <w:end w:w="120" w:type="dxa"/>
            </w:tcMar>
            <w:vAlign w:val="center"/>
          </w:tcPr>
          <w:p>
            <w:pPr>
              <w:jc w:val="left"/>
            </w:pPr>
            <w:r>
              <w:rPr>
                <w:sz w:val="19"/>
              </w:rPr>
              <w:t>前九个月库存增加约 6.99 亿美元、应收增加约 2.25 亿美元</w:t>
            </w:r>
          </w:p>
        </w:tc>
        <w:tc>
          <w:tcPr>
            <w:tcW w:type="dxa" w:w="3660"/>
            <w:tcMar>
              <w:top w:w="80" w:type="dxa"/>
              <w:bottom w:w="80" w:type="dxa"/>
              <w:start w:w="120" w:type="dxa"/>
              <w:end w:w="120" w:type="dxa"/>
            </w:tcMar>
            <w:vAlign w:val="center"/>
          </w:tcPr>
          <w:p>
            <w:pPr>
              <w:jc w:val="left"/>
            </w:pPr>
            <w:r>
              <w:rPr>
                <w:sz w:val="19"/>
              </w:rPr>
              <w:t>AI 需求越强，备货和应收越可能压制现金流</w:t>
            </w:r>
          </w:p>
        </w:tc>
      </w:tr>
      <w:tr>
        <w:tc>
          <w:tcPr>
            <w:tcW w:type="dxa" w:w="1800"/>
            <w:tcMar>
              <w:top w:w="80" w:type="dxa"/>
              <w:bottom w:w="80" w:type="dxa"/>
              <w:start w:w="120" w:type="dxa"/>
              <w:end w:w="120" w:type="dxa"/>
            </w:tcMar>
            <w:vAlign w:val="center"/>
          </w:tcPr>
          <w:p>
            <w:pPr>
              <w:jc w:val="center"/>
            </w:pPr>
            <w:r>
              <w:rPr>
                <w:sz w:val="19"/>
              </w:rPr>
              <w:t>资本开支杠杆</w:t>
            </w:r>
          </w:p>
        </w:tc>
        <w:tc>
          <w:tcPr>
            <w:tcW w:type="dxa" w:w="3900"/>
            <w:tcMar>
              <w:top w:w="80" w:type="dxa"/>
              <w:bottom w:w="80" w:type="dxa"/>
              <w:start w:w="120" w:type="dxa"/>
              <w:end w:w="120" w:type="dxa"/>
            </w:tcMar>
            <w:vAlign w:val="center"/>
          </w:tcPr>
          <w:p>
            <w:pPr>
              <w:jc w:val="left"/>
            </w:pPr>
            <w:r>
              <w:rPr>
                <w:sz w:val="19"/>
              </w:rPr>
              <w:t>前九个月 capex 5.47 亿美元</w:t>
            </w:r>
          </w:p>
        </w:tc>
        <w:tc>
          <w:tcPr>
            <w:tcW w:type="dxa" w:w="3660"/>
            <w:tcMar>
              <w:top w:w="80" w:type="dxa"/>
              <w:bottom w:w="80" w:type="dxa"/>
              <w:start w:w="120" w:type="dxa"/>
              <w:end w:w="120" w:type="dxa"/>
            </w:tcMar>
            <w:vAlign w:val="center"/>
          </w:tcPr>
          <w:p>
            <w:pPr>
              <w:jc w:val="left"/>
            </w:pPr>
            <w:r>
              <w:rPr>
                <w:sz w:val="19"/>
              </w:rPr>
              <w:t>InP/AI 产能扩张提高未来收入上限，也提高折旧和执行风险</w:t>
            </w:r>
          </w:p>
        </w:tc>
      </w:tr>
      <w:tr>
        <w:tc>
          <w:tcPr>
            <w:tcW w:type="dxa" w:w="1800"/>
            <w:tcMar>
              <w:top w:w="80" w:type="dxa"/>
              <w:bottom w:w="80" w:type="dxa"/>
              <w:start w:w="120" w:type="dxa"/>
              <w:end w:w="120" w:type="dxa"/>
            </w:tcMar>
            <w:vAlign w:val="center"/>
          </w:tcPr>
          <w:p>
            <w:pPr>
              <w:jc w:val="center"/>
            </w:pPr>
            <w:r>
              <w:rPr>
                <w:sz w:val="19"/>
              </w:rPr>
              <w:t>权益杠杆</w:t>
            </w:r>
          </w:p>
        </w:tc>
        <w:tc>
          <w:tcPr>
            <w:tcW w:type="dxa" w:w="3900"/>
            <w:tcMar>
              <w:top w:w="80" w:type="dxa"/>
              <w:bottom w:w="80" w:type="dxa"/>
              <w:start w:w="120" w:type="dxa"/>
              <w:end w:w="120" w:type="dxa"/>
            </w:tcMar>
            <w:vAlign w:val="center"/>
          </w:tcPr>
          <w:p>
            <w:pPr>
              <w:jc w:val="left"/>
            </w:pPr>
            <w:r>
              <w:rPr>
                <w:sz w:val="19"/>
              </w:rPr>
              <w:t>NVIDIA 20 亿美元普通股投资，preferred stock 转换</w:t>
            </w:r>
          </w:p>
        </w:tc>
        <w:tc>
          <w:tcPr>
            <w:tcW w:type="dxa" w:w="3660"/>
            <w:tcMar>
              <w:top w:w="80" w:type="dxa"/>
              <w:bottom w:w="80" w:type="dxa"/>
              <w:start w:w="120" w:type="dxa"/>
              <w:end w:w="120" w:type="dxa"/>
            </w:tcMar>
            <w:vAlign w:val="center"/>
          </w:tcPr>
          <w:p>
            <w:pPr>
              <w:jc w:val="left"/>
            </w:pPr>
            <w:r>
              <w:rPr>
                <w:sz w:val="19"/>
              </w:rPr>
              <w:t>改善资本结构，但也带来摊薄和对 NVIDIA 生态路径的依赖</w:t>
            </w:r>
          </w:p>
        </w:tc>
      </w:tr>
    </w:tbl>
    <w:p/>
    <w:p>
      <w:pPr>
        <w:pStyle w:val="Heading2"/>
      </w:pPr>
      <w:r>
        <w:t>9.3 资本配置判断</w:t>
      </w:r>
    </w:p>
    <w:p>
      <w:pPr>
        <w:spacing w:after="120" w:line="264" w:lineRule="auto"/>
      </w:pPr>
      <w:r>
        <w:rPr>
          <w:sz w:val="22"/>
        </w:rPr>
        <w:t>Coherent 当前最重要的资本配置不是回购，而是把 NVIDIA 资金、资产出售现金和债务能力投入到最高回报的 AI 光互联产能。短期应优先观察三件事：InP 扩产是否按计划完成；D&amp;C 毛利率是否继续提升；库存和应收是否在收入增长后转化为经营现金流。若只看到收入增长而看不到现金转换，估值应保持折价。</w:t>
      </w:r>
    </w:p>
    <w:p>
      <w:pPr>
        <w:pStyle w:val="Heading1"/>
      </w:pPr>
      <w:r>
        <w:t>十、估值框架与研究评级</w:t>
      </w:r>
    </w:p>
    <w:p>
      <w:pPr>
        <w:pStyle w:val="Heading2"/>
      </w:pPr>
      <w:r>
        <w:t>10.1 估值方法</w:t>
      </w:r>
    </w:p>
    <w:p>
      <w:pPr>
        <w:spacing w:after="120" w:line="264" w:lineRule="auto"/>
      </w:pPr>
      <w:r>
        <w:rPr>
          <w:sz w:val="22"/>
        </w:rPr>
        <w:t>Coherent 不宜只按传统工业激光或通信周期股估值，也不应简单套用 NVIDIA 式平台估值。更合适的框架是“AI 光互联成长性 + InP/激光器稀缺性 + Industrial 现金流底盘 + SiC/材料可选项 + 财务杠杆修复”。如果 D&amp;C 增长和毛利率持续改善，公司估值可向 AI 光通信核心供应商上移；如果现金流持续被库存和 capex 吞噬，估值仍会被硬件制造属性压制。</w:t>
      </w:r>
    </w:p>
    <w:tbl>
      <w:tblPr>
        <w:tblStyle w:val="TableGrid"/>
        <w:tblW w:type="dxa" w:w="9360"/>
        <w:jc w:val="center"/>
        <w:tblLook w:firstColumn="1" w:firstRow="1" w:lastColumn="0" w:lastRow="0" w:noHBand="0" w:noVBand="1" w:val="04A0"/>
        <w:tblInd w:w="120" w:type="dxa"/>
      </w:tblPr>
      <w:tblGrid>
        <w:gridCol w:w="1900"/>
        <w:gridCol w:w="3700"/>
        <w:gridCol w:w="3760"/>
      </w:tblGrid>
      <w:tr>
        <w:trPr>
          <w:tblHeader w:val="true"/>
        </w:trPr>
        <w:tc>
          <w:tcPr>
            <w:tcW w:type="dxa" w:w="1900"/>
            <w:shd w:fill="E8EEF5"/>
            <w:tcMar>
              <w:top w:w="80" w:type="dxa"/>
              <w:bottom w:w="80" w:type="dxa"/>
              <w:start w:w="120" w:type="dxa"/>
              <w:end w:w="120" w:type="dxa"/>
            </w:tcMar>
            <w:vAlign w:val="center"/>
          </w:tcPr>
          <w:p>
            <w:pPr>
              <w:jc w:val="center"/>
            </w:pPr>
            <w:r>
              <w:rPr>
                <w:b/>
                <w:sz w:val="19"/>
              </w:rPr>
              <w:t>估值驱动</w:t>
            </w:r>
          </w:p>
        </w:tc>
        <w:tc>
          <w:tcPr>
            <w:tcW w:type="dxa" w:w="3700"/>
            <w:shd w:fill="E8EEF5"/>
            <w:tcMar>
              <w:top w:w="80" w:type="dxa"/>
              <w:bottom w:w="80" w:type="dxa"/>
              <w:start w:w="120" w:type="dxa"/>
              <w:end w:w="120" w:type="dxa"/>
            </w:tcMar>
            <w:vAlign w:val="center"/>
          </w:tcPr>
          <w:p>
            <w:pPr>
              <w:jc w:val="center"/>
            </w:pPr>
            <w:r>
              <w:rPr>
                <w:b/>
                <w:sz w:val="19"/>
              </w:rPr>
              <w:t>正向因素</w:t>
            </w:r>
          </w:p>
        </w:tc>
        <w:tc>
          <w:tcPr>
            <w:tcW w:type="dxa" w:w="3760"/>
            <w:shd w:fill="E8EEF5"/>
            <w:tcMar>
              <w:top w:w="80" w:type="dxa"/>
              <w:bottom w:w="80" w:type="dxa"/>
              <w:start w:w="120" w:type="dxa"/>
              <w:end w:w="120" w:type="dxa"/>
            </w:tcMar>
            <w:vAlign w:val="center"/>
          </w:tcPr>
          <w:p>
            <w:pPr>
              <w:jc w:val="center"/>
            </w:pPr>
            <w:r>
              <w:rPr>
                <w:b/>
                <w:sz w:val="19"/>
              </w:rPr>
              <w:t>负向因素</w:t>
            </w:r>
          </w:p>
        </w:tc>
      </w:tr>
      <w:tr>
        <w:tc>
          <w:tcPr>
            <w:tcW w:type="dxa" w:w="1900"/>
            <w:tcMar>
              <w:top w:w="80" w:type="dxa"/>
              <w:bottom w:w="80" w:type="dxa"/>
              <w:start w:w="120" w:type="dxa"/>
              <w:end w:w="120" w:type="dxa"/>
            </w:tcMar>
            <w:vAlign w:val="center"/>
          </w:tcPr>
          <w:p>
            <w:pPr>
              <w:jc w:val="center"/>
            </w:pPr>
            <w:r>
              <w:rPr>
                <w:sz w:val="19"/>
              </w:rPr>
              <w:t>AI datacenter 光互联</w:t>
            </w:r>
          </w:p>
        </w:tc>
        <w:tc>
          <w:tcPr>
            <w:tcW w:type="dxa" w:w="3700"/>
            <w:tcMar>
              <w:top w:w="80" w:type="dxa"/>
              <w:bottom w:w="80" w:type="dxa"/>
              <w:start w:w="120" w:type="dxa"/>
              <w:end w:w="120" w:type="dxa"/>
            </w:tcMar>
            <w:vAlign w:val="center"/>
          </w:tcPr>
          <w:p>
            <w:pPr>
              <w:jc w:val="left"/>
            </w:pPr>
            <w:r>
              <w:rPr>
                <w:sz w:val="19"/>
              </w:rPr>
              <w:t>D&amp;C Q3 收入 +41%，NVIDIA 战略协议提升可见度</w:t>
            </w:r>
          </w:p>
        </w:tc>
        <w:tc>
          <w:tcPr>
            <w:tcW w:type="dxa" w:w="3760"/>
            <w:tcMar>
              <w:top w:w="80" w:type="dxa"/>
              <w:bottom w:w="80" w:type="dxa"/>
              <w:start w:w="120" w:type="dxa"/>
              <w:end w:w="120" w:type="dxa"/>
            </w:tcMar>
            <w:vAlign w:val="center"/>
          </w:tcPr>
          <w:p>
            <w:pPr>
              <w:jc w:val="left"/>
            </w:pPr>
            <w:r>
              <w:rPr>
                <w:sz w:val="19"/>
              </w:rPr>
              <w:t>需求集中、客户议价和规格快速迭代</w:t>
            </w:r>
          </w:p>
        </w:tc>
      </w:tr>
      <w:tr>
        <w:tc>
          <w:tcPr>
            <w:tcW w:type="dxa" w:w="1900"/>
            <w:tcMar>
              <w:top w:w="80" w:type="dxa"/>
              <w:bottom w:w="80" w:type="dxa"/>
              <w:start w:w="120" w:type="dxa"/>
              <w:end w:w="120" w:type="dxa"/>
            </w:tcMar>
            <w:vAlign w:val="center"/>
          </w:tcPr>
          <w:p>
            <w:pPr>
              <w:jc w:val="center"/>
            </w:pPr>
            <w:r>
              <w:rPr>
                <w:sz w:val="19"/>
              </w:rPr>
              <w:t>InP/先进光学产能</w:t>
            </w:r>
          </w:p>
        </w:tc>
        <w:tc>
          <w:tcPr>
            <w:tcW w:type="dxa" w:w="3700"/>
            <w:tcMar>
              <w:top w:w="80" w:type="dxa"/>
              <w:bottom w:w="80" w:type="dxa"/>
              <w:start w:w="120" w:type="dxa"/>
              <w:end w:w="120" w:type="dxa"/>
            </w:tcMar>
            <w:vAlign w:val="center"/>
          </w:tcPr>
          <w:p>
            <w:pPr>
              <w:jc w:val="left"/>
            </w:pPr>
            <w:r>
              <w:rPr>
                <w:sz w:val="19"/>
              </w:rPr>
              <w:t>行业短缺和 Sherman 扩产带来稀缺性</w:t>
            </w:r>
          </w:p>
        </w:tc>
        <w:tc>
          <w:tcPr>
            <w:tcW w:type="dxa" w:w="3760"/>
            <w:tcMar>
              <w:top w:w="80" w:type="dxa"/>
              <w:bottom w:w="80" w:type="dxa"/>
              <w:start w:w="120" w:type="dxa"/>
              <w:end w:w="120" w:type="dxa"/>
            </w:tcMar>
            <w:vAlign w:val="center"/>
          </w:tcPr>
          <w:p>
            <w:pPr>
              <w:jc w:val="left"/>
            </w:pPr>
            <w:r>
              <w:rPr>
                <w:sz w:val="19"/>
              </w:rPr>
              <w:t>资本开支、良率和产能爬坡风险</w:t>
            </w:r>
          </w:p>
        </w:tc>
      </w:tr>
      <w:tr>
        <w:tc>
          <w:tcPr>
            <w:tcW w:type="dxa" w:w="1900"/>
            <w:tcMar>
              <w:top w:w="80" w:type="dxa"/>
              <w:bottom w:w="80" w:type="dxa"/>
              <w:start w:w="120" w:type="dxa"/>
              <w:end w:w="120" w:type="dxa"/>
            </w:tcMar>
            <w:vAlign w:val="center"/>
          </w:tcPr>
          <w:p>
            <w:pPr>
              <w:jc w:val="center"/>
            </w:pPr>
            <w:r>
              <w:rPr>
                <w:sz w:val="19"/>
              </w:rPr>
              <w:t>毛利率改善</w:t>
            </w:r>
          </w:p>
        </w:tc>
        <w:tc>
          <w:tcPr>
            <w:tcW w:type="dxa" w:w="3700"/>
            <w:tcMar>
              <w:top w:w="80" w:type="dxa"/>
              <w:bottom w:w="80" w:type="dxa"/>
              <w:start w:w="120" w:type="dxa"/>
              <w:end w:w="120" w:type="dxa"/>
            </w:tcMar>
            <w:vAlign w:val="center"/>
          </w:tcPr>
          <w:p>
            <w:pPr>
              <w:jc w:val="left"/>
            </w:pPr>
            <w:r>
              <w:rPr>
                <w:sz w:val="19"/>
              </w:rPr>
              <w:t>Q3 GAAP 毛利率约 38%，调整后毛利率 39.6%</w:t>
            </w:r>
          </w:p>
        </w:tc>
        <w:tc>
          <w:tcPr>
            <w:tcW w:type="dxa" w:w="3760"/>
            <w:tcMar>
              <w:top w:w="80" w:type="dxa"/>
              <w:bottom w:w="80" w:type="dxa"/>
              <w:start w:w="120" w:type="dxa"/>
              <w:end w:w="120" w:type="dxa"/>
            </w:tcMar>
            <w:vAlign w:val="center"/>
          </w:tcPr>
          <w:p>
            <w:pPr>
              <w:jc w:val="left"/>
            </w:pPr>
            <w:r>
              <w:rPr>
                <w:sz w:val="19"/>
              </w:rPr>
              <w:t>价格竞争和产品 mix 变化可能压制利润率</w:t>
            </w:r>
          </w:p>
        </w:tc>
      </w:tr>
      <w:tr>
        <w:tc>
          <w:tcPr>
            <w:tcW w:type="dxa" w:w="1900"/>
            <w:tcMar>
              <w:top w:w="80" w:type="dxa"/>
              <w:bottom w:w="80" w:type="dxa"/>
              <w:start w:w="120" w:type="dxa"/>
              <w:end w:w="120" w:type="dxa"/>
            </w:tcMar>
            <w:vAlign w:val="center"/>
          </w:tcPr>
          <w:p>
            <w:pPr>
              <w:jc w:val="center"/>
            </w:pPr>
            <w:r>
              <w:rPr>
                <w:sz w:val="19"/>
              </w:rPr>
              <w:t>财务杠杆修复</w:t>
            </w:r>
          </w:p>
        </w:tc>
        <w:tc>
          <w:tcPr>
            <w:tcW w:type="dxa" w:w="3700"/>
            <w:tcMar>
              <w:top w:w="80" w:type="dxa"/>
              <w:bottom w:w="80" w:type="dxa"/>
              <w:start w:w="120" w:type="dxa"/>
              <w:end w:w="120" w:type="dxa"/>
            </w:tcMar>
            <w:vAlign w:val="center"/>
          </w:tcPr>
          <w:p>
            <w:pPr>
              <w:jc w:val="left"/>
            </w:pPr>
            <w:r>
              <w:rPr>
                <w:sz w:val="19"/>
              </w:rPr>
              <w:t>总债务下降，现金+短投上升，preferred 转换</w:t>
            </w:r>
          </w:p>
        </w:tc>
        <w:tc>
          <w:tcPr>
            <w:tcW w:type="dxa" w:w="3760"/>
            <w:tcMar>
              <w:top w:w="80" w:type="dxa"/>
              <w:bottom w:w="80" w:type="dxa"/>
              <w:start w:w="120" w:type="dxa"/>
              <w:end w:w="120" w:type="dxa"/>
            </w:tcMar>
            <w:vAlign w:val="center"/>
          </w:tcPr>
          <w:p>
            <w:pPr>
              <w:jc w:val="left"/>
            </w:pPr>
            <w:r>
              <w:rPr>
                <w:sz w:val="19"/>
              </w:rPr>
              <w:t>经营现金流短期仍弱，库存压力高</w:t>
            </w:r>
          </w:p>
        </w:tc>
      </w:tr>
      <w:tr>
        <w:tc>
          <w:tcPr>
            <w:tcW w:type="dxa" w:w="1900"/>
            <w:tcMar>
              <w:top w:w="80" w:type="dxa"/>
              <w:bottom w:w="80" w:type="dxa"/>
              <w:start w:w="120" w:type="dxa"/>
              <w:end w:w="120" w:type="dxa"/>
            </w:tcMar>
            <w:vAlign w:val="center"/>
          </w:tcPr>
          <w:p>
            <w:pPr>
              <w:jc w:val="center"/>
            </w:pPr>
            <w:r>
              <w:rPr>
                <w:sz w:val="19"/>
              </w:rPr>
              <w:t>Industrial/SiC 可选项</w:t>
            </w:r>
          </w:p>
        </w:tc>
        <w:tc>
          <w:tcPr>
            <w:tcW w:type="dxa" w:w="3700"/>
            <w:tcMar>
              <w:top w:w="80" w:type="dxa"/>
              <w:bottom w:w="80" w:type="dxa"/>
              <w:start w:w="120" w:type="dxa"/>
              <w:end w:w="120" w:type="dxa"/>
            </w:tcMar>
            <w:vAlign w:val="center"/>
          </w:tcPr>
          <w:p>
            <w:pPr>
              <w:jc w:val="left"/>
            </w:pPr>
            <w:r>
              <w:rPr>
                <w:sz w:val="19"/>
              </w:rPr>
              <w:t>提供非 AI 长期技术资产</w:t>
            </w:r>
          </w:p>
        </w:tc>
        <w:tc>
          <w:tcPr>
            <w:tcW w:type="dxa" w:w="3760"/>
            <w:tcMar>
              <w:top w:w="80" w:type="dxa"/>
              <w:bottom w:w="80" w:type="dxa"/>
              <w:start w:w="120" w:type="dxa"/>
              <w:end w:w="120" w:type="dxa"/>
            </w:tcMar>
            <w:vAlign w:val="center"/>
          </w:tcPr>
          <w:p>
            <w:pPr>
              <w:jc w:val="left"/>
            </w:pPr>
            <w:r>
              <w:rPr>
                <w:sz w:val="19"/>
              </w:rPr>
              <w:t>资本占用和周期波动可能稀释 AI 叙事</w:t>
            </w:r>
          </w:p>
        </w:tc>
      </w:tr>
    </w:tbl>
    <w:p/>
    <w:p>
      <w:pPr>
        <w:pStyle w:val="Heading2"/>
      </w:pPr>
      <w:r>
        <w:t>10.2 研究评级</w:t>
      </w:r>
    </w:p>
    <w:tbl>
      <w:tblPr>
        <w:tblStyle w:val="TableGrid"/>
        <w:tblW w:type="dxa" w:w="9360"/>
        <w:jc w:val="center"/>
        <w:tblLook w:firstColumn="1" w:firstRow="1" w:lastColumn="0" w:lastRow="0" w:noHBand="0" w:noVBand="1" w:val="04A0"/>
        <w:tblInd w:w="120" w:type="dxa"/>
      </w:tblPr>
      <w:tblGrid>
        <w:gridCol w:w="9360"/>
      </w:tblGrid>
      <w:tr>
        <w:tc>
          <w:tcPr>
            <w:tcW w:type="dxa" w:w="9360"/>
            <w:shd w:fill="EFEAF7"/>
            <w:tcMar>
              <w:top w:w="80" w:type="dxa"/>
              <w:bottom w:w="80" w:type="dxa"/>
              <w:start w:w="120" w:type="dxa"/>
              <w:end w:w="120" w:type="dxa"/>
            </w:tcMar>
            <w:vAlign w:val="center"/>
          </w:tcPr>
          <w:p>
            <w:r>
              <w:rPr>
                <w:b/>
                <w:color w:val="1F4D78"/>
              </w:rPr>
              <w:t>研究观点：</w:t>
            </w:r>
            <w:r>
              <w:t xml:space="preserve"> 中长期积极关注，短期重点验证现金流和毛利率。Coherent 是 AI 光互联瓶颈环节中的核心上游公司之一，NVIDIA 投资强化战略地位；但它仍是资本密集型硬件制造公司，不能只用收入增速定价。若 Q4 指引兑现且库存/现金流改善，估值重估逻辑会更扎实。</w:t>
            </w:r>
          </w:p>
        </w:tc>
      </w:tr>
    </w:tbl>
    <w:p/>
    <w:p>
      <w:pPr>
        <w:spacing w:after="120" w:line="264" w:lineRule="auto"/>
      </w:pPr>
      <w:r>
        <w:rPr>
          <w:sz w:val="22"/>
        </w:rPr>
        <w:t>未来 2-4 个季度若出现以下信号，研究评级可上调：D&amp;C 收入持续高于 35% 增长；adjusted gross margin 稳定突破 41%；经营现金流恢复跟随利润增长；InP 产能扩张顺利；NVIDIA 订单转化为可持续多客户需求；总债务继续下降且资本开支回报清晰。</w:t>
      </w:r>
    </w:p>
    <w:p>
      <w:pPr>
        <w:pStyle w:val="Heading1"/>
      </w:pPr>
      <w:r>
        <w:t>十一、主要风险因素与跟踪指标</w:t>
      </w:r>
    </w:p>
    <w:p>
      <w:pPr>
        <w:pStyle w:val="Heading2"/>
      </w:pPr>
      <w:r>
        <w:t>11.1 主要风险因素</w:t>
      </w:r>
    </w:p>
    <w:tbl>
      <w:tblPr>
        <w:tblStyle w:val="TableGrid"/>
        <w:tblW w:type="dxa" w:w="9360"/>
        <w:jc w:val="center"/>
        <w:tblLook w:firstColumn="1" w:firstRow="1" w:lastColumn="0" w:lastRow="0" w:noHBand="0" w:noVBand="1" w:val="04A0"/>
        <w:tblInd w:w="120" w:type="dxa"/>
      </w:tblPr>
      <w:tblGrid>
        <w:gridCol w:w="1800"/>
        <w:gridCol w:w="5000"/>
        <w:gridCol w:w="2560"/>
      </w:tblGrid>
      <w:tr>
        <w:trPr>
          <w:tblHeader w:val="true"/>
        </w:trPr>
        <w:tc>
          <w:tcPr>
            <w:tcW w:type="dxa" w:w="1800"/>
            <w:shd w:fill="FFF4E6"/>
            <w:tcMar>
              <w:top w:w="80" w:type="dxa"/>
              <w:bottom w:w="80" w:type="dxa"/>
              <w:start w:w="120" w:type="dxa"/>
              <w:end w:w="120" w:type="dxa"/>
            </w:tcMar>
            <w:vAlign w:val="center"/>
          </w:tcPr>
          <w:p>
            <w:pPr>
              <w:jc w:val="center"/>
            </w:pPr>
            <w:r>
              <w:rPr>
                <w:b/>
                <w:sz w:val="19"/>
              </w:rPr>
              <w:t>风险类型</w:t>
            </w:r>
          </w:p>
        </w:tc>
        <w:tc>
          <w:tcPr>
            <w:tcW w:type="dxa" w:w="5000"/>
            <w:shd w:fill="FFF4E6"/>
            <w:tcMar>
              <w:top w:w="80" w:type="dxa"/>
              <w:bottom w:w="80" w:type="dxa"/>
              <w:start w:w="120" w:type="dxa"/>
              <w:end w:w="120" w:type="dxa"/>
            </w:tcMar>
            <w:vAlign w:val="center"/>
          </w:tcPr>
          <w:p>
            <w:pPr>
              <w:jc w:val="center"/>
            </w:pPr>
            <w:r>
              <w:rPr>
                <w:b/>
                <w:sz w:val="19"/>
              </w:rPr>
              <w:t>风险描述</w:t>
            </w:r>
          </w:p>
        </w:tc>
        <w:tc>
          <w:tcPr>
            <w:tcW w:type="dxa" w:w="2560"/>
            <w:shd w:fill="FFF4E6"/>
            <w:tcMar>
              <w:top w:w="80" w:type="dxa"/>
              <w:bottom w:w="80" w:type="dxa"/>
              <w:start w:w="120" w:type="dxa"/>
              <w:end w:w="120" w:type="dxa"/>
            </w:tcMar>
            <w:vAlign w:val="center"/>
          </w:tcPr>
          <w:p>
            <w:pPr>
              <w:jc w:val="center"/>
            </w:pPr>
            <w:r>
              <w:rPr>
                <w:b/>
                <w:sz w:val="19"/>
              </w:rPr>
              <w:t>影响判断</w:t>
            </w:r>
          </w:p>
        </w:tc>
      </w:tr>
      <w:tr>
        <w:tc>
          <w:tcPr>
            <w:tcW w:type="dxa" w:w="1800"/>
            <w:tcMar>
              <w:top w:w="80" w:type="dxa"/>
              <w:bottom w:w="80" w:type="dxa"/>
              <w:start w:w="120" w:type="dxa"/>
              <w:end w:w="120" w:type="dxa"/>
            </w:tcMar>
            <w:vAlign w:val="center"/>
          </w:tcPr>
          <w:p>
            <w:pPr>
              <w:jc w:val="center"/>
            </w:pPr>
            <w:r>
              <w:rPr>
                <w:sz w:val="19"/>
              </w:rPr>
              <w:t>AI 需求风险</w:t>
            </w:r>
          </w:p>
        </w:tc>
        <w:tc>
          <w:tcPr>
            <w:tcW w:type="dxa" w:w="5000"/>
            <w:tcMar>
              <w:top w:w="80" w:type="dxa"/>
              <w:bottom w:w="80" w:type="dxa"/>
              <w:start w:w="120" w:type="dxa"/>
              <w:end w:w="120" w:type="dxa"/>
            </w:tcMar>
            <w:vAlign w:val="center"/>
          </w:tcPr>
          <w:p>
            <w:pPr>
              <w:jc w:val="left"/>
            </w:pPr>
            <w:r>
              <w:rPr>
                <w:sz w:val="19"/>
              </w:rPr>
              <w:t>AI 光模块需求若随云资本开支放缓而降温，D&amp;C 增长会快速下修</w:t>
            </w:r>
          </w:p>
        </w:tc>
        <w:tc>
          <w:tcPr>
            <w:tcW w:type="dxa" w:w="2560"/>
            <w:tcMar>
              <w:top w:w="80" w:type="dxa"/>
              <w:bottom w:w="80" w:type="dxa"/>
              <w:start w:w="120" w:type="dxa"/>
              <w:end w:w="120" w:type="dxa"/>
            </w:tcMar>
            <w:vAlign w:val="center"/>
          </w:tcPr>
          <w:p>
            <w:pPr>
              <w:jc w:val="left"/>
            </w:pPr>
            <w:r>
              <w:rPr>
                <w:sz w:val="19"/>
              </w:rPr>
              <w:t>最重要估值风险</w:t>
            </w:r>
          </w:p>
        </w:tc>
      </w:tr>
      <w:tr>
        <w:tc>
          <w:tcPr>
            <w:tcW w:type="dxa" w:w="1800"/>
            <w:tcMar>
              <w:top w:w="80" w:type="dxa"/>
              <w:bottom w:w="80" w:type="dxa"/>
              <w:start w:w="120" w:type="dxa"/>
              <w:end w:w="120" w:type="dxa"/>
            </w:tcMar>
            <w:vAlign w:val="center"/>
          </w:tcPr>
          <w:p>
            <w:pPr>
              <w:jc w:val="center"/>
            </w:pPr>
            <w:r>
              <w:rPr>
                <w:sz w:val="19"/>
              </w:rPr>
              <w:t>客户集中风险</w:t>
            </w:r>
          </w:p>
        </w:tc>
        <w:tc>
          <w:tcPr>
            <w:tcW w:type="dxa" w:w="5000"/>
            <w:tcMar>
              <w:top w:w="80" w:type="dxa"/>
              <w:bottom w:w="80" w:type="dxa"/>
              <w:start w:w="120" w:type="dxa"/>
              <w:end w:w="120" w:type="dxa"/>
            </w:tcMar>
            <w:vAlign w:val="center"/>
          </w:tcPr>
          <w:p>
            <w:pPr>
              <w:jc w:val="left"/>
            </w:pPr>
            <w:r>
              <w:rPr>
                <w:sz w:val="19"/>
              </w:rPr>
              <w:t>NVIDIA 战略协议提高可见度，也提高对少数生态和规格路线的依赖</w:t>
            </w:r>
          </w:p>
        </w:tc>
        <w:tc>
          <w:tcPr>
            <w:tcW w:type="dxa" w:w="2560"/>
            <w:tcMar>
              <w:top w:w="80" w:type="dxa"/>
              <w:bottom w:w="80" w:type="dxa"/>
              <w:start w:w="120" w:type="dxa"/>
              <w:end w:w="120" w:type="dxa"/>
            </w:tcMar>
            <w:vAlign w:val="center"/>
          </w:tcPr>
          <w:p>
            <w:pPr>
              <w:jc w:val="left"/>
            </w:pPr>
            <w:r>
              <w:rPr>
                <w:sz w:val="19"/>
              </w:rPr>
              <w:t>可能放大订单波动</w:t>
            </w:r>
          </w:p>
        </w:tc>
      </w:tr>
      <w:tr>
        <w:tc>
          <w:tcPr>
            <w:tcW w:type="dxa" w:w="1800"/>
            <w:tcMar>
              <w:top w:w="80" w:type="dxa"/>
              <w:bottom w:w="80" w:type="dxa"/>
              <w:start w:w="120" w:type="dxa"/>
              <w:end w:w="120" w:type="dxa"/>
            </w:tcMar>
            <w:vAlign w:val="center"/>
          </w:tcPr>
          <w:p>
            <w:pPr>
              <w:jc w:val="center"/>
            </w:pPr>
            <w:r>
              <w:rPr>
                <w:sz w:val="19"/>
              </w:rPr>
              <w:t>价格竞争风险</w:t>
            </w:r>
          </w:p>
        </w:tc>
        <w:tc>
          <w:tcPr>
            <w:tcW w:type="dxa" w:w="5000"/>
            <w:tcMar>
              <w:top w:w="80" w:type="dxa"/>
              <w:bottom w:w="80" w:type="dxa"/>
              <w:start w:w="120" w:type="dxa"/>
              <w:end w:w="120" w:type="dxa"/>
            </w:tcMar>
            <w:vAlign w:val="center"/>
          </w:tcPr>
          <w:p>
            <w:pPr>
              <w:jc w:val="left"/>
            </w:pPr>
            <w:r>
              <w:rPr>
                <w:sz w:val="19"/>
              </w:rPr>
              <w:t>光模块和器件价格可能随中国供应链扩产而承压</w:t>
            </w:r>
          </w:p>
        </w:tc>
        <w:tc>
          <w:tcPr>
            <w:tcW w:type="dxa" w:w="2560"/>
            <w:tcMar>
              <w:top w:w="80" w:type="dxa"/>
              <w:bottom w:w="80" w:type="dxa"/>
              <w:start w:w="120" w:type="dxa"/>
              <w:end w:w="120" w:type="dxa"/>
            </w:tcMar>
            <w:vAlign w:val="center"/>
          </w:tcPr>
          <w:p>
            <w:pPr>
              <w:jc w:val="left"/>
            </w:pPr>
            <w:r>
              <w:rPr>
                <w:sz w:val="19"/>
              </w:rPr>
              <w:t>压制毛利率和估值倍数</w:t>
            </w:r>
          </w:p>
        </w:tc>
      </w:tr>
      <w:tr>
        <w:tc>
          <w:tcPr>
            <w:tcW w:type="dxa" w:w="1800"/>
            <w:tcMar>
              <w:top w:w="80" w:type="dxa"/>
              <w:bottom w:w="80" w:type="dxa"/>
              <w:start w:w="120" w:type="dxa"/>
              <w:end w:w="120" w:type="dxa"/>
            </w:tcMar>
            <w:vAlign w:val="center"/>
          </w:tcPr>
          <w:p>
            <w:pPr>
              <w:jc w:val="center"/>
            </w:pPr>
            <w:r>
              <w:rPr>
                <w:sz w:val="19"/>
              </w:rPr>
              <w:t>产能/良率风险</w:t>
            </w:r>
          </w:p>
        </w:tc>
        <w:tc>
          <w:tcPr>
            <w:tcW w:type="dxa" w:w="5000"/>
            <w:tcMar>
              <w:top w:w="80" w:type="dxa"/>
              <w:bottom w:w="80" w:type="dxa"/>
              <w:start w:w="120" w:type="dxa"/>
              <w:end w:w="120" w:type="dxa"/>
            </w:tcMar>
            <w:vAlign w:val="center"/>
          </w:tcPr>
          <w:p>
            <w:pPr>
              <w:jc w:val="left"/>
            </w:pPr>
            <w:r>
              <w:rPr>
                <w:sz w:val="19"/>
              </w:rPr>
              <w:t>InP 和先进光学扩产需要时间、资本和良率爬坡</w:t>
            </w:r>
          </w:p>
        </w:tc>
        <w:tc>
          <w:tcPr>
            <w:tcW w:type="dxa" w:w="2560"/>
            <w:tcMar>
              <w:top w:w="80" w:type="dxa"/>
              <w:bottom w:w="80" w:type="dxa"/>
              <w:start w:w="120" w:type="dxa"/>
              <w:end w:w="120" w:type="dxa"/>
            </w:tcMar>
            <w:vAlign w:val="center"/>
          </w:tcPr>
          <w:p>
            <w:pPr>
              <w:jc w:val="left"/>
            </w:pPr>
            <w:r>
              <w:rPr>
                <w:sz w:val="19"/>
              </w:rPr>
              <w:t>影响交付和利润率</w:t>
            </w:r>
          </w:p>
        </w:tc>
      </w:tr>
      <w:tr>
        <w:tc>
          <w:tcPr>
            <w:tcW w:type="dxa" w:w="1800"/>
            <w:tcMar>
              <w:top w:w="80" w:type="dxa"/>
              <w:bottom w:w="80" w:type="dxa"/>
              <w:start w:w="120" w:type="dxa"/>
              <w:end w:w="120" w:type="dxa"/>
            </w:tcMar>
            <w:vAlign w:val="center"/>
          </w:tcPr>
          <w:p>
            <w:pPr>
              <w:jc w:val="center"/>
            </w:pPr>
            <w:r>
              <w:rPr>
                <w:sz w:val="19"/>
              </w:rPr>
              <w:t>库存现金流风险</w:t>
            </w:r>
          </w:p>
        </w:tc>
        <w:tc>
          <w:tcPr>
            <w:tcW w:type="dxa" w:w="5000"/>
            <w:tcMar>
              <w:top w:w="80" w:type="dxa"/>
              <w:bottom w:w="80" w:type="dxa"/>
              <w:start w:w="120" w:type="dxa"/>
              <w:end w:w="120" w:type="dxa"/>
            </w:tcMar>
            <w:vAlign w:val="center"/>
          </w:tcPr>
          <w:p>
            <w:pPr>
              <w:jc w:val="left"/>
            </w:pPr>
            <w:r>
              <w:rPr>
                <w:sz w:val="19"/>
              </w:rPr>
              <w:t>前九个月经营现金流仅约 0.10 亿美元，库存和应收上升明显</w:t>
            </w:r>
          </w:p>
        </w:tc>
        <w:tc>
          <w:tcPr>
            <w:tcW w:type="dxa" w:w="2560"/>
            <w:tcMar>
              <w:top w:w="80" w:type="dxa"/>
              <w:bottom w:w="80" w:type="dxa"/>
              <w:start w:w="120" w:type="dxa"/>
              <w:end w:w="120" w:type="dxa"/>
            </w:tcMar>
            <w:vAlign w:val="center"/>
          </w:tcPr>
          <w:p>
            <w:pPr>
              <w:jc w:val="left"/>
            </w:pPr>
            <w:r>
              <w:rPr>
                <w:sz w:val="19"/>
              </w:rPr>
              <w:t>利润和现金流背离会压制股价</w:t>
            </w:r>
          </w:p>
        </w:tc>
      </w:tr>
      <w:tr>
        <w:tc>
          <w:tcPr>
            <w:tcW w:type="dxa" w:w="1800"/>
            <w:tcMar>
              <w:top w:w="80" w:type="dxa"/>
              <w:bottom w:w="80" w:type="dxa"/>
              <w:start w:w="120" w:type="dxa"/>
              <w:end w:w="120" w:type="dxa"/>
            </w:tcMar>
            <w:vAlign w:val="center"/>
          </w:tcPr>
          <w:p>
            <w:pPr>
              <w:jc w:val="center"/>
            </w:pPr>
            <w:r>
              <w:rPr>
                <w:sz w:val="19"/>
              </w:rPr>
              <w:t>工业周期风险</w:t>
            </w:r>
          </w:p>
        </w:tc>
        <w:tc>
          <w:tcPr>
            <w:tcW w:type="dxa" w:w="5000"/>
            <w:tcMar>
              <w:top w:w="80" w:type="dxa"/>
              <w:bottom w:w="80" w:type="dxa"/>
              <w:start w:w="120" w:type="dxa"/>
              <w:end w:w="120" w:type="dxa"/>
            </w:tcMar>
            <w:vAlign w:val="center"/>
          </w:tcPr>
          <w:p>
            <w:pPr>
              <w:jc w:val="left"/>
            </w:pPr>
            <w:r>
              <w:rPr>
                <w:sz w:val="19"/>
              </w:rPr>
              <w:t>Industrial 分部受资产剥离、半导体设备和精密制造周期影响</w:t>
            </w:r>
          </w:p>
        </w:tc>
        <w:tc>
          <w:tcPr>
            <w:tcW w:type="dxa" w:w="2560"/>
            <w:tcMar>
              <w:top w:w="80" w:type="dxa"/>
              <w:bottom w:w="80" w:type="dxa"/>
              <w:start w:w="120" w:type="dxa"/>
              <w:end w:w="120" w:type="dxa"/>
            </w:tcMar>
            <w:vAlign w:val="center"/>
          </w:tcPr>
          <w:p>
            <w:pPr>
              <w:jc w:val="left"/>
            </w:pPr>
            <w:r>
              <w:rPr>
                <w:sz w:val="19"/>
              </w:rPr>
              <w:t>影响收入底盘</w:t>
            </w:r>
          </w:p>
        </w:tc>
      </w:tr>
      <w:tr>
        <w:tc>
          <w:tcPr>
            <w:tcW w:type="dxa" w:w="1800"/>
            <w:tcMar>
              <w:top w:w="80" w:type="dxa"/>
              <w:bottom w:w="80" w:type="dxa"/>
              <w:start w:w="120" w:type="dxa"/>
              <w:end w:w="120" w:type="dxa"/>
            </w:tcMar>
            <w:vAlign w:val="center"/>
          </w:tcPr>
          <w:p>
            <w:pPr>
              <w:jc w:val="center"/>
            </w:pPr>
            <w:r>
              <w:rPr>
                <w:sz w:val="19"/>
              </w:rPr>
              <w:t>财务杠杆风险</w:t>
            </w:r>
          </w:p>
        </w:tc>
        <w:tc>
          <w:tcPr>
            <w:tcW w:type="dxa" w:w="5000"/>
            <w:tcMar>
              <w:top w:w="80" w:type="dxa"/>
              <w:bottom w:w="80" w:type="dxa"/>
              <w:start w:w="120" w:type="dxa"/>
              <w:end w:w="120" w:type="dxa"/>
            </w:tcMar>
            <w:vAlign w:val="center"/>
          </w:tcPr>
          <w:p>
            <w:pPr>
              <w:jc w:val="left"/>
            </w:pPr>
            <w:r>
              <w:rPr>
                <w:sz w:val="19"/>
              </w:rPr>
              <w:t>虽然净债务下降，但总债务仍约 31.94 亿美元</w:t>
            </w:r>
          </w:p>
        </w:tc>
        <w:tc>
          <w:tcPr>
            <w:tcW w:type="dxa" w:w="2560"/>
            <w:tcMar>
              <w:top w:w="80" w:type="dxa"/>
              <w:bottom w:w="80" w:type="dxa"/>
              <w:start w:w="120" w:type="dxa"/>
              <w:end w:w="120" w:type="dxa"/>
            </w:tcMar>
            <w:vAlign w:val="center"/>
          </w:tcPr>
          <w:p>
            <w:pPr>
              <w:jc w:val="left"/>
            </w:pPr>
            <w:r>
              <w:rPr>
                <w:sz w:val="19"/>
              </w:rPr>
              <w:t>利率和现金流转弱时会重新成为压力</w:t>
            </w:r>
          </w:p>
        </w:tc>
      </w:tr>
      <w:tr>
        <w:tc>
          <w:tcPr>
            <w:tcW w:type="dxa" w:w="1800"/>
            <w:tcMar>
              <w:top w:w="80" w:type="dxa"/>
              <w:bottom w:w="80" w:type="dxa"/>
              <w:start w:w="120" w:type="dxa"/>
              <w:end w:w="120" w:type="dxa"/>
            </w:tcMar>
            <w:vAlign w:val="center"/>
          </w:tcPr>
          <w:p>
            <w:pPr>
              <w:jc w:val="center"/>
            </w:pPr>
            <w:r>
              <w:rPr>
                <w:sz w:val="19"/>
              </w:rPr>
              <w:t>技术替代风险</w:t>
            </w:r>
          </w:p>
        </w:tc>
        <w:tc>
          <w:tcPr>
            <w:tcW w:type="dxa" w:w="5000"/>
            <w:tcMar>
              <w:top w:w="80" w:type="dxa"/>
              <w:bottom w:w="80" w:type="dxa"/>
              <w:start w:w="120" w:type="dxa"/>
              <w:end w:w="120" w:type="dxa"/>
            </w:tcMar>
            <w:vAlign w:val="center"/>
          </w:tcPr>
          <w:p>
            <w:pPr>
              <w:jc w:val="left"/>
            </w:pPr>
            <w:r>
              <w:rPr>
                <w:sz w:val="19"/>
              </w:rPr>
              <w:t>硅光、CPO、不同光架构或客户自研可能改变价值分配</w:t>
            </w:r>
          </w:p>
        </w:tc>
        <w:tc>
          <w:tcPr>
            <w:tcW w:type="dxa" w:w="2560"/>
            <w:tcMar>
              <w:top w:w="80" w:type="dxa"/>
              <w:bottom w:w="80" w:type="dxa"/>
              <w:start w:w="120" w:type="dxa"/>
              <w:end w:w="120" w:type="dxa"/>
            </w:tcMar>
            <w:vAlign w:val="center"/>
          </w:tcPr>
          <w:p>
            <w:pPr>
              <w:jc w:val="left"/>
            </w:pPr>
            <w:r>
              <w:rPr>
                <w:sz w:val="19"/>
              </w:rPr>
              <w:t>长期核心风险</w:t>
            </w:r>
          </w:p>
        </w:tc>
      </w:tr>
    </w:tbl>
    <w:p/>
    <w:p>
      <w:pPr>
        <w:pStyle w:val="Heading2"/>
      </w:pPr>
      <w:r>
        <w:t>11.2 建议跟踪指标</w:t>
      </w:r>
    </w:p>
    <w:p>
      <w:pPr>
        <w:pStyle w:val="ListBullet"/>
        <w:spacing w:after="80" w:line="280" w:lineRule="auto"/>
        <w:ind w:left="720" w:hanging="360"/>
      </w:pPr>
      <w:r>
        <w:t>Datacenter &amp; Communications 收入和分部利润率，尤其是 AI datacenter demand 的持续性。</w:t>
      </w:r>
    </w:p>
    <w:p>
      <w:pPr>
        <w:pStyle w:val="ListBullet"/>
        <w:spacing w:after="80" w:line="280" w:lineRule="auto"/>
        <w:ind w:left="720" w:hanging="360"/>
      </w:pPr>
      <w:r>
        <w:t>Adjusted gross margin 是否达到并维持在 41% 左右或更高。</w:t>
      </w:r>
    </w:p>
    <w:p>
      <w:pPr>
        <w:pStyle w:val="ListBullet"/>
        <w:spacing w:after="80" w:line="280" w:lineRule="auto"/>
        <w:ind w:left="720" w:hanging="360"/>
      </w:pPr>
      <w:r>
        <w:t>InP 产能扩张、Sherman 工厂进展、良率和客户认证节奏。</w:t>
      </w:r>
    </w:p>
    <w:p>
      <w:pPr>
        <w:pStyle w:val="ListBullet"/>
        <w:spacing w:after="80" w:line="280" w:lineRule="auto"/>
        <w:ind w:left="720" w:hanging="360"/>
      </w:pPr>
      <w:r>
        <w:t>经营现金流、库存、应收账款、资本开支和自由现金流转换。</w:t>
      </w:r>
    </w:p>
    <w:p>
      <w:pPr>
        <w:pStyle w:val="ListBullet"/>
        <w:spacing w:after="80" w:line="280" w:lineRule="auto"/>
        <w:ind w:left="720" w:hanging="360"/>
      </w:pPr>
      <w:r>
        <w:t>NVIDIA 多年度协议中的订单、产能权利和实际收入确认节奏。</w:t>
      </w:r>
    </w:p>
    <w:p>
      <w:pPr>
        <w:pStyle w:val="ListBullet"/>
        <w:spacing w:after="80" w:line="280" w:lineRule="auto"/>
        <w:ind w:left="720" w:hanging="360"/>
      </w:pPr>
      <w:r>
        <w:t>Industrial 分部收入是否在资产剥离后企稳，以及半导体设备需求恢复情况。</w:t>
      </w:r>
    </w:p>
    <w:p>
      <w:pPr>
        <w:pStyle w:val="ListBullet"/>
        <w:spacing w:after="80" w:line="280" w:lineRule="auto"/>
        <w:ind w:left="720" w:hanging="360"/>
      </w:pPr>
      <w:r>
        <w:t>总债务、现金+短投、受限现金、利息费用和净债务变化。</w:t>
      </w:r>
    </w:p>
    <w:p>
      <w:pPr>
        <w:pStyle w:val="ListBullet"/>
        <w:spacing w:after="80" w:line="280" w:lineRule="auto"/>
        <w:ind w:left="720" w:hanging="360"/>
      </w:pPr>
      <w:r>
        <w:t>Lumentum、Fabrinet、中国光模块链和 DSP/SerDes 供应商的价格与产能变化。</w:t>
      </w:r>
    </w:p>
    <w:p>
      <w:pPr>
        <w:pStyle w:val="Heading1"/>
      </w:pPr>
      <w:r>
        <w:t>十二、研究结论</w:t>
      </w:r>
    </w:p>
    <w:p>
      <w:pPr>
        <w:pStyle w:val="Heading2"/>
      </w:pPr>
      <w:r>
        <w:t>12.1 投资亮点</w:t>
      </w:r>
    </w:p>
    <w:p>
      <w:pPr>
        <w:pStyle w:val="ListBullet"/>
        <w:spacing w:after="80" w:line="280" w:lineRule="auto"/>
        <w:ind w:left="720" w:hanging="360"/>
      </w:pPr>
      <w:r>
        <w:t>Coherent 是 AI 数据中心光互联上游核心供应商，D&amp;C 分部 FY2026 Q3 收入 13.62 亿美元，同比增长 41%。</w:t>
      </w:r>
    </w:p>
    <w:p>
      <w:pPr>
        <w:pStyle w:val="ListBullet"/>
        <w:spacing w:after="80" w:line="280" w:lineRule="auto"/>
        <w:ind w:left="720" w:hanging="360"/>
      </w:pPr>
      <w:r>
        <w:t>NVIDIA 20 亿美元战略投资和多年度先进光学协议强化公司在下一代 AI 基础设施中的战略地位。</w:t>
      </w:r>
    </w:p>
    <w:p>
      <w:pPr>
        <w:pStyle w:val="ListBullet"/>
        <w:spacing w:after="80" w:line="280" w:lineRule="auto"/>
        <w:ind w:left="720" w:hanging="360"/>
      </w:pPr>
      <w:r>
        <w:t>FY2026 Q3 总收入 18.06 亿美元，同比增长 21%；GAAP 毛利率约 38%，同比提升约 243bp。</w:t>
      </w:r>
    </w:p>
    <w:p>
      <w:pPr>
        <w:pStyle w:val="ListBullet"/>
        <w:spacing w:after="80" w:line="280" w:lineRule="auto"/>
        <w:ind w:left="720" w:hanging="360"/>
      </w:pPr>
      <w:r>
        <w:t>D&amp;C 分部 FY2026 Q3 分部利润 3.48 亿美元，同比增长 49%，显示 AI 业务具备较强利润弹性。</w:t>
      </w:r>
    </w:p>
    <w:p>
      <w:pPr>
        <w:pStyle w:val="ListBullet"/>
        <w:spacing w:after="80" w:line="280" w:lineRule="auto"/>
        <w:ind w:left="720" w:hanging="360"/>
      </w:pPr>
      <w:r>
        <w:t>总债务从 FY2025 年末 36.87 亿美元降至 FY2026 Q3 的 31.94 亿美元，资本结构明显修复。</w:t>
      </w:r>
    </w:p>
    <w:p>
      <w:pPr>
        <w:pStyle w:val="ListBullet"/>
        <w:spacing w:after="80" w:line="280" w:lineRule="auto"/>
        <w:ind w:left="720" w:hanging="360"/>
      </w:pPr>
      <w:r>
        <w:t>Industrial、材料和 SiC 业务提供长期技术可选项，但需要更严格资本配置纪律。</w:t>
      </w:r>
    </w:p>
    <w:p>
      <w:pPr>
        <w:pStyle w:val="Heading2"/>
      </w:pPr>
      <w:r>
        <w:t>12.2 审慎事项</w:t>
      </w:r>
    </w:p>
    <w:p>
      <w:pPr>
        <w:pStyle w:val="ListBullet"/>
        <w:spacing w:after="80" w:line="280" w:lineRule="auto"/>
        <w:ind w:left="720" w:hanging="360"/>
      </w:pPr>
      <w:r>
        <w:t>Coherent 不是轻资产平台公司，AI 光互联高增长会伴随 capex、库存、应收和良率风险。</w:t>
      </w:r>
    </w:p>
    <w:p>
      <w:pPr>
        <w:pStyle w:val="ListBullet"/>
        <w:spacing w:after="80" w:line="280" w:lineRule="auto"/>
        <w:ind w:left="720" w:hanging="360"/>
      </w:pPr>
      <w:r>
        <w:t>FY2026 前九个月经营现金流仅约 0.10 亿美元，现金转换明显弱于利润表修复。</w:t>
      </w:r>
    </w:p>
    <w:p>
      <w:pPr>
        <w:pStyle w:val="ListBullet"/>
        <w:spacing w:after="80" w:line="280" w:lineRule="auto"/>
        <w:ind w:left="720" w:hanging="360"/>
      </w:pPr>
      <w:r>
        <w:t>NVIDIA 战略投资既是背书，也是客户/生态依赖风险，需要观察是否扩散到多客户需求。</w:t>
      </w:r>
    </w:p>
    <w:p>
      <w:pPr>
        <w:pStyle w:val="ListBullet"/>
        <w:spacing w:after="80" w:line="280" w:lineRule="auto"/>
        <w:ind w:left="720" w:hanging="360"/>
      </w:pPr>
      <w:r>
        <w:t>中国光模块链和专业制造商可能持续压低模块环节利润率，Coherent 必须守住上游器件和材料价值。</w:t>
      </w:r>
    </w:p>
    <w:p>
      <w:pPr>
        <w:pStyle w:val="Heading2"/>
      </w:pPr>
      <w:r>
        <w:t>12.3 最终判断</w:t>
      </w:r>
    </w:p>
    <w:tbl>
      <w:tblPr>
        <w:tblStyle w:val="TableGrid"/>
        <w:tblW w:type="dxa" w:w="9360"/>
        <w:jc w:val="center"/>
        <w:tblLook w:firstColumn="1" w:firstRow="1" w:lastColumn="0" w:lastRow="0" w:noHBand="0" w:noVBand="1" w:val="04A0"/>
        <w:tblInd w:w="120" w:type="dxa"/>
      </w:tblPr>
      <w:tblGrid>
        <w:gridCol w:w="9360"/>
      </w:tblGrid>
      <w:tr>
        <w:tc>
          <w:tcPr>
            <w:tcW w:type="dxa" w:w="9360"/>
            <w:shd w:fill="EAF4EA"/>
            <w:tcMar>
              <w:top w:w="80" w:type="dxa"/>
              <w:bottom w:w="80" w:type="dxa"/>
              <w:start w:w="120" w:type="dxa"/>
              <w:end w:w="120" w:type="dxa"/>
            </w:tcMar>
            <w:vAlign w:val="center"/>
          </w:tcPr>
          <w:p>
            <w:r>
              <w:rPr>
                <w:b/>
                <w:color w:val="1F4D78"/>
              </w:rPr>
              <w:t>结论：</w:t>
            </w:r>
            <w:r>
              <w:t xml:space="preserve"> Coherent 是 AI 光通信周期中值得重点跟踪的“上游光子平台”。它的投资逻辑比 Dell 更偏核心器件和产能稀缺，比 Lumentum 更复杂也更重资产。当前应积极关注，但必须用毛利率、现金流和净债务三条线约束 AI 叙事。</w:t>
            </w:r>
          </w:p>
        </w:tc>
      </w:tr>
    </w:tbl>
    <w:p/>
    <w:p>
      <w:pPr>
        <w:pStyle w:val="Heading2"/>
      </w:pPr>
      <w:r>
        <w:t>资料来源</w:t>
      </w:r>
    </w:p>
    <w:p>
      <w:pPr>
        <w:spacing w:after="80"/>
      </w:pPr>
      <w:r>
        <w:rPr>
          <w:color w:val="585858"/>
          <w:sz w:val="18"/>
        </w:rPr>
        <w:t>Coherent Corp. FY2026 Q3 Form 10-Q, quarter ended March 31, 2026. https://www.sec.gov/Archives/edgar/data/820318/000082031826000013/iivi-20260331.htm</w:t>
      </w:r>
    </w:p>
    <w:p>
      <w:pPr>
        <w:spacing w:after="80"/>
      </w:pPr>
      <w:r>
        <w:rPr>
          <w:color w:val="585858"/>
          <w:sz w:val="18"/>
        </w:rPr>
        <w:t>Coherent Corp. SEC filings directory. https://www.sec.gov/Archives/edgar/data/820318/</w:t>
      </w:r>
    </w:p>
    <w:p>
      <w:pPr>
        <w:spacing w:after="80"/>
      </w:pPr>
      <w:r>
        <w:rPr>
          <w:color w:val="585858"/>
          <w:sz w:val="18"/>
        </w:rPr>
        <w:t>Barron's, First Lumentum, Now Coherent. Why Earnings Aren't Boosting the AI Laser Stock, May 6, 2026. https://www.barrons.com/articles/coherent-earnings-stock-price-960ce9bf</w:t>
      </w:r>
    </w:p>
    <w:p>
      <w:pPr>
        <w:spacing w:after="80"/>
      </w:pPr>
      <w:r>
        <w:rPr>
          <w:color w:val="585858"/>
          <w:sz w:val="18"/>
        </w:rPr>
        <w:t>Barron's, Coherent Reports Solid Earnings. Stock Drops on Guidance, Aug. 14, 2025. https://www.barrons.com/articles/coherent-earnings-ai-nvidia-0d1b53dc</w:t>
      </w:r>
    </w:p>
    <w:p>
      <w:pPr>
        <w:spacing w:after="80"/>
      </w:pPr>
      <w:r>
        <w:rPr>
          <w:color w:val="585858"/>
          <w:sz w:val="18"/>
        </w:rPr>
        <w:t>Coherent Corp. company background and FY2025 summary, Wikipedia/SEC-linked references. https://en.wikipedia.org/wiki/Coherent_Corp.</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5858"/>
        <w:sz w:val="18"/>
      </w:rPr>
      <w:t>仅供研究参考，不构成投资建议</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