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1F4D78"/>
          <w:sz w:val="44"/>
        </w:rPr>
        <w:t>Momentus（MNTS）深度研究报告</w:t>
      </w:r>
    </w:p>
    <w:p>
      <w:pPr>
        <w:spacing w:after="240"/>
      </w:pPr>
      <w:r>
        <w:rPr>
          <w:rFonts w:ascii="Calibri" w:hAnsi="Calibri" w:eastAsia="Microsoft YaHei"/>
          <w:b w:val="0"/>
          <w:color w:val="585858"/>
          <w:sz w:val="24"/>
        </w:rPr>
        <w:t>商业航天小盘、Vigoride 任务、政府合同、融资稀释、持续经营与瓶颈属性分析</w:t>
      </w:r>
    </w:p>
    <w:tbl>
      <w:tblPr>
        <w:tblStyle w:val="TableGrid"/>
        <w:tblW w:type="dxa" w:w="9360"/>
        <w:jc w:val="center"/>
        <w:tblLook w:firstColumn="1" w:firstRow="1" w:lastColumn="0" w:lastRow="0" w:noHBand="0" w:noVBand="1" w:val="04A0"/>
        <w:tblInd w:w="120" w:type="dxa"/>
      </w:tblPr>
      <w:tblGrid>
        <w:gridCol w:w="2100"/>
        <w:gridCol w:w="7260"/>
      </w:tblGrid>
      <w:tr>
        <w:trPr>
          <w:tblHeader w:val="true"/>
        </w:trPr>
        <w:tc>
          <w:tcPr>
            <w:tcW w:type="dxa" w:w="21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报告要素</w:t>
            </w:r>
          </w:p>
        </w:tc>
        <w:tc>
          <w:tcPr>
            <w:tcW w:type="dxa" w:w="726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内容</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研究对象</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Momentus Inc.（NASDAQ: MNTS）</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报告日期</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2026-06-12</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最新财务锚点</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Q1 2026，季度截至 2026-03-31，10-Q 于 2026-05-13 提交</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最新行情锚点</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StockAnalysis 显示 2026-06-11 收盘价 16.30 美元，市值约 2.64 亿美元，盘后 17.25 美元</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最新融资/事件</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2026 年 5 月 $25M 私募、5 月 ATM、4 月 $5M 私募；公司称现金和短期投资约 $76M，Vigoride-7 任务继续推进</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报告重点</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按瓶颈思维判断 MNTS：它是否已经卡住商业航天供应链，还是只是高波动困境修复与航天主题期权</w:t>
            </w:r>
          </w:p>
        </w:tc>
      </w:tr>
    </w:tbl>
    <w:p/>
    <w:p>
      <w:pPr>
        <w:spacing w:after="120" w:line="264" w:lineRule="auto"/>
      </w:pPr>
      <w:r>
        <w:rPr>
          <w:rFonts w:ascii="Calibri" w:hAnsi="Calibri" w:eastAsia="Microsoft YaHei"/>
          <w:b w:val="0"/>
          <w:color w:val="141F30"/>
          <w:sz w:val="22"/>
        </w:rPr>
        <w:t>免责声明：本报告仅用于研究和信息参考，不构成任何投资建议、买卖建议或收益承诺。MNTS 属于高风险小市值商业航天公司，收入规模小、亏损大、历史融资和稀释频繁、股价波动极端，实际交易前必须核对最新 SEC 文件、股数、现金、融资条款和任务进展。</w:t>
      </w:r>
    </w:p>
    <w:p>
      <w:pPr>
        <w:pStyle w:val="Heading1"/>
      </w:pPr>
      <w:r>
        <w:t>目录</w:t>
      </w:r>
    </w:p>
    <w:p>
      <w:pPr>
        <w:pStyle w:val="ListBullet"/>
        <w:spacing w:after="80" w:line="280" w:lineRule="auto"/>
        <w:ind w:left="720" w:hanging="360"/>
      </w:pPr>
      <w:r>
        <w:rPr>
          <w:rFonts w:ascii="Calibri" w:hAnsi="Calibri" w:eastAsia="Microsoft YaHei"/>
          <w:b w:val="0"/>
          <w:color w:val="141F30"/>
          <w:sz w:val="21"/>
        </w:rPr>
        <w:t>一、核心结论</w:t>
      </w:r>
    </w:p>
    <w:p>
      <w:pPr>
        <w:pStyle w:val="ListBullet"/>
        <w:spacing w:after="80" w:line="280" w:lineRule="auto"/>
        <w:ind w:left="720" w:hanging="360"/>
      </w:pPr>
      <w:r>
        <w:rPr>
          <w:rFonts w:ascii="Calibri" w:hAnsi="Calibri" w:eastAsia="Microsoft YaHei"/>
          <w:b w:val="0"/>
          <w:color w:val="141F30"/>
          <w:sz w:val="21"/>
        </w:rPr>
        <w:t>二、公司定位与业务模式</w:t>
      </w:r>
    </w:p>
    <w:p>
      <w:pPr>
        <w:pStyle w:val="ListBullet"/>
        <w:spacing w:after="80" w:line="280" w:lineRule="auto"/>
        <w:ind w:left="720" w:hanging="360"/>
      </w:pPr>
      <w:r>
        <w:rPr>
          <w:rFonts w:ascii="Calibri" w:hAnsi="Calibri" w:eastAsia="Microsoft YaHei"/>
          <w:b w:val="0"/>
          <w:color w:val="141F30"/>
          <w:sz w:val="21"/>
        </w:rPr>
        <w:t>三、产业链位置与瓶颈思维</w:t>
      </w:r>
    </w:p>
    <w:p>
      <w:pPr>
        <w:pStyle w:val="ListBullet"/>
        <w:spacing w:after="80" w:line="280" w:lineRule="auto"/>
        <w:ind w:left="720" w:hanging="360"/>
      </w:pPr>
      <w:r>
        <w:rPr>
          <w:rFonts w:ascii="Calibri" w:hAnsi="Calibri" w:eastAsia="Microsoft YaHei"/>
          <w:b w:val="0"/>
          <w:color w:val="141F30"/>
          <w:sz w:val="21"/>
        </w:rPr>
        <w:t>四、Vigoride 任务与技术验证</w:t>
      </w:r>
    </w:p>
    <w:p>
      <w:pPr>
        <w:pStyle w:val="ListBullet"/>
        <w:spacing w:after="80" w:line="280" w:lineRule="auto"/>
        <w:ind w:left="720" w:hanging="360"/>
      </w:pPr>
      <w:r>
        <w:rPr>
          <w:rFonts w:ascii="Calibri" w:hAnsi="Calibri" w:eastAsia="Microsoft YaHei"/>
          <w:b w:val="0"/>
          <w:color w:val="141F30"/>
          <w:sz w:val="21"/>
        </w:rPr>
        <w:t>五、客户、合同与收入路径</w:t>
      </w:r>
    </w:p>
    <w:p>
      <w:pPr>
        <w:pStyle w:val="ListBullet"/>
        <w:spacing w:after="80" w:line="280" w:lineRule="auto"/>
        <w:ind w:left="720" w:hanging="360"/>
      </w:pPr>
      <w:r>
        <w:rPr>
          <w:rFonts w:ascii="Calibri" w:hAnsi="Calibri" w:eastAsia="Microsoft YaHei"/>
          <w:b w:val="0"/>
          <w:color w:val="141F30"/>
          <w:sz w:val="21"/>
        </w:rPr>
        <w:t>六、财务会计信息</w:t>
      </w:r>
    </w:p>
    <w:p>
      <w:pPr>
        <w:pStyle w:val="ListBullet"/>
        <w:spacing w:after="80" w:line="280" w:lineRule="auto"/>
        <w:ind w:left="720" w:hanging="360"/>
      </w:pPr>
      <w:r>
        <w:rPr>
          <w:rFonts w:ascii="Calibri" w:hAnsi="Calibri" w:eastAsia="Microsoft YaHei"/>
          <w:b w:val="0"/>
          <w:color w:val="141F30"/>
          <w:sz w:val="21"/>
        </w:rPr>
        <w:t>七、融资、稀释与持续经营</w:t>
      </w:r>
    </w:p>
    <w:p>
      <w:pPr>
        <w:pStyle w:val="ListBullet"/>
        <w:spacing w:after="80" w:line="280" w:lineRule="auto"/>
        <w:ind w:left="720" w:hanging="360"/>
      </w:pPr>
      <w:r>
        <w:rPr>
          <w:rFonts w:ascii="Calibri" w:hAnsi="Calibri" w:eastAsia="Microsoft YaHei"/>
          <w:b w:val="0"/>
          <w:color w:val="141F30"/>
          <w:sz w:val="21"/>
        </w:rPr>
        <w:t>八、估值框架与交易属性</w:t>
      </w:r>
    </w:p>
    <w:p>
      <w:pPr>
        <w:pStyle w:val="ListBullet"/>
        <w:spacing w:after="80" w:line="280" w:lineRule="auto"/>
        <w:ind w:left="720" w:hanging="360"/>
      </w:pPr>
      <w:r>
        <w:rPr>
          <w:rFonts w:ascii="Calibri" w:hAnsi="Calibri" w:eastAsia="Microsoft YaHei"/>
          <w:b w:val="0"/>
          <w:color w:val="141F30"/>
          <w:sz w:val="21"/>
        </w:rPr>
        <w:t>九、竞争格局与替代风险</w:t>
      </w:r>
    </w:p>
    <w:p>
      <w:pPr>
        <w:pStyle w:val="ListBullet"/>
        <w:spacing w:after="80" w:line="280" w:lineRule="auto"/>
        <w:ind w:left="720" w:hanging="360"/>
      </w:pPr>
      <w:r>
        <w:rPr>
          <w:rFonts w:ascii="Calibri" w:hAnsi="Calibri" w:eastAsia="Microsoft YaHei"/>
          <w:b w:val="0"/>
          <w:color w:val="141F30"/>
          <w:sz w:val="21"/>
        </w:rPr>
        <w:t>十、项目化技术与相对强弱观察</w:t>
      </w:r>
    </w:p>
    <w:p>
      <w:pPr>
        <w:pStyle w:val="ListBullet"/>
        <w:spacing w:after="80" w:line="280" w:lineRule="auto"/>
        <w:ind w:left="720" w:hanging="360"/>
      </w:pPr>
      <w:r>
        <w:rPr>
          <w:rFonts w:ascii="Calibri" w:hAnsi="Calibri" w:eastAsia="Microsoft YaHei"/>
          <w:b w:val="0"/>
          <w:color w:val="141F30"/>
          <w:sz w:val="21"/>
        </w:rPr>
        <w:t>十一、风险因素</w:t>
      </w:r>
    </w:p>
    <w:p>
      <w:pPr>
        <w:pStyle w:val="ListBullet"/>
        <w:spacing w:after="80" w:line="280" w:lineRule="auto"/>
        <w:ind w:left="720" w:hanging="360"/>
      </w:pPr>
      <w:r>
        <w:rPr>
          <w:rFonts w:ascii="Calibri" w:hAnsi="Calibri" w:eastAsia="Microsoft YaHei"/>
          <w:b w:val="0"/>
          <w:color w:val="141F30"/>
          <w:sz w:val="21"/>
        </w:rPr>
        <w:t>十二、跟踪指标与资料来源</w:t>
      </w:r>
    </w:p>
    <w:p>
      <w:pPr>
        <w:pStyle w:val="Heading1"/>
      </w:pPr>
      <w:r>
        <w:t>一、核心结论</w:t>
      </w:r>
    </w:p>
    <w:tbl>
      <w:tblPr>
        <w:tblStyle w:val="TableGrid"/>
        <w:tblW w:type="dxa" w:w="9360"/>
        <w:jc w:val="center"/>
        <w:tblLook w:firstColumn="1" w:firstRow="1" w:lastColumn="0" w:lastRow="0" w:noHBand="0" w:noVBand="1" w:val="04A0"/>
        <w:tblInd w:w="120" w:type="dxa"/>
      </w:tblPr>
      <w:tblGrid>
        <w:gridCol w:w="9360"/>
      </w:tblGrid>
      <w:tr>
        <w:tc>
          <w:tcPr>
            <w:tcW w:type="dxa" w:w="9360"/>
            <w:shd w:fill="EFEAF7"/>
            <w:tcMar>
              <w:top w:w="80" w:type="dxa"/>
              <w:bottom w:w="80" w:type="dxa"/>
              <w:start w:w="120" w:type="dxa"/>
              <w:end w:w="120" w:type="dxa"/>
            </w:tcMar>
            <w:vAlign w:val="center"/>
          </w:tcPr>
          <w:p>
            <w:pPr>
              <w:spacing w:line="264" w:lineRule="auto" w:after="0"/>
            </w:pPr>
            <w:r>
              <w:rPr>
                <w:rFonts w:ascii="Calibri" w:hAnsi="Calibri" w:eastAsia="Microsoft YaHei"/>
                <w:b/>
                <w:color w:val="1F4D78"/>
                <w:sz w:val="22"/>
              </w:rPr>
              <w:t>核心判断：</w:t>
            </w:r>
            <w:r>
              <w:rPr>
                <w:rFonts w:ascii="Calibri" w:hAnsi="Calibri" w:eastAsia="Microsoft YaHei"/>
                <w:b w:val="0"/>
                <w:color w:val="141F30"/>
                <w:sz w:val="22"/>
              </w:rPr>
              <w:t xml:space="preserve"> MNTS 目前不是已经验证的供应链瓶颈股，而是“商业航天困境修复 + 政府合同期权 + 任务执行验证”的高风险标的。它的潜在瓶颈在于小卫星在轨运输、托管载荷、卫星总线和在轨基础设施服务，但当前收入、现金流和任务历史还不足以证明公司已经拥有稳定定价权或不可替代地位。</w:t>
            </w:r>
          </w:p>
        </w:tc>
      </w:tr>
    </w:tbl>
    <w:p/>
    <w:tbl>
      <w:tblPr>
        <w:tblStyle w:val="TableGrid"/>
        <w:tblW w:type="dxa" w:w="9360"/>
        <w:jc w:val="center"/>
        <w:tblLook w:firstColumn="1" w:firstRow="1" w:lastColumn="0" w:lastRow="0" w:noHBand="0" w:noVBand="1" w:val="04A0"/>
        <w:tblInd w:w="120" w:type="dxa"/>
      </w:tblPr>
      <w:tblGrid>
        <w:gridCol w:w="1500"/>
        <w:gridCol w:w="1200"/>
        <w:gridCol w:w="2100"/>
        <w:gridCol w:w="4560"/>
      </w:tblGrid>
      <w:tr>
        <w:trPr>
          <w:tblHeader w:val="true"/>
        </w:trPr>
        <w:tc>
          <w:tcPr>
            <w:tcW w:type="dxa" w:w="15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维度</w:t>
            </w:r>
          </w:p>
        </w:tc>
        <w:tc>
          <w:tcPr>
            <w:tcW w:type="dxa" w:w="12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评分</w:t>
            </w:r>
          </w:p>
        </w:tc>
        <w:tc>
          <w:tcPr>
            <w:tcW w:type="dxa" w:w="21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结论</w:t>
            </w:r>
          </w:p>
        </w:tc>
        <w:tc>
          <w:tcPr>
            <w:tcW w:type="dxa" w:w="456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研究含义</w:t>
            </w:r>
          </w:p>
        </w:tc>
      </w:tr>
      <w:tr>
        <w:tc>
          <w:tcPr>
            <w:tcW w:type="dxa" w:w="15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龙头逻辑</w:t>
            </w:r>
          </w:p>
        </w:tc>
        <w:tc>
          <w:tcPr>
            <w:tcW w:type="dxa" w:w="1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2.5/10</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弱</w:t>
            </w:r>
          </w:p>
        </w:tc>
        <w:tc>
          <w:tcPr>
            <w:tcW w:type="dxa" w:w="4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不是商业航天龙头，和 SpaceX、Rocket Lab、Redwire、Astroscale 等差距明显</w:t>
            </w:r>
          </w:p>
        </w:tc>
      </w:tr>
      <w:tr>
        <w:tc>
          <w:tcPr>
            <w:tcW w:type="dxa" w:w="15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瓶颈逻辑</w:t>
            </w:r>
          </w:p>
        </w:tc>
        <w:tc>
          <w:tcPr>
            <w:tcW w:type="dxa" w:w="1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3.5/10</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潜在但未验证</w:t>
            </w:r>
          </w:p>
        </w:tc>
        <w:tc>
          <w:tcPr>
            <w:tcW w:type="dxa" w:w="4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在轨服务和小卫星运输有战略价值，但客户可选择自带推进、专线发射、其他空间拖船或平台商</w:t>
            </w:r>
          </w:p>
        </w:tc>
      </w:tr>
      <w:tr>
        <w:tc>
          <w:tcPr>
            <w:tcW w:type="dxa" w:w="15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小市值弹性</w:t>
            </w:r>
          </w:p>
        </w:tc>
        <w:tc>
          <w:tcPr>
            <w:tcW w:type="dxa" w:w="1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8.5/10</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极高</w:t>
            </w:r>
          </w:p>
        </w:tc>
        <w:tc>
          <w:tcPr>
            <w:tcW w:type="dxa" w:w="4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市值约 2.64 亿美元，股价受融资和航天主题影响可剧烈波动</w:t>
            </w:r>
          </w:p>
        </w:tc>
      </w:tr>
      <w:tr>
        <w:tc>
          <w:tcPr>
            <w:tcW w:type="dxa" w:w="15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财务质量</w:t>
            </w:r>
          </w:p>
        </w:tc>
        <w:tc>
          <w:tcPr>
            <w:tcW w:type="dxa" w:w="1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2.0/10</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弱</w:t>
            </w:r>
          </w:p>
        </w:tc>
        <w:tc>
          <w:tcPr>
            <w:tcW w:type="dxa" w:w="4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Q1 收入 321.5 万美元，净亏损 948 万美元，经营现金流流出 581 万美元</w:t>
            </w:r>
          </w:p>
        </w:tc>
      </w:tr>
      <w:tr>
        <w:tc>
          <w:tcPr>
            <w:tcW w:type="dxa" w:w="15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融资后生存能力</w:t>
            </w:r>
          </w:p>
        </w:tc>
        <w:tc>
          <w:tcPr>
            <w:tcW w:type="dxa" w:w="1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5.5/10</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短期改善</w:t>
            </w:r>
          </w:p>
        </w:tc>
        <w:tc>
          <w:tcPr>
            <w:tcW w:type="dxa" w:w="4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公司称现金/短期投资约 7,600 万美元，但持续烧钱和稀释仍是核心问题</w:t>
            </w:r>
          </w:p>
        </w:tc>
      </w:tr>
      <w:tr>
        <w:tc>
          <w:tcPr>
            <w:tcW w:type="dxa" w:w="15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估值可解释性</w:t>
            </w:r>
          </w:p>
        </w:tc>
        <w:tc>
          <w:tcPr>
            <w:tcW w:type="dxa" w:w="1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2.5/10</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主题/期权型</w:t>
            </w:r>
          </w:p>
        </w:tc>
        <w:tc>
          <w:tcPr>
            <w:tcW w:type="dxa" w:w="4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TTM 收入约 400 万美元，市值约 2.64 亿美元，传统估值不适用</w:t>
            </w:r>
          </w:p>
        </w:tc>
      </w:tr>
      <w:tr>
        <w:tc>
          <w:tcPr>
            <w:tcW w:type="dxa" w:w="15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研究评级</w:t>
            </w:r>
          </w:p>
        </w:tc>
        <w:tc>
          <w:tcPr>
            <w:tcW w:type="dxa" w:w="1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高风险观察</w:t>
            </w:r>
          </w:p>
        </w:tc>
        <w:tc>
          <w:tcPr>
            <w:tcW w:type="dxa" w:w="21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不适合稳健仓位</w:t>
            </w:r>
          </w:p>
        </w:tc>
        <w:tc>
          <w:tcPr>
            <w:tcW w:type="dxa" w:w="4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只能作为商业航天高弹性观察池，核心验证是收入、合同、任务成功和稀释控制</w:t>
            </w:r>
          </w:p>
        </w:tc>
      </w:tr>
    </w:tbl>
    <w:p/>
    <w:p>
      <w:pPr>
        <w:pStyle w:val="Heading2"/>
      </w:pPr>
      <w:r>
        <w:t>1.1 一句话评级</w:t>
      </w:r>
    </w:p>
    <w:p>
      <w:pPr>
        <w:spacing w:after="120" w:line="264" w:lineRule="auto"/>
      </w:pPr>
      <w:r>
        <w:rPr>
          <w:rFonts w:ascii="Calibri" w:hAnsi="Calibri" w:eastAsia="Microsoft YaHei"/>
          <w:b w:val="0"/>
          <w:color w:val="141F30"/>
          <w:sz w:val="22"/>
        </w:rPr>
        <w:t>MNTS 的投研分类是“高风险困境修复 + 航天任务期权 + 政府合同期权”，不是“龙头逻辑”，也不是当前已经形成定价权的“瓶颈逻辑”。它可能有赔率，但风险性质更接近早期航天项目融资股。</w:t>
      </w:r>
    </w:p>
    <w:p>
      <w:pPr>
        <w:pStyle w:val="Heading1"/>
      </w:pPr>
      <w:r>
        <w:t>二、公司定位与业务模式</w:t>
      </w:r>
    </w:p>
    <w:p>
      <w:pPr>
        <w:pStyle w:val="Heading2"/>
      </w:pPr>
      <w:r>
        <w:t>2.1 基本信息</w:t>
      </w:r>
    </w:p>
    <w:tbl>
      <w:tblPr>
        <w:tblStyle w:val="TableGrid"/>
        <w:tblW w:type="dxa" w:w="9360"/>
        <w:jc w:val="center"/>
        <w:tblLook w:firstColumn="1" w:firstRow="1" w:lastColumn="0" w:lastRow="0" w:noHBand="0" w:noVBand="1" w:val="04A0"/>
        <w:tblInd w:w="120" w:type="dxa"/>
      </w:tblPr>
      <w:tblGrid>
        <w:gridCol w:w="2100"/>
        <w:gridCol w:w="7260"/>
      </w:tblGrid>
      <w:tr>
        <w:trPr>
          <w:tblHeader w:val="true"/>
        </w:trPr>
        <w:tc>
          <w:tcPr>
            <w:tcW w:type="dxa" w:w="21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项目</w:t>
            </w:r>
          </w:p>
        </w:tc>
        <w:tc>
          <w:tcPr>
            <w:tcW w:type="dxa" w:w="726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内容</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公司名称</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Momentus Inc.</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股票代码</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NASDAQ: MNTS</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总部</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美国加州 San Jose</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行业</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商业航天、卫星技术、在轨运输与服务</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员工规模</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StockAnalysis 口径约 35 人</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主营产品/服务</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卫星、卫星总线、太阳能阵列、卫星组件、托管载荷、在轨运输、通信和在轨基础设施服务</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核心平台</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Vigoride Orbital Service Vehicle</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目标客户</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商业卫星运营商、NASA、DARPA、AFRL SpaceWERX、U.S. Space Force/SDA、MDA 等政府/国防客户</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FY2025 收入</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约 111 万美元，同比下降约 47.5%，净亏损约 3,047 万美元</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Q1 2026 收入</w:t>
            </w:r>
          </w:p>
        </w:tc>
        <w:tc>
          <w:tcPr>
            <w:tcW w:type="dxa" w:w="72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321.5 万美元，同比 +898%，但净亏损扩大到 948 万美元</w:t>
            </w:r>
          </w:p>
        </w:tc>
      </w:tr>
    </w:tbl>
    <w:p/>
    <w:p>
      <w:pPr>
        <w:pStyle w:val="Heading2"/>
      </w:pPr>
      <w:r>
        <w:t>2.2 商业模式</w:t>
      </w:r>
    </w:p>
    <w:p>
      <w:pPr>
        <w:spacing w:after="120" w:line="264" w:lineRule="auto"/>
      </w:pPr>
      <w:r>
        <w:rPr>
          <w:rFonts w:ascii="Calibri" w:hAnsi="Calibri" w:eastAsia="Microsoft YaHei"/>
          <w:b w:val="0"/>
          <w:color w:val="141F30"/>
          <w:sz w:val="22"/>
        </w:rPr>
        <w:t>Momentus 的模式不是传统火箭发射，而是借助 SpaceX 等发射服务商的 rideshare，把客户载荷送入轨道后，提供末端轨道部署、托管载荷、在轨服务、卫星总线和工程项目服务。公司也在争取政府航天、国防和科研任务。</w:t>
      </w:r>
    </w:p>
    <w:p>
      <w:pPr>
        <w:spacing w:after="120" w:line="264" w:lineRule="auto"/>
      </w:pPr>
      <w:r>
        <w:rPr>
          <w:rFonts w:ascii="Calibri" w:hAnsi="Calibri" w:eastAsia="Microsoft YaHei"/>
          <w:b w:val="0"/>
          <w:color w:val="141F30"/>
          <w:sz w:val="22"/>
        </w:rPr>
        <w:t>这一模式的优点是理论市场空间大，资本开支小于自研火箭；缺点是客户需求、任务成功率、发射窗口、监管、融资能力和技术可靠性都可能成为瓶颈。对投资而言，最大问题不是“商业航天有没有未来”，而是 MNTS 能否活到需求真正放量，并证明自己能持续接单、执行、收款。</w:t>
      </w:r>
    </w:p>
    <w:p>
      <w:pPr>
        <w:pStyle w:val="Heading1"/>
      </w:pPr>
      <w:r>
        <w:t>三、产业链位置与瓶颈思维</w:t>
      </w:r>
    </w:p>
    <w:p>
      <w:pPr>
        <w:pStyle w:val="Heading2"/>
      </w:pPr>
      <w:r>
        <w:t>3.1 产业链位置</w:t>
      </w:r>
    </w:p>
    <w:tbl>
      <w:tblPr>
        <w:tblStyle w:val="TableGrid"/>
        <w:tblW w:type="dxa" w:w="9360"/>
        <w:jc w:val="center"/>
        <w:tblLook w:firstColumn="1" w:firstRow="1" w:lastColumn="0" w:lastRow="0" w:noHBand="0" w:noVBand="1" w:val="04A0"/>
        <w:tblInd w:w="120" w:type="dxa"/>
      </w:tblPr>
      <w:tblGrid>
        <w:gridCol w:w="1600"/>
        <w:gridCol w:w="3000"/>
        <w:gridCol w:w="2800"/>
        <w:gridCol w:w="1960"/>
      </w:tblGrid>
      <w:tr>
        <w:trPr>
          <w:tblHeader w:val="true"/>
        </w:trPr>
        <w:tc>
          <w:tcPr>
            <w:tcW w:type="dxa" w:w="16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产业层级</w:t>
            </w:r>
          </w:p>
        </w:tc>
        <w:tc>
          <w:tcPr>
            <w:tcW w:type="dxa" w:w="30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MNTS 卡位</w:t>
            </w:r>
          </w:p>
        </w:tc>
        <w:tc>
          <w:tcPr>
            <w:tcW w:type="dxa" w:w="28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潜在价值</w:t>
            </w:r>
          </w:p>
        </w:tc>
        <w:tc>
          <w:tcPr>
            <w:tcW w:type="dxa" w:w="196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当前限制</w:t>
            </w:r>
          </w:p>
        </w:tc>
      </w:tr>
      <w:tr>
        <w:tc>
          <w:tcPr>
            <w:tcW w:type="dxa" w:w="1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上游发射</w:t>
            </w:r>
          </w:p>
        </w:tc>
        <w:tc>
          <w:tcPr>
            <w:tcW w:type="dxa" w:w="30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依赖 SpaceX 等发射服务商 rideshare</w:t>
            </w:r>
          </w:p>
        </w:tc>
        <w:tc>
          <w:tcPr>
            <w:tcW w:type="dxa" w:w="28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可避免自建火箭，聚焦在轨服务</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发射窗口、搭载条件和主发射商策略不由 MNTS 控制</w:t>
            </w:r>
          </w:p>
        </w:tc>
      </w:tr>
      <w:tr>
        <w:tc>
          <w:tcPr>
            <w:tcW w:type="dxa" w:w="1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中游在轨服务</w:t>
            </w:r>
          </w:p>
        </w:tc>
        <w:tc>
          <w:tcPr>
            <w:tcW w:type="dxa" w:w="30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Vigoride 提供托管载荷、最后一公里轨道服务、在轨任务支持</w:t>
            </w:r>
          </w:p>
        </w:tc>
        <w:tc>
          <w:tcPr>
            <w:tcW w:type="dxa" w:w="28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若小卫星数量增长，末端部署和在轨服务有价值</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任务历史有限，客户可选择替代方案</w:t>
            </w:r>
          </w:p>
        </w:tc>
      </w:tr>
      <w:tr>
        <w:tc>
          <w:tcPr>
            <w:tcW w:type="dxa" w:w="1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卫星平台/组件</w:t>
            </w:r>
          </w:p>
        </w:tc>
        <w:tc>
          <w:tcPr>
            <w:tcW w:type="dxa" w:w="30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卫星总线、太阳能阵列、3D printed propulsion tanks、通信/跟踪等组件</w:t>
            </w:r>
          </w:p>
        </w:tc>
        <w:tc>
          <w:tcPr>
            <w:tcW w:type="dxa" w:w="28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可扩展到更标准化的卫星硬件收入</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规模小，供应链和制造能力仍需验证</w:t>
            </w:r>
          </w:p>
        </w:tc>
      </w:tr>
      <w:tr>
        <w:tc>
          <w:tcPr>
            <w:tcW w:type="dxa" w:w="1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政府任务</w:t>
            </w:r>
          </w:p>
        </w:tc>
        <w:tc>
          <w:tcPr>
            <w:tcW w:type="dxa" w:w="30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NASA、DARPA、AFRL、SDA、MDA 等项目</w:t>
            </w:r>
          </w:p>
        </w:tc>
        <w:tc>
          <w:tcPr>
            <w:tcW w:type="dxa" w:w="28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政府合同可提供信誉和收入可见度</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合同金额、里程碑、预算和履约验收不确定</w:t>
            </w:r>
          </w:p>
        </w:tc>
      </w:tr>
      <w:tr>
        <w:tc>
          <w:tcPr>
            <w:tcW w:type="dxa" w:w="1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长期在轨基础设施</w:t>
            </w:r>
          </w:p>
        </w:tc>
        <w:tc>
          <w:tcPr>
            <w:tcW w:type="dxa" w:w="30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在轨维护、加油、检查、去轨、碎片清理等</w:t>
            </w:r>
          </w:p>
        </w:tc>
        <w:tc>
          <w:tcPr>
            <w:tcW w:type="dxa" w:w="28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理论上是未来航天基础设施瓶颈</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目前更多是远期叙事，收入未验证</w:t>
            </w:r>
          </w:p>
        </w:tc>
      </w:tr>
    </w:tbl>
    <w:p/>
    <w:p>
      <w:pPr>
        <w:pStyle w:val="Heading2"/>
      </w:pPr>
      <w:r>
        <w:t>3.2 瓶颈评分</w:t>
      </w:r>
    </w:p>
    <w:tbl>
      <w:tblPr>
        <w:tblStyle w:val="TableGrid"/>
        <w:tblW w:type="dxa" w:w="9360"/>
        <w:jc w:val="center"/>
        <w:tblLook w:firstColumn="1" w:firstRow="1" w:lastColumn="0" w:lastRow="0" w:noHBand="0" w:noVBand="1" w:val="04A0"/>
        <w:tblInd w:w="120" w:type="dxa"/>
      </w:tblPr>
      <w:tblGrid>
        <w:gridCol w:w="2100"/>
        <w:gridCol w:w="900"/>
        <w:gridCol w:w="4700"/>
        <w:gridCol w:w="1660"/>
      </w:tblGrid>
      <w:tr>
        <w:trPr>
          <w:tblHeader w:val="true"/>
        </w:trPr>
        <w:tc>
          <w:tcPr>
            <w:tcW w:type="dxa" w:w="2100"/>
            <w:shd w:fill="FFF3CD"/>
            <w:tcMar>
              <w:top w:w="80" w:type="dxa"/>
              <w:bottom w:w="80" w:type="dxa"/>
              <w:start w:w="120" w:type="dxa"/>
              <w:end w:w="120" w:type="dxa"/>
            </w:tcMar>
            <w:vAlign w:val="center"/>
          </w:tcPr>
          <w:p>
            <w:pPr>
              <w:spacing w:after="0"/>
              <w:jc w:val="center"/>
            </w:pPr>
            <w:r>
              <w:rPr>
                <w:rFonts w:ascii="Calibri" w:hAnsi="Calibri" w:eastAsia="Microsoft YaHei"/>
                <w:b/>
                <w:color w:val="141F30"/>
                <w:sz w:val="19"/>
              </w:rPr>
              <w:t>瓶颈因子</w:t>
            </w:r>
          </w:p>
        </w:tc>
        <w:tc>
          <w:tcPr>
            <w:tcW w:type="dxa" w:w="900"/>
            <w:shd w:fill="FFF3CD"/>
            <w:tcMar>
              <w:top w:w="80" w:type="dxa"/>
              <w:bottom w:w="80" w:type="dxa"/>
              <w:start w:w="120" w:type="dxa"/>
              <w:end w:w="120" w:type="dxa"/>
            </w:tcMar>
            <w:vAlign w:val="center"/>
          </w:tcPr>
          <w:p>
            <w:pPr>
              <w:spacing w:after="0"/>
              <w:jc w:val="center"/>
            </w:pPr>
            <w:r>
              <w:rPr>
                <w:rFonts w:ascii="Calibri" w:hAnsi="Calibri" w:eastAsia="Microsoft YaHei"/>
                <w:b/>
                <w:color w:val="141F30"/>
                <w:sz w:val="19"/>
              </w:rPr>
              <w:t>评分</w:t>
            </w:r>
          </w:p>
        </w:tc>
        <w:tc>
          <w:tcPr>
            <w:tcW w:type="dxa" w:w="4700"/>
            <w:shd w:fill="FFF3CD"/>
            <w:tcMar>
              <w:top w:w="80" w:type="dxa"/>
              <w:bottom w:w="80" w:type="dxa"/>
              <w:start w:w="120" w:type="dxa"/>
              <w:end w:w="120" w:type="dxa"/>
            </w:tcMar>
            <w:vAlign w:val="center"/>
          </w:tcPr>
          <w:p>
            <w:pPr>
              <w:spacing w:after="0"/>
              <w:jc w:val="center"/>
            </w:pPr>
            <w:r>
              <w:rPr>
                <w:rFonts w:ascii="Calibri" w:hAnsi="Calibri" w:eastAsia="Microsoft YaHei"/>
                <w:b/>
                <w:color w:val="141F30"/>
                <w:sz w:val="19"/>
              </w:rPr>
              <w:t>MNTS 表现</w:t>
            </w:r>
          </w:p>
        </w:tc>
        <w:tc>
          <w:tcPr>
            <w:tcW w:type="dxa" w:w="1660"/>
            <w:shd w:fill="FFF3CD"/>
            <w:tcMar>
              <w:top w:w="80" w:type="dxa"/>
              <w:bottom w:w="80" w:type="dxa"/>
              <w:start w:w="120" w:type="dxa"/>
              <w:end w:w="120" w:type="dxa"/>
            </w:tcMar>
            <w:vAlign w:val="center"/>
          </w:tcPr>
          <w:p>
            <w:pPr>
              <w:spacing w:after="0"/>
              <w:jc w:val="center"/>
            </w:pPr>
            <w:r>
              <w:rPr>
                <w:rFonts w:ascii="Calibri" w:hAnsi="Calibri" w:eastAsia="Microsoft YaHei"/>
                <w:b/>
                <w:color w:val="141F30"/>
                <w:sz w:val="19"/>
              </w:rPr>
              <w:t>结论</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关键链路</w:t>
            </w:r>
          </w:p>
        </w:tc>
        <w:tc>
          <w:tcPr>
            <w:tcW w:type="dxa" w:w="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5.0</w:t>
            </w:r>
          </w:p>
        </w:tc>
        <w:tc>
          <w:tcPr>
            <w:tcW w:type="dxa" w:w="4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在轨服务有战略意义，但当前客户任务规模小</w:t>
            </w:r>
          </w:p>
        </w:tc>
        <w:tc>
          <w:tcPr>
            <w:tcW w:type="dxa" w:w="1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潜在关键，不是当前关键</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替换难度</w:t>
            </w:r>
          </w:p>
        </w:tc>
        <w:tc>
          <w:tcPr>
            <w:tcW w:type="dxa" w:w="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3.5</w:t>
            </w:r>
          </w:p>
        </w:tc>
        <w:tc>
          <w:tcPr>
            <w:tcW w:type="dxa" w:w="4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客户可自带推进、选择其他 spacecraft bus/space tug 或专线发射</w:t>
            </w:r>
          </w:p>
        </w:tc>
        <w:tc>
          <w:tcPr>
            <w:tcW w:type="dxa" w:w="1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替换难度低到中</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扩产难度</w:t>
            </w:r>
          </w:p>
        </w:tc>
        <w:tc>
          <w:tcPr>
            <w:tcW w:type="dxa" w:w="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4.0</w:t>
            </w:r>
          </w:p>
        </w:tc>
        <w:tc>
          <w:tcPr>
            <w:tcW w:type="dxa" w:w="4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航天验证和任务运营难，但公司规模小，制造和交付能力未证明</w:t>
            </w:r>
          </w:p>
        </w:tc>
        <w:tc>
          <w:tcPr>
            <w:tcW w:type="dxa" w:w="1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未形成规模壁垒</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定价权</w:t>
            </w:r>
          </w:p>
        </w:tc>
        <w:tc>
          <w:tcPr>
            <w:tcW w:type="dxa" w:w="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2.5</w:t>
            </w:r>
          </w:p>
        </w:tc>
        <w:tc>
          <w:tcPr>
            <w:tcW w:type="dxa" w:w="4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收入少、亏损大，尚无稳定毛利和定价权证据</w:t>
            </w:r>
          </w:p>
        </w:tc>
        <w:tc>
          <w:tcPr>
            <w:tcW w:type="dxa" w:w="1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弱</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小市值弹性</w:t>
            </w:r>
          </w:p>
        </w:tc>
        <w:tc>
          <w:tcPr>
            <w:tcW w:type="dxa" w:w="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8.5</w:t>
            </w:r>
          </w:p>
        </w:tc>
        <w:tc>
          <w:tcPr>
            <w:tcW w:type="dxa" w:w="4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股价对融资、任务、SpaceX IPO、国防预算消息极敏感</w:t>
            </w:r>
          </w:p>
        </w:tc>
        <w:tc>
          <w:tcPr>
            <w:tcW w:type="dxa" w:w="1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高波动高弹性</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被绕开风险</w:t>
            </w:r>
          </w:p>
        </w:tc>
        <w:tc>
          <w:tcPr>
            <w:tcW w:type="dxa" w:w="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7.5</w:t>
            </w:r>
          </w:p>
        </w:tc>
        <w:tc>
          <w:tcPr>
            <w:tcW w:type="dxa" w:w="4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客户有很多替代路径，SpaceX/Rocket Lab/其他卫星平台商和自研方案均可分流</w:t>
            </w:r>
          </w:p>
        </w:tc>
        <w:tc>
          <w:tcPr>
            <w:tcW w:type="dxa" w:w="1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高</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下游爆发传导</w:t>
            </w:r>
          </w:p>
        </w:tc>
        <w:tc>
          <w:tcPr>
            <w:tcW w:type="dxa" w:w="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5.5</w:t>
            </w:r>
          </w:p>
        </w:tc>
        <w:tc>
          <w:tcPr>
            <w:tcW w:type="dxa" w:w="4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商业航天和国防航天若升温可带来订单，但转换为 MNTS 收入仍不确定</w:t>
            </w:r>
          </w:p>
        </w:tc>
        <w:tc>
          <w:tcPr>
            <w:tcW w:type="dxa" w:w="1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主题传导强，基本面传导弱</w:t>
            </w:r>
          </w:p>
        </w:tc>
      </w:tr>
    </w:tbl>
    <w:p/>
    <w:tbl>
      <w:tblPr>
        <w:tblStyle w:val="TableGrid"/>
        <w:tblW w:type="dxa" w:w="9360"/>
        <w:jc w:val="center"/>
        <w:tblLook w:firstColumn="1" w:firstRow="1" w:lastColumn="0" w:lastRow="0" w:noHBand="0" w:noVBand="1" w:val="04A0"/>
        <w:tblInd w:w="120" w:type="dxa"/>
      </w:tblPr>
      <w:tblGrid>
        <w:gridCol w:w="9360"/>
      </w:tblGrid>
      <w:tr>
        <w:tc>
          <w:tcPr>
            <w:tcW w:type="dxa" w:w="9360"/>
            <w:shd w:fill="EAF4EA"/>
            <w:tcMar>
              <w:top w:w="80" w:type="dxa"/>
              <w:bottom w:w="80" w:type="dxa"/>
              <w:start w:w="120" w:type="dxa"/>
              <w:end w:w="120" w:type="dxa"/>
            </w:tcMar>
            <w:vAlign w:val="center"/>
          </w:tcPr>
          <w:p>
            <w:pPr>
              <w:spacing w:line="264" w:lineRule="auto" w:after="0"/>
            </w:pPr>
            <w:r>
              <w:rPr>
                <w:rFonts w:ascii="Calibri" w:hAnsi="Calibri" w:eastAsia="Microsoft YaHei"/>
                <w:b/>
                <w:color w:val="1F4D78"/>
                <w:sz w:val="22"/>
              </w:rPr>
              <w:t>瓶颈结论：</w:t>
            </w:r>
            <w:r>
              <w:rPr>
                <w:rFonts w:ascii="Calibri" w:hAnsi="Calibri" w:eastAsia="Microsoft YaHei"/>
                <w:b w:val="0"/>
                <w:color w:val="141F30"/>
                <w:sz w:val="22"/>
              </w:rPr>
              <w:t xml:space="preserve"> MNTS 的瓶颈逻辑目前还停留在“潜在空间基础设施卡位”。真正好的瓶颈股应当有需求爆发、供给稀缺、客户切换难、定价权和收入利润验证；MNTS 现在只有需求叙事和小市值弹性，缺少稳定财务验证。</w:t>
            </w:r>
          </w:p>
        </w:tc>
      </w:tr>
    </w:tbl>
    <w:p/>
    <w:p>
      <w:pPr>
        <w:pStyle w:val="Heading1"/>
      </w:pPr>
      <w:r>
        <w:t>四、Vigoride 任务与技术验证</w:t>
      </w:r>
    </w:p>
    <w:p>
      <w:pPr>
        <w:pStyle w:val="Heading2"/>
      </w:pPr>
      <w:r>
        <w:t>4.1 Vigoride-7</w:t>
      </w:r>
    </w:p>
    <w:tbl>
      <w:tblPr>
        <w:tblStyle w:val="TableGrid"/>
        <w:tblW w:type="dxa" w:w="9360"/>
        <w:jc w:val="center"/>
        <w:tblLook w:firstColumn="1" w:firstRow="1" w:lastColumn="0" w:lastRow="0" w:noHBand="0" w:noVBand="1" w:val="04A0"/>
        <w:tblInd w:w="120" w:type="dxa"/>
      </w:tblPr>
      <w:tblGrid>
        <w:gridCol w:w="2100"/>
        <w:gridCol w:w="3500"/>
        <w:gridCol w:w="3760"/>
      </w:tblGrid>
      <w:tr>
        <w:trPr>
          <w:tblHeader w:val="true"/>
        </w:trPr>
        <w:tc>
          <w:tcPr>
            <w:tcW w:type="dxa" w:w="21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项目</w:t>
            </w:r>
          </w:p>
        </w:tc>
        <w:tc>
          <w:tcPr>
            <w:tcW w:type="dxa" w:w="35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进展</w:t>
            </w:r>
          </w:p>
        </w:tc>
        <w:tc>
          <w:tcPr>
            <w:tcW w:type="dxa" w:w="376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研究意义</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发射</w:t>
            </w:r>
          </w:p>
        </w:tc>
        <w:tc>
          <w:tcPr>
            <w:tcW w:type="dxa" w:w="3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Vigoride-7 于 2026-03-30 搭乘 SpaceX Transporter-16 进入轨道</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说明公司恢复了实际任务执行，而不是只有融资叙事</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早期任务状态</w:t>
            </w:r>
          </w:p>
        </w:tc>
        <w:tc>
          <w:tcPr>
            <w:tcW w:type="dxa" w:w="3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公司称 spacecraft 自主上电、部署太阳能阵列、建立双向通信、完成多个 bus 系统检查</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早期健康状态改善市场信心</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推进/姿控</w:t>
            </w:r>
          </w:p>
        </w:tc>
        <w:tc>
          <w:tcPr>
            <w:tcW w:type="dxa" w:w="3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公司披露主水基推进罐加压、RCS accumulators 激活、姿控系统抑制旋转率</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关键是后续轨道调整和载荷服务是否继续成功</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收入确认</w:t>
            </w:r>
          </w:p>
        </w:tc>
        <w:tc>
          <w:tcPr>
            <w:tcW w:type="dxa" w:w="3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Q1 2026 确认 Vigoride-7 托管载荷服务收入约 160 万美元</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任务执行已经转化为收入，但规模仍很小</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后续验证</w:t>
            </w:r>
          </w:p>
        </w:tc>
        <w:tc>
          <w:tcPr>
            <w:tcW w:type="dxa" w:w="3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 xml:space="preserve"> payload operations、轨道降低/调整、任务持续时间和客户验收</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这是 MNTS 基本面最重要的近端验证点</w:t>
            </w:r>
          </w:p>
        </w:tc>
      </w:tr>
    </w:tbl>
    <w:p/>
    <w:p>
      <w:pPr>
        <w:pStyle w:val="Heading2"/>
      </w:pPr>
      <w:r>
        <w:t>4.2 Vigoride-8</w:t>
      </w:r>
    </w:p>
    <w:tbl>
      <w:tblPr>
        <w:tblStyle w:val="TableGrid"/>
        <w:tblW w:type="dxa" w:w="9360"/>
        <w:jc w:val="center"/>
        <w:tblLook w:firstColumn="1" w:firstRow="1" w:lastColumn="0" w:lastRow="0" w:noHBand="0" w:noVBand="1" w:val="04A0"/>
        <w:tblInd w:w="120" w:type="dxa"/>
      </w:tblPr>
      <w:tblGrid>
        <w:gridCol w:w="2100"/>
        <w:gridCol w:w="4200"/>
        <w:gridCol w:w="3060"/>
      </w:tblGrid>
      <w:tr>
        <w:trPr>
          <w:tblHeader w:val="true"/>
        </w:trPr>
        <w:tc>
          <w:tcPr>
            <w:tcW w:type="dxa" w:w="21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项目</w:t>
            </w:r>
          </w:p>
        </w:tc>
        <w:tc>
          <w:tcPr>
            <w:tcW w:type="dxa" w:w="42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内容</w:t>
            </w:r>
          </w:p>
        </w:tc>
        <w:tc>
          <w:tcPr>
            <w:tcW w:type="dxa" w:w="306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研究含义</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任务状态</w:t>
            </w:r>
          </w:p>
        </w:tc>
        <w:tc>
          <w:tcPr>
            <w:tcW w:type="dxa" w:w="4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公司称 Vigoride-8 已完成 Preliminary Design Review，计划 2027 年初发射</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显示后续任务 pipeline 存在</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载荷</w:t>
            </w:r>
          </w:p>
        </w:tc>
        <w:tc>
          <w:tcPr>
            <w:tcW w:type="dxa" w:w="4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披露包括 Spaceworks COSMIC 载荷和 NASA Juno Rotating Detonation Rocket Engine 载荷</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NASA 合同有助于提升信誉</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商业状态</w:t>
            </w:r>
          </w:p>
        </w:tc>
        <w:tc>
          <w:tcPr>
            <w:tcW w:type="dxa" w:w="4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公司称该任务 fully booked</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积极，但仍需看合同金额和收入确认节奏</w:t>
            </w:r>
          </w:p>
        </w:tc>
      </w:tr>
      <w:tr>
        <w:tc>
          <w:tcPr>
            <w:tcW w:type="dxa" w:w="21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下一步</w:t>
            </w:r>
          </w:p>
        </w:tc>
        <w:tc>
          <w:tcPr>
            <w:tcW w:type="dxa" w:w="42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Critical Design Review、制造、集成、发射窗口、客户验收</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任何延迟都会影响收入和现金流</w:t>
            </w:r>
          </w:p>
        </w:tc>
      </w:tr>
    </w:tbl>
    <w:p/>
    <w:p>
      <w:pPr>
        <w:pStyle w:val="Heading1"/>
      </w:pPr>
      <w:r>
        <w:t>五、客户、合同与收入路径</w:t>
      </w:r>
    </w:p>
    <w:p>
      <w:pPr>
        <w:pStyle w:val="Heading2"/>
      </w:pPr>
      <w:r>
        <w:t>5.1 合同和客户类型</w:t>
      </w:r>
    </w:p>
    <w:tbl>
      <w:tblPr>
        <w:tblStyle w:val="TableGrid"/>
        <w:tblW w:type="dxa" w:w="9360"/>
        <w:jc w:val="center"/>
        <w:tblLook w:firstColumn="1" w:firstRow="1" w:lastColumn="0" w:lastRow="0" w:noHBand="0" w:noVBand="1" w:val="04A0"/>
        <w:tblInd w:w="120" w:type="dxa"/>
      </w:tblPr>
      <w:tblGrid>
        <w:gridCol w:w="1700"/>
        <w:gridCol w:w="3300"/>
        <w:gridCol w:w="2500"/>
        <w:gridCol w:w="1860"/>
      </w:tblGrid>
      <w:tr>
        <w:trPr>
          <w:tblHeader w:val="true"/>
        </w:trPr>
        <w:tc>
          <w:tcPr>
            <w:tcW w:type="dxa" w:w="17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方向</w:t>
            </w:r>
          </w:p>
        </w:tc>
        <w:tc>
          <w:tcPr>
            <w:tcW w:type="dxa" w:w="33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公开信息</w:t>
            </w:r>
          </w:p>
        </w:tc>
        <w:tc>
          <w:tcPr>
            <w:tcW w:type="dxa" w:w="25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收入/价值路径</w:t>
            </w:r>
          </w:p>
        </w:tc>
        <w:tc>
          <w:tcPr>
            <w:tcW w:type="dxa" w:w="186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主要问题</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NASA</w:t>
            </w:r>
          </w:p>
        </w:tc>
        <w:tc>
          <w:tcPr>
            <w:tcW w:type="dxa" w:w="33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Vigoride-8 包含 NASA awarded contracts，Q1 工程项目服务扩张也来自 NASA</w:t>
            </w:r>
          </w:p>
        </w:tc>
        <w:tc>
          <w:tcPr>
            <w:tcW w:type="dxa" w:w="2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提供技术背书和里程碑收入</w:t>
            </w:r>
          </w:p>
        </w:tc>
        <w:tc>
          <w:tcPr>
            <w:tcW w:type="dxa" w:w="18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合同金额小、周期长、验收严格</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DARPA</w:t>
            </w:r>
          </w:p>
        </w:tc>
        <w:tc>
          <w:tcPr>
            <w:tcW w:type="dxa" w:w="33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Q1 2026 继续执行 DARPA NOM4D 和 BRIDGES 相关工作</w:t>
            </w:r>
          </w:p>
        </w:tc>
        <w:tc>
          <w:tcPr>
            <w:tcW w:type="dxa" w:w="2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国防科研项目提升可信度</w:t>
            </w:r>
          </w:p>
        </w:tc>
        <w:tc>
          <w:tcPr>
            <w:tcW w:type="dxa" w:w="18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研发服务收入不等于大规模商业化</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AFRL SpaceWERX / SDA / MDA</w:t>
            </w:r>
          </w:p>
        </w:tc>
        <w:tc>
          <w:tcPr>
            <w:tcW w:type="dxa" w:w="33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公司在股东信中提到相关 active contracts/contract vehicle</w:t>
            </w:r>
          </w:p>
        </w:tc>
        <w:tc>
          <w:tcPr>
            <w:tcW w:type="dxa" w:w="2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若国防航天预算上行，潜在机会较大</w:t>
            </w:r>
          </w:p>
        </w:tc>
        <w:tc>
          <w:tcPr>
            <w:tcW w:type="dxa" w:w="18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是否能从资格/合同车转为实质任务订单仍需验证</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商业载荷客户</w:t>
            </w:r>
          </w:p>
        </w:tc>
        <w:tc>
          <w:tcPr>
            <w:tcW w:type="dxa" w:w="33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Vigoride 任务托管 payload 和运输服务</w:t>
            </w:r>
          </w:p>
        </w:tc>
        <w:tc>
          <w:tcPr>
            <w:tcW w:type="dxa" w:w="2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理论上随小卫星市场增长受益</w:t>
            </w:r>
          </w:p>
        </w:tc>
        <w:tc>
          <w:tcPr>
            <w:tcW w:type="dxa" w:w="18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商业客户对价格、发射时效和任务成功率敏感</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SHIELD IDIQ / Golden Dome 相关</w:t>
            </w:r>
          </w:p>
        </w:tc>
        <w:tc>
          <w:tcPr>
            <w:tcW w:type="dxa" w:w="33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公司称有权竞争 $151B/10 年 national defense contract vehicle 下的合同</w:t>
            </w:r>
          </w:p>
        </w:tc>
        <w:tc>
          <w:tcPr>
            <w:tcW w:type="dxa" w:w="25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战略想象空间大</w:t>
            </w:r>
          </w:p>
        </w:tc>
        <w:tc>
          <w:tcPr>
            <w:tcW w:type="dxa" w:w="18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有权竞争不等于实际中标和收入</w:t>
            </w:r>
          </w:p>
        </w:tc>
      </w:tr>
    </w:tbl>
    <w:p/>
    <w:p>
      <w:pPr>
        <w:pStyle w:val="Heading2"/>
      </w:pPr>
      <w:r>
        <w:t>5.2 收入路径判断</w:t>
      </w:r>
    </w:p>
    <w:p>
      <w:pPr>
        <w:spacing w:after="120" w:line="264" w:lineRule="auto"/>
      </w:pPr>
      <w:r>
        <w:rPr>
          <w:rFonts w:ascii="Calibri" w:hAnsi="Calibri" w:eastAsia="Microsoft YaHei"/>
          <w:b w:val="0"/>
          <w:color w:val="141F30"/>
          <w:sz w:val="22"/>
        </w:rPr>
        <w:t>2026 年股东信中公司预测 2026 收入约 1,000 万美元，较 2025 年 110 万美元约 9 倍增长，主要来自 NASA 和美国国防部的里程碑型合同。这个目标若兑现，说明公司从“几乎无收入”进入“有任务收入”的阶段，但仍远未达到可自我造血。</w:t>
      </w:r>
    </w:p>
    <w:p>
      <w:pPr>
        <w:spacing w:after="120" w:line="264" w:lineRule="auto"/>
      </w:pPr>
      <w:r>
        <w:rPr>
          <w:rFonts w:ascii="Calibri" w:hAnsi="Calibri" w:eastAsia="Microsoft YaHei"/>
          <w:b w:val="0"/>
          <w:color w:val="141F30"/>
          <w:sz w:val="22"/>
        </w:rPr>
        <w:t>对 MNTS 而言，关键不是单个任务 headline，而是收入能否连续几个季度增长、合同负债能否转为收入、客户应收能否回款、每次任务毛利能否改善。</w:t>
      </w:r>
    </w:p>
    <w:p>
      <w:pPr>
        <w:pStyle w:val="Heading1"/>
      </w:pPr>
      <w:r>
        <w:t>六、财务会计信息</w:t>
      </w:r>
    </w:p>
    <w:p>
      <w:pPr>
        <w:pStyle w:val="Heading2"/>
      </w:pPr>
      <w:r>
        <w:t>6.1 Q1 2026 最新财务</w:t>
      </w:r>
    </w:p>
    <w:tbl>
      <w:tblPr>
        <w:tblStyle w:val="TableGrid"/>
        <w:tblW w:type="dxa" w:w="9360"/>
        <w:jc w:val="center"/>
        <w:tblLook w:firstColumn="1" w:firstRow="1" w:lastColumn="0" w:lastRow="0" w:noHBand="0" w:noVBand="1" w:val="04A0"/>
        <w:tblInd w:w="120" w:type="dxa"/>
      </w:tblPr>
      <w:tblGrid>
        <w:gridCol w:w="1800"/>
        <w:gridCol w:w="1700"/>
        <w:gridCol w:w="1700"/>
        <w:gridCol w:w="4160"/>
      </w:tblGrid>
      <w:tr>
        <w:trPr>
          <w:tblHeader w:val="true"/>
        </w:trPr>
        <w:tc>
          <w:tcPr>
            <w:tcW w:type="dxa" w:w="18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指标</w:t>
            </w:r>
          </w:p>
        </w:tc>
        <w:tc>
          <w:tcPr>
            <w:tcW w:type="dxa" w:w="17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Q1 2026</w:t>
            </w:r>
          </w:p>
        </w:tc>
        <w:tc>
          <w:tcPr>
            <w:tcW w:type="dxa" w:w="17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Q1 2025</w:t>
            </w:r>
          </w:p>
        </w:tc>
        <w:tc>
          <w:tcPr>
            <w:tcW w:type="dxa" w:w="416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研究解读</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服务收入</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321.5 万美元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32.2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同比 +898%，但绝对规模仍很小</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收入构成</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Vigoride-7 托管载荷约 160 万美元；工程服务约 160 万美元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主要为工程服务和少量 deposits</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收入改善来自任务执行和政府项目</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成本收入</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139.8 万美元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0</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主要为 Vigoride-7 客户载荷分摊发射成本</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毛利</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181.7 万美元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32.2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毛利为正，但无法覆盖费用</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研发费用</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416.9 万美元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191.5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公司恢复研发和任务投入，烧钱增加</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SG&amp;A</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634.0 万美元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459.2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上市公司、法律、专业服务和组织成本仍高</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经营亏损</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-869.2 万美元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-618.5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亏损扩大，收入仍无法覆盖费用</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净亏损</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-948.0 万美元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-617.2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同比亏损扩大 54%</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每股亏损</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-2.15 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-29.29 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历史反向拆股和股数变化使每股数据可比性弱</w:t>
            </w:r>
          </w:p>
        </w:tc>
      </w:tr>
      <w:tr>
        <w:tc>
          <w:tcPr>
            <w:tcW w:type="dxa" w:w="18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经营现金流</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-581.4 万美元</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-417.5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现金仍在持续消耗</w:t>
            </w:r>
          </w:p>
        </w:tc>
      </w:tr>
    </w:tbl>
    <w:p/>
    <w:p>
      <w:pPr>
        <w:pStyle w:val="Heading2"/>
      </w:pPr>
      <w:r>
        <w:t>6.2 资产负债表</w:t>
      </w:r>
    </w:p>
    <w:tbl>
      <w:tblPr>
        <w:tblStyle w:val="TableGrid"/>
        <w:tblW w:type="dxa" w:w="9360"/>
        <w:jc w:val="center"/>
        <w:tblLook w:firstColumn="1" w:firstRow="1" w:lastColumn="0" w:lastRow="0" w:noHBand="0" w:noVBand="1" w:val="04A0"/>
        <w:tblInd w:w="120" w:type="dxa"/>
      </w:tblPr>
      <w:tblGrid>
        <w:gridCol w:w="1900"/>
        <w:gridCol w:w="1900"/>
        <w:gridCol w:w="1900"/>
        <w:gridCol w:w="3660"/>
      </w:tblGrid>
      <w:tr>
        <w:trPr>
          <w:tblHeader w:val="true"/>
        </w:trPr>
        <w:tc>
          <w:tcPr>
            <w:tcW w:type="dxa" w:w="19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项目</w:t>
            </w:r>
          </w:p>
        </w:tc>
        <w:tc>
          <w:tcPr>
            <w:tcW w:type="dxa" w:w="19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2026-03-31</w:t>
            </w:r>
          </w:p>
        </w:tc>
        <w:tc>
          <w:tcPr>
            <w:tcW w:type="dxa" w:w="19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2025-12-31</w:t>
            </w:r>
          </w:p>
        </w:tc>
        <w:tc>
          <w:tcPr>
            <w:tcW w:type="dxa" w:w="366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研究意义</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现金及等价物</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2,348.2 万美元</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1,280.6 万美元</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Q1 融资改善现金</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总流动资产</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2,925.6 万美元</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2,228.2 万美元</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流动性短期改善</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总资产</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4,586.3 万美元</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4,031.9 万美元</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资产规模很小</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贷款 payable current</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189.7 万美元</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347.9 万美元</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债务压力下降</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合同负债 current</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35.7 万美元</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405.8 万美元</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部分合同负债已转化为收入</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总负债</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1,869.8 万美元</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2,317.9 万美元</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负债下降</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股东权益</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2,716.5 万美元</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1,714.0 万美元</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融资和债务转换改善账面权益</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已发行普通股</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584.0 万股</w:t>
            </w:r>
          </w:p>
        </w:tc>
        <w:tc>
          <w:tcPr>
            <w:tcW w:type="dxa" w:w="1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216.6 万股</w:t>
            </w:r>
          </w:p>
        </w:tc>
        <w:tc>
          <w:tcPr>
            <w:tcW w:type="dxa" w:w="36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一季度股数已大幅增加，后续又继续融资</w:t>
            </w:r>
          </w:p>
        </w:tc>
      </w:tr>
    </w:tbl>
    <w:p/>
    <w:p>
      <w:pPr>
        <w:pStyle w:val="Heading1"/>
      </w:pPr>
      <w:r>
        <w:t>七、融资、稀释与持续经营</w:t>
      </w:r>
    </w:p>
    <w:p>
      <w:pPr>
        <w:pStyle w:val="Heading2"/>
      </w:pPr>
      <w:r>
        <w:t>7.1 2026 年融资路径</w:t>
      </w:r>
    </w:p>
    <w:tbl>
      <w:tblPr>
        <w:tblStyle w:val="TableGrid"/>
        <w:tblW w:type="dxa" w:w="9360"/>
        <w:jc w:val="center"/>
        <w:tblLook w:firstColumn="1" w:firstRow="1" w:lastColumn="0" w:lastRow="0" w:noHBand="0" w:noVBand="1" w:val="04A0"/>
        <w:tblInd w:w="120" w:type="dxa"/>
      </w:tblPr>
      <w:tblGrid>
        <w:gridCol w:w="2600"/>
        <w:gridCol w:w="2600"/>
        <w:gridCol w:w="4160"/>
      </w:tblGrid>
      <w:tr>
        <w:trPr>
          <w:tblHeader w:val="true"/>
        </w:trPr>
        <w:tc>
          <w:tcPr>
            <w:tcW w:type="dxa" w:w="26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事件</w:t>
            </w:r>
          </w:p>
        </w:tc>
        <w:tc>
          <w:tcPr>
            <w:tcW w:type="dxa" w:w="26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金额/股数</w:t>
            </w:r>
          </w:p>
        </w:tc>
        <w:tc>
          <w:tcPr>
            <w:tcW w:type="dxa" w:w="416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研究含义</w:t>
            </w:r>
          </w:p>
        </w:tc>
      </w:tr>
      <w:tr>
        <w:tc>
          <w:tcPr>
            <w:tcW w:type="dxa" w:w="2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Q1 ATM</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发行约 220.36 万股，净融资约 1,292.9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一季度现金改善主要来自股权融资</w:t>
            </w:r>
          </w:p>
        </w:tc>
      </w:tr>
      <w:tr>
        <w:tc>
          <w:tcPr>
            <w:tcW w:type="dxa" w:w="2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Q1 私募/预融资权证</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净融资约 458.0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增加现金，但伴随潜在稀释</w:t>
            </w:r>
          </w:p>
        </w:tc>
      </w:tr>
      <w:tr>
        <w:tc>
          <w:tcPr>
            <w:tcW w:type="dxa" w:w="2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2026-04 私募</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约 500 万美元，价格 3.75 美元，含普通股和预融资权证</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季后进一步补现金</w:t>
            </w:r>
          </w:p>
        </w:tc>
      </w:tr>
      <w:tr>
        <w:tc>
          <w:tcPr>
            <w:tcW w:type="dxa" w:w="2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2026-04 债务转换</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剩余可转债在 4 月 17 日转换，公司称不再有 outstanding convertible indebtedness</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消除债务压力，但通过股权稀释解决</w:t>
            </w:r>
          </w:p>
        </w:tc>
      </w:tr>
      <w:tr>
        <w:tc>
          <w:tcPr>
            <w:tcW w:type="dxa" w:w="2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2026-05 ATM</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发行约 217 万股，gross proceeds 1,050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继续稀释换现金</w:t>
            </w:r>
          </w:p>
        </w:tc>
      </w:tr>
      <w:tr>
        <w:tc>
          <w:tcPr>
            <w:tcW w:type="dxa" w:w="2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2026-05 私募</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约 2,942,000 股，gross proceeds 2,500 万美元</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显著改善现金，公司称融资后现金/短投约 7,600 万美元</w:t>
            </w:r>
          </w:p>
        </w:tc>
      </w:tr>
      <w:tr>
        <w:tc>
          <w:tcPr>
            <w:tcW w:type="dxa" w:w="26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Shelf registration</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5 月/6 月提交证券发行注册，最高可达较大规模</w:t>
            </w:r>
          </w:p>
        </w:tc>
        <w:tc>
          <w:tcPr>
            <w:tcW w:type="dxa" w:w="41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未来仍可能继续融资，稀释风险没有消失</w:t>
            </w:r>
          </w:p>
        </w:tc>
      </w:tr>
    </w:tbl>
    <w:p/>
    <w:p>
      <w:pPr>
        <w:pStyle w:val="Heading2"/>
      </w:pPr>
      <w:r>
        <w:t>7.2 持续经营判断</w:t>
      </w:r>
    </w:p>
    <w:p>
      <w:pPr>
        <w:spacing w:after="120" w:line="264" w:lineRule="auto"/>
      </w:pPr>
      <w:r>
        <w:rPr>
          <w:rFonts w:ascii="Calibri" w:hAnsi="Calibri" w:eastAsia="Microsoft YaHei"/>
          <w:b w:val="0"/>
          <w:color w:val="141F30"/>
          <w:sz w:val="22"/>
        </w:rPr>
        <w:t>Q1 10-Q 中，公司表示由于 2025 年底以来完成的融资和相关交易，管理层认为此前关于持续经营能力的重大疑虑已经不再存在，并认为当前现金、运营计划和流动性预测足以支持财报发布后至少 12 个月的运营。</w:t>
      </w:r>
    </w:p>
    <w:p>
      <w:pPr>
        <w:spacing w:after="120" w:line="264" w:lineRule="auto"/>
      </w:pPr>
      <w:r>
        <w:rPr>
          <w:rFonts w:ascii="Calibri" w:hAnsi="Calibri" w:eastAsia="Microsoft YaHei"/>
          <w:b w:val="0"/>
          <w:color w:val="141F30"/>
          <w:sz w:val="22"/>
        </w:rPr>
        <w:t>但这不等于商业模式已经安全。它只是说明公司短期 runway 被融资拉长。若 2026 收入目标不兑现、Vigoride-7 或 Vigoride-8 延迟、融资窗口关闭或股价下跌，持续经营问题可能重新出现。</w:t>
      </w:r>
    </w:p>
    <w:p>
      <w:pPr>
        <w:pStyle w:val="Heading1"/>
      </w:pPr>
      <w:r>
        <w:t>八、估值框架与交易属性</w:t>
      </w:r>
    </w:p>
    <w:p>
      <w:pPr>
        <w:pStyle w:val="Heading2"/>
      </w:pPr>
      <w:r>
        <w:t>8.1 当前估值快照</w:t>
      </w:r>
    </w:p>
    <w:tbl>
      <w:tblPr>
        <w:tblStyle w:val="TableGrid"/>
        <w:tblW w:type="dxa" w:w="9060"/>
        <w:jc w:val="center"/>
        <w:tblLook w:firstColumn="1" w:firstRow="1" w:lastColumn="0" w:lastRow="0" w:noHBand="0" w:noVBand="1" w:val="04A0"/>
        <w:tblInd w:w="120" w:type="dxa"/>
      </w:tblPr>
      <w:tblGrid>
        <w:gridCol w:w="1700"/>
        <w:gridCol w:w="1700"/>
        <w:gridCol w:w="2600"/>
        <w:gridCol w:w="3060"/>
      </w:tblGrid>
      <w:tr>
        <w:trPr>
          <w:tblHeader w:val="true"/>
        </w:trPr>
        <w:tc>
          <w:tcPr>
            <w:tcW w:type="dxa" w:w="17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估值项目</w:t>
            </w:r>
          </w:p>
        </w:tc>
        <w:tc>
          <w:tcPr>
            <w:tcW w:type="dxa" w:w="17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数值</w:t>
            </w:r>
          </w:p>
        </w:tc>
        <w:tc>
          <w:tcPr>
            <w:tcW w:type="dxa" w:w="26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口径说明</w:t>
            </w:r>
          </w:p>
        </w:tc>
        <w:tc>
          <w:tcPr>
            <w:tcW w:type="dxa" w:w="306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研究含义</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股价</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16.30 美元</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2026-06-11 收盘，盘后 17.25 美元</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短期涨幅巨大，波动极高</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市值</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约 2.643 亿美元</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StockAnalysis 2026-06-11 口径</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相对收入极高，但相对航天期权不算大</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TTM 收入</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约 400 万美元</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StockAnalysis 口径</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P/S 约 66 倍以上，传统估值失真</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TTM 净亏损</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约 -3,389 万美元</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StockAnalysis 口径</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仍处亏损阶段</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EPS</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约 -20.29 美元</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StockAnalysis 口径</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无法用 PE 估值</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Shares Out</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约 1,622 万股</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StockAnalysis 口径，已反映部分后续融资</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股数变化非常快，必须持续更新</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52 周区间</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3.11-43.55 美元</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StockAnalysis 口径</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证明交易属性极强</w:t>
            </w:r>
          </w:p>
        </w:tc>
      </w:tr>
      <w:tr>
        <w:tc>
          <w:tcPr>
            <w:tcW w:type="dxa" w:w="17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Beta</w:t>
            </w:r>
          </w:p>
        </w:tc>
        <w:tc>
          <w:tcPr>
            <w:tcW w:type="dxa" w:w="1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2.19</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StockAnalysis 口径</w:t>
            </w:r>
          </w:p>
        </w:tc>
        <w:tc>
          <w:tcPr>
            <w:tcW w:type="dxa" w:w="30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高波动小盘股</w:t>
            </w:r>
          </w:p>
        </w:tc>
      </w:tr>
    </w:tbl>
    <w:p/>
    <w:p>
      <w:pPr>
        <w:pStyle w:val="Heading2"/>
      </w:pPr>
      <w:r>
        <w:t>8.2 情景估值</w:t>
      </w:r>
    </w:p>
    <w:tbl>
      <w:tblPr>
        <w:tblStyle w:val="TableGrid"/>
        <w:tblW w:type="dxa" w:w="9360"/>
        <w:jc w:val="center"/>
        <w:tblLook w:firstColumn="1" w:firstRow="1" w:lastColumn="0" w:lastRow="0" w:noHBand="0" w:noVBand="1" w:val="04A0"/>
        <w:tblInd w:w="120" w:type="dxa"/>
      </w:tblPr>
      <w:tblGrid>
        <w:gridCol w:w="1300"/>
        <w:gridCol w:w="3600"/>
        <w:gridCol w:w="2900"/>
        <w:gridCol w:w="1560"/>
      </w:tblGrid>
      <w:tr>
        <w:trPr>
          <w:tblHeader w:val="true"/>
        </w:trPr>
        <w:tc>
          <w:tcPr>
            <w:tcW w:type="dxa" w:w="13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情景</w:t>
            </w:r>
          </w:p>
        </w:tc>
        <w:tc>
          <w:tcPr>
            <w:tcW w:type="dxa" w:w="36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核心假设</w:t>
            </w:r>
          </w:p>
        </w:tc>
        <w:tc>
          <w:tcPr>
            <w:tcW w:type="dxa" w:w="29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估值含义</w:t>
            </w:r>
          </w:p>
        </w:tc>
        <w:tc>
          <w:tcPr>
            <w:tcW w:type="dxa" w:w="156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关键验证点</w:t>
            </w:r>
          </w:p>
        </w:tc>
      </w:tr>
      <w:tr>
        <w:tc>
          <w:tcPr>
            <w:tcW w:type="dxa" w:w="13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失败/再融资循环</w:t>
            </w:r>
          </w:p>
        </w:tc>
        <w:tc>
          <w:tcPr>
            <w:tcW w:type="dxa" w:w="3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收入低于 1,000 万美元目标，任务延迟，现金继续快速消耗</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市值可能重新向现金折价和融资折价收敛</w:t>
            </w:r>
          </w:p>
        </w:tc>
        <w:tc>
          <w:tcPr>
            <w:tcW w:type="dxa" w:w="1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burn rate、股数、任务延迟、NASDAQ 合规</w:t>
            </w:r>
          </w:p>
        </w:tc>
      </w:tr>
      <w:tr>
        <w:tc>
          <w:tcPr>
            <w:tcW w:type="dxa" w:w="13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基准修复</w:t>
            </w:r>
          </w:p>
        </w:tc>
        <w:tc>
          <w:tcPr>
            <w:tcW w:type="dxa" w:w="3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Vigoride-7 持续完成 payload operations，2026 收入接近 1,000 万美元，现金 runway 保持 12 个月以上</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当前市值有主题支撑，但仍缺利润支撑</w:t>
            </w:r>
          </w:p>
        </w:tc>
        <w:tc>
          <w:tcPr>
            <w:tcW w:type="dxa" w:w="1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季度收入、合同负债、现金余额</w:t>
            </w:r>
          </w:p>
        </w:tc>
      </w:tr>
      <w:tr>
        <w:tc>
          <w:tcPr>
            <w:tcW w:type="dxa" w:w="13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政府合同突破</w:t>
            </w:r>
          </w:p>
        </w:tc>
        <w:tc>
          <w:tcPr>
            <w:tcW w:type="dxa" w:w="3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NASA/DARPA/DoD 项目扩大，公司从工程服务进入更多任务型合同</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可从困境股切换到政府航天平台期权</w:t>
            </w:r>
          </w:p>
        </w:tc>
        <w:tc>
          <w:tcPr>
            <w:tcW w:type="dxa" w:w="1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award amount、funded backlog、里程碑回款</w:t>
            </w:r>
          </w:p>
        </w:tc>
      </w:tr>
      <w:tr>
        <w:tc>
          <w:tcPr>
            <w:tcW w:type="dxa" w:w="13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商业航天情绪强化</w:t>
            </w:r>
          </w:p>
        </w:tc>
        <w:tc>
          <w:tcPr>
            <w:tcW w:type="dxa" w:w="3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SpaceX IPO、Golden Dome、航天 ETF 资金流推动小盘航天股重估</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股价可能脱离基本面继续波动</w:t>
            </w:r>
          </w:p>
        </w:tc>
        <w:tc>
          <w:tcPr>
            <w:tcW w:type="dxa" w:w="15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成交量、融资条款、行业新闻</w:t>
            </w:r>
          </w:p>
        </w:tc>
      </w:tr>
    </w:tbl>
    <w:p/>
    <w:tbl>
      <w:tblPr>
        <w:tblStyle w:val="TableGrid"/>
        <w:tblW w:type="dxa" w:w="9360"/>
        <w:jc w:val="center"/>
        <w:tblLook w:firstColumn="1" w:firstRow="1" w:lastColumn="0" w:lastRow="0" w:noHBand="0" w:noVBand="1" w:val="04A0"/>
        <w:tblInd w:w="120" w:type="dxa"/>
      </w:tblPr>
      <w:tblGrid>
        <w:gridCol w:w="9360"/>
      </w:tblGrid>
      <w:tr>
        <w:tc>
          <w:tcPr>
            <w:tcW w:type="dxa" w:w="9360"/>
            <w:shd w:fill="EFEAF7"/>
            <w:tcMar>
              <w:top w:w="80" w:type="dxa"/>
              <w:bottom w:w="80" w:type="dxa"/>
              <w:start w:w="120" w:type="dxa"/>
              <w:end w:w="120" w:type="dxa"/>
            </w:tcMar>
            <w:vAlign w:val="center"/>
          </w:tcPr>
          <w:p>
            <w:pPr>
              <w:spacing w:line="264" w:lineRule="auto" w:after="0"/>
            </w:pPr>
            <w:r>
              <w:rPr>
                <w:rFonts w:ascii="Calibri" w:hAnsi="Calibri" w:eastAsia="Microsoft YaHei"/>
                <w:b/>
                <w:color w:val="1F4D78"/>
                <w:sz w:val="22"/>
              </w:rPr>
              <w:t>估值判断：</w:t>
            </w:r>
            <w:r>
              <w:rPr>
                <w:rFonts w:ascii="Calibri" w:hAnsi="Calibri" w:eastAsia="Microsoft YaHei"/>
                <w:b w:val="0"/>
                <w:color w:val="141F30"/>
                <w:sz w:val="22"/>
              </w:rPr>
              <w:t xml:space="preserve"> MNTS 不适合用 PE、EV/EBITDA 或 DCF 做常规估值。更合理的框架是“现金 runway + 合同/任务期权 + 航天主题溢价 - 稀释折价 - 执行风险折价”。当前股价已经明显反映情绪和融资改善，基本面还没有跟上。</w:t>
            </w:r>
          </w:p>
        </w:tc>
      </w:tr>
    </w:tbl>
    <w:p/>
    <w:p>
      <w:pPr>
        <w:pStyle w:val="Heading1"/>
      </w:pPr>
      <w:r>
        <w:t>九、竞争格局与替代风险</w:t>
      </w:r>
    </w:p>
    <w:p>
      <w:pPr>
        <w:pStyle w:val="Heading2"/>
      </w:pPr>
      <w:r>
        <w:t>9.1 竞争与替代路径</w:t>
      </w:r>
    </w:p>
    <w:tbl>
      <w:tblPr>
        <w:tblStyle w:val="TableGrid"/>
        <w:tblW w:type="dxa" w:w="9360"/>
        <w:jc w:val="center"/>
        <w:tblLook w:firstColumn="1" w:firstRow="1" w:lastColumn="0" w:lastRow="0" w:noHBand="0" w:noVBand="1" w:val="04A0"/>
        <w:tblInd w:w="120" w:type="dxa"/>
      </w:tblPr>
      <w:tblGrid>
        <w:gridCol w:w="1900"/>
        <w:gridCol w:w="2600"/>
        <w:gridCol w:w="2900"/>
        <w:gridCol w:w="1960"/>
      </w:tblGrid>
      <w:tr>
        <w:trPr>
          <w:tblHeader w:val="true"/>
        </w:trPr>
        <w:tc>
          <w:tcPr>
            <w:tcW w:type="dxa" w:w="19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竞争/替代方向</w:t>
            </w:r>
          </w:p>
        </w:tc>
        <w:tc>
          <w:tcPr>
            <w:tcW w:type="dxa" w:w="26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代表</w:t>
            </w:r>
          </w:p>
        </w:tc>
        <w:tc>
          <w:tcPr>
            <w:tcW w:type="dxa" w:w="290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对 MNTS 的压力</w:t>
            </w:r>
          </w:p>
        </w:tc>
        <w:tc>
          <w:tcPr>
            <w:tcW w:type="dxa" w:w="1960"/>
            <w:shd w:fill="F2F4F7"/>
            <w:tcMar>
              <w:top w:w="80" w:type="dxa"/>
              <w:bottom w:w="80" w:type="dxa"/>
              <w:start w:w="120" w:type="dxa"/>
              <w:end w:w="120" w:type="dxa"/>
            </w:tcMar>
            <w:vAlign w:val="center"/>
          </w:tcPr>
          <w:p>
            <w:pPr>
              <w:spacing w:after="0"/>
              <w:jc w:val="center"/>
            </w:pPr>
            <w:r>
              <w:rPr>
                <w:rFonts w:ascii="Calibri" w:hAnsi="Calibri" w:eastAsia="Microsoft YaHei"/>
                <w:b/>
                <w:color w:val="141F30"/>
                <w:sz w:val="19"/>
              </w:rPr>
              <w:t>MNTS 可能优势</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大型发射和平台商</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SpaceX、Rocket Lab、Firefly、Relativity 等</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可提供 rideshare、专线发射、卫星平台或更完整服务</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MNTS 可专注细分在轨服务和政府任务</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空间拖船/在轨服务</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D-Orbit、Impulse Space、Exolaunch、Starfish Space、Astroscale 等</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技术路线和客户资源竞争直接</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若 Vigoride 成功执行，可证明低成本小团队能力</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卫星制造/组件</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Redwire、Terran Orbital、York Space、Blue Canyon 等</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客户可能选择更成熟卫星平台</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MNTS 可通过总线和托管载荷做轻资产切入</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客户自带推进/直接部署</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卫星客户自研推进和 mission design</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绕过 space tug 服务</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复杂任务仍可能需要第三方在轨服务</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政府承包商</w:t>
            </w:r>
          </w:p>
        </w:tc>
        <w:tc>
          <w:tcPr>
            <w:tcW w:type="dxa" w:w="26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Lockheed、Northrop、Raytheon、L3Harris 等</w:t>
            </w:r>
          </w:p>
        </w:tc>
        <w:tc>
          <w:tcPr>
            <w:tcW w:type="dxa" w:w="29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国防合同能力、合规和系统集成更强</w:t>
            </w:r>
          </w:p>
        </w:tc>
        <w:tc>
          <w:tcPr>
            <w:tcW w:type="dxa" w:w="19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MNTS 小团队可能在低成本、快速任务上有机会</w:t>
            </w:r>
          </w:p>
        </w:tc>
      </w:tr>
    </w:tbl>
    <w:p/>
    <w:p>
      <w:pPr>
        <w:pStyle w:val="Heading2"/>
      </w:pPr>
      <w:r>
        <w:t>9.2 护城河判断</w:t>
      </w:r>
    </w:p>
    <w:p>
      <w:pPr>
        <w:pStyle w:val="ListBullet"/>
        <w:spacing w:after="80" w:line="280" w:lineRule="auto"/>
        <w:ind w:left="720" w:hanging="360"/>
      </w:pPr>
      <w:r>
        <w:rPr>
          <w:rFonts w:ascii="Calibri" w:hAnsi="Calibri" w:eastAsia="Microsoft YaHei"/>
          <w:b w:val="0"/>
          <w:color w:val="141F30"/>
          <w:sz w:val="21"/>
        </w:rPr>
        <w:t>技术护城河尚未充分证明：Vigoride-7 是重要验证，但还需要连续任务成功。</w:t>
      </w:r>
    </w:p>
    <w:p>
      <w:pPr>
        <w:pStyle w:val="ListBullet"/>
        <w:spacing w:after="80" w:line="280" w:lineRule="auto"/>
        <w:ind w:left="720" w:hanging="360"/>
      </w:pPr>
      <w:r>
        <w:rPr>
          <w:rFonts w:ascii="Calibri" w:hAnsi="Calibri" w:eastAsia="Microsoft YaHei"/>
          <w:b w:val="0"/>
          <w:color w:val="141F30"/>
          <w:sz w:val="21"/>
        </w:rPr>
        <w:t>客户护城河较弱：政府项目提升可信度，但合同金额和重复性需要更多披露。</w:t>
      </w:r>
    </w:p>
    <w:p>
      <w:pPr>
        <w:pStyle w:val="ListBullet"/>
        <w:spacing w:after="80" w:line="280" w:lineRule="auto"/>
        <w:ind w:left="720" w:hanging="360"/>
      </w:pPr>
      <w:r>
        <w:rPr>
          <w:rFonts w:ascii="Calibri" w:hAnsi="Calibri" w:eastAsia="Microsoft YaHei"/>
          <w:b w:val="0"/>
          <w:color w:val="141F30"/>
          <w:sz w:val="21"/>
        </w:rPr>
        <w:t>融资护城河不存在：公司依赖资本市场，股价和融资窗口会反过来影响经营。</w:t>
      </w:r>
    </w:p>
    <w:p>
      <w:pPr>
        <w:pStyle w:val="ListBullet"/>
        <w:spacing w:after="80" w:line="280" w:lineRule="auto"/>
        <w:ind w:left="720" w:hanging="360"/>
      </w:pPr>
      <w:r>
        <w:rPr>
          <w:rFonts w:ascii="Calibri" w:hAnsi="Calibri" w:eastAsia="Microsoft YaHei"/>
          <w:b w:val="0"/>
          <w:color w:val="141F30"/>
          <w:sz w:val="21"/>
        </w:rPr>
        <w:t>规模护城河很弱：35 人左右团队可以灵活，但也限制同时执行多个任务。</w:t>
      </w:r>
    </w:p>
    <w:p>
      <w:pPr>
        <w:pStyle w:val="ListBullet"/>
        <w:spacing w:after="80" w:line="280" w:lineRule="auto"/>
        <w:ind w:left="720" w:hanging="360"/>
      </w:pPr>
      <w:r>
        <w:rPr>
          <w:rFonts w:ascii="Calibri" w:hAnsi="Calibri" w:eastAsia="Microsoft YaHei"/>
          <w:b w:val="0"/>
          <w:color w:val="141F30"/>
          <w:sz w:val="21"/>
        </w:rPr>
        <w:t>潜在护城河在于任务数据、飞行遗产、政府安全资质、在轨操作经验和低成本执行能力。</w:t>
      </w:r>
    </w:p>
    <w:p>
      <w:pPr>
        <w:pStyle w:val="Heading1"/>
      </w:pPr>
      <w:r>
        <w:t>十、项目化技术与相对强弱观察</w:t>
      </w:r>
    </w:p>
    <w:p>
      <w:pPr>
        <w:pStyle w:val="Heading2"/>
      </w:pPr>
      <w:r>
        <w:t>10.1 本地监控建议</w:t>
      </w:r>
    </w:p>
    <w:tbl>
      <w:tblPr>
        <w:tblStyle w:val="TableGrid"/>
        <w:tblW w:type="dxa" w:w="9360"/>
        <w:jc w:val="center"/>
        <w:tblLook w:firstColumn="1" w:firstRow="1" w:lastColumn="0" w:lastRow="0" w:noHBand="0" w:noVBand="1" w:val="04A0"/>
        <w:tblInd w:w="120" w:type="dxa"/>
      </w:tblPr>
      <w:tblGrid>
        <w:gridCol w:w="1900"/>
        <w:gridCol w:w="3700"/>
        <w:gridCol w:w="3760"/>
      </w:tblGrid>
      <w:tr>
        <w:trPr>
          <w:tblHeader w:val="true"/>
        </w:trPr>
        <w:tc>
          <w:tcPr>
            <w:tcW w:type="dxa" w:w="19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观察维度</w:t>
            </w:r>
          </w:p>
        </w:tc>
        <w:tc>
          <w:tcPr>
            <w:tcW w:type="dxa" w:w="370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MNTS 当前状态</w:t>
            </w:r>
          </w:p>
        </w:tc>
        <w:tc>
          <w:tcPr>
            <w:tcW w:type="dxa" w:w="3760"/>
            <w:shd w:fill="E8EEF5"/>
            <w:tcMar>
              <w:top w:w="80" w:type="dxa"/>
              <w:bottom w:w="80" w:type="dxa"/>
              <w:start w:w="120" w:type="dxa"/>
              <w:end w:w="120" w:type="dxa"/>
            </w:tcMar>
            <w:vAlign w:val="center"/>
          </w:tcPr>
          <w:p>
            <w:pPr>
              <w:spacing w:after="0"/>
              <w:jc w:val="center"/>
            </w:pPr>
            <w:r>
              <w:rPr>
                <w:rFonts w:ascii="Calibri" w:hAnsi="Calibri" w:eastAsia="Microsoft YaHei"/>
                <w:b/>
                <w:color w:val="141F30"/>
                <w:sz w:val="19"/>
              </w:rPr>
              <w:t>执行方案</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趋势位置</w:t>
            </w:r>
          </w:p>
        </w:tc>
        <w:tc>
          <w:tcPr>
            <w:tcW w:type="dxa" w:w="3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2026-06-11 单日 +43.7%，成交量约 2,197 万股，短线极热</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加入日线监控，重点看成交量、RSI、20 日波动率、252 日高点回撤</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相对强弱</w:t>
            </w:r>
          </w:p>
        </w:tc>
        <w:tc>
          <w:tcPr>
            <w:tcW w:type="dxa" w:w="3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航天小盘股受 SpaceX IPO、Golden Dome 和国防预算叙事影响</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与 RKLB、LUNR、RDW、ASTS、SATL、SPCE、ASTC、UFO/SPCX/NASA ETF 对比</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融资风险</w:t>
            </w:r>
          </w:p>
        </w:tc>
        <w:tc>
          <w:tcPr>
            <w:tcW w:type="dxa" w:w="3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股数从 Q1 584 万股上升到约 1,622 万股，仍可能继续发行</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建立 shares outstanding、shelf/ATM、warrants、cash per share 跟踪表</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基本面催化</w:t>
            </w:r>
          </w:p>
        </w:tc>
        <w:tc>
          <w:tcPr>
            <w:tcW w:type="dxa" w:w="3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Vigoride-7 payload operations、Vigoride-8 CDR、NASA/DARPA/DoD 合同</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用任务进度和合同金额验证，而不是只看新闻标题</w:t>
            </w:r>
          </w:p>
        </w:tc>
      </w:tr>
      <w:tr>
        <w:tc>
          <w:tcPr>
            <w:tcW w:type="dxa" w:w="1900"/>
            <w:tcMar>
              <w:top w:w="80" w:type="dxa"/>
              <w:bottom w:w="80" w:type="dxa"/>
              <w:start w:w="120" w:type="dxa"/>
              <w:end w:w="120" w:type="dxa"/>
            </w:tcMar>
            <w:vAlign w:val="center"/>
          </w:tcPr>
          <w:p>
            <w:pPr>
              <w:spacing w:after="0" w:line="259" w:lineRule="auto"/>
              <w:jc w:val="center"/>
            </w:pPr>
            <w:r>
              <w:rPr>
                <w:rFonts w:ascii="Calibri" w:hAnsi="Calibri" w:eastAsia="Microsoft YaHei"/>
                <w:b w:val="0"/>
                <w:color w:val="141F30"/>
                <w:sz w:val="18"/>
              </w:rPr>
              <w:t>风险阈值</w:t>
            </w:r>
          </w:p>
        </w:tc>
        <w:tc>
          <w:tcPr>
            <w:tcW w:type="dxa" w:w="370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如果现金 &lt; 12 个月 runway、任务延迟或融资折价过大，应降级</w:t>
            </w:r>
          </w:p>
        </w:tc>
        <w:tc>
          <w:tcPr>
            <w:tcW w:type="dxa" w:w="3760"/>
            <w:tcMar>
              <w:top w:w="80" w:type="dxa"/>
              <w:bottom w:w="80" w:type="dxa"/>
              <w:start w:w="120" w:type="dxa"/>
              <w:end w:w="120" w:type="dxa"/>
            </w:tcMar>
            <w:vAlign w:val="center"/>
          </w:tcPr>
          <w:p>
            <w:pPr>
              <w:spacing w:after="0" w:line="259" w:lineRule="auto"/>
              <w:jc w:val="left"/>
            </w:pPr>
            <w:r>
              <w:rPr>
                <w:rFonts w:ascii="Calibri" w:hAnsi="Calibri" w:eastAsia="Microsoft YaHei"/>
                <w:b w:val="0"/>
                <w:color w:val="141F30"/>
                <w:sz w:val="18"/>
              </w:rPr>
              <w:t>每季复查 cash、burn、contract liabilities、revenue、SEC filings</w:t>
            </w:r>
          </w:p>
        </w:tc>
      </w:tr>
    </w:tbl>
    <w:p/>
    <w:p>
      <w:pPr>
        <w:pStyle w:val="Heading1"/>
      </w:pPr>
      <w:r>
        <w:t>十一、风险因素</w:t>
      </w:r>
    </w:p>
    <w:p>
      <w:pPr>
        <w:pStyle w:val="ListBullet"/>
        <w:spacing w:after="80" w:line="280" w:lineRule="auto"/>
        <w:ind w:left="720" w:hanging="360"/>
      </w:pPr>
      <w:r>
        <w:rPr>
          <w:rFonts w:ascii="Calibri" w:hAnsi="Calibri" w:eastAsia="Microsoft YaHei"/>
          <w:b w:val="0"/>
          <w:color w:val="141F30"/>
          <w:sz w:val="21"/>
        </w:rPr>
        <w:t>融资稀释风险：公司 2026 年已多次发行股票和权证，股数快速上升，未来仍可能继续融资。</w:t>
      </w:r>
    </w:p>
    <w:p>
      <w:pPr>
        <w:pStyle w:val="ListBullet"/>
        <w:spacing w:after="80" w:line="280" w:lineRule="auto"/>
        <w:ind w:left="720" w:hanging="360"/>
      </w:pPr>
      <w:r>
        <w:rPr>
          <w:rFonts w:ascii="Calibri" w:hAnsi="Calibri" w:eastAsia="Microsoft YaHei"/>
          <w:b w:val="0"/>
          <w:color w:val="141F30"/>
          <w:sz w:val="21"/>
        </w:rPr>
        <w:t>任务执行风险：Vigoride-7 后续 payload operations、轨道操作、客户验收和任务寿命都可能出现问题。</w:t>
      </w:r>
    </w:p>
    <w:p>
      <w:pPr>
        <w:pStyle w:val="ListBullet"/>
        <w:spacing w:after="80" w:line="280" w:lineRule="auto"/>
        <w:ind w:left="720" w:hanging="360"/>
      </w:pPr>
      <w:r>
        <w:rPr>
          <w:rFonts w:ascii="Calibri" w:hAnsi="Calibri" w:eastAsia="Microsoft YaHei"/>
          <w:b w:val="0"/>
          <w:color w:val="141F30"/>
          <w:sz w:val="21"/>
        </w:rPr>
        <w:t>收入规模风险：Q1 收入只有 321.5 万美元，即使 2026 收入达到 1,000 万美元，也远不足以覆盖当前费用。</w:t>
      </w:r>
    </w:p>
    <w:p>
      <w:pPr>
        <w:pStyle w:val="ListBullet"/>
        <w:spacing w:after="80" w:line="280" w:lineRule="auto"/>
        <w:ind w:left="720" w:hanging="360"/>
      </w:pPr>
      <w:r>
        <w:rPr>
          <w:rFonts w:ascii="Calibri" w:hAnsi="Calibri" w:eastAsia="Microsoft YaHei"/>
          <w:b w:val="0"/>
          <w:color w:val="141F30"/>
          <w:sz w:val="21"/>
        </w:rPr>
        <w:t>现金消耗风险：Q1 经营现金流流出 581.4 万美元，未来研发、任务和上市公司成本仍需现金支持。</w:t>
      </w:r>
    </w:p>
    <w:p>
      <w:pPr>
        <w:pStyle w:val="ListBullet"/>
        <w:spacing w:after="80" w:line="280" w:lineRule="auto"/>
        <w:ind w:left="720" w:hanging="360"/>
      </w:pPr>
      <w:r>
        <w:rPr>
          <w:rFonts w:ascii="Calibri" w:hAnsi="Calibri" w:eastAsia="Microsoft YaHei"/>
          <w:b w:val="0"/>
          <w:color w:val="141F30"/>
          <w:sz w:val="21"/>
        </w:rPr>
        <w:t>持续经营风险：管理层称重大疑虑暂时解除，但这依赖融资和运营计划，若市场窗口关闭可能重新出现。</w:t>
      </w:r>
    </w:p>
    <w:p>
      <w:pPr>
        <w:pStyle w:val="ListBullet"/>
        <w:spacing w:after="80" w:line="280" w:lineRule="auto"/>
        <w:ind w:left="720" w:hanging="360"/>
      </w:pPr>
      <w:r>
        <w:rPr>
          <w:rFonts w:ascii="Calibri" w:hAnsi="Calibri" w:eastAsia="Microsoft YaHei"/>
          <w:b w:val="0"/>
          <w:color w:val="141F30"/>
          <w:sz w:val="21"/>
        </w:rPr>
        <w:t>退市/合规风险：公司历史上曾收到 Nasdaq 合规/报表相关通知，小盘高波动公司需持续关注上市合规。</w:t>
      </w:r>
    </w:p>
    <w:p>
      <w:pPr>
        <w:pStyle w:val="ListBullet"/>
        <w:spacing w:after="80" w:line="280" w:lineRule="auto"/>
        <w:ind w:left="720" w:hanging="360"/>
      </w:pPr>
      <w:r>
        <w:rPr>
          <w:rFonts w:ascii="Calibri" w:hAnsi="Calibri" w:eastAsia="Microsoft YaHei"/>
          <w:b w:val="0"/>
          <w:color w:val="141F30"/>
          <w:sz w:val="21"/>
        </w:rPr>
        <w:t>竞争风险：客户可选择其他空间拖船、专线发射、自带推进或成熟卫星平台。</w:t>
      </w:r>
    </w:p>
    <w:p>
      <w:pPr>
        <w:pStyle w:val="ListBullet"/>
        <w:spacing w:after="80" w:line="280" w:lineRule="auto"/>
        <w:ind w:left="720" w:hanging="360"/>
      </w:pPr>
      <w:r>
        <w:rPr>
          <w:rFonts w:ascii="Calibri" w:hAnsi="Calibri" w:eastAsia="Microsoft YaHei"/>
          <w:b w:val="0"/>
          <w:color w:val="141F30"/>
          <w:sz w:val="21"/>
        </w:rPr>
        <w:t>政府预算和合同风险：有权竞争合同车不等于实际中标，预算、政治和验收都可能影响收入。</w:t>
      </w:r>
    </w:p>
    <w:p>
      <w:pPr>
        <w:pStyle w:val="ListBullet"/>
        <w:spacing w:after="80" w:line="280" w:lineRule="auto"/>
        <w:ind w:left="720" w:hanging="360"/>
      </w:pPr>
      <w:r>
        <w:rPr>
          <w:rFonts w:ascii="Calibri" w:hAnsi="Calibri" w:eastAsia="Microsoft YaHei"/>
          <w:b w:val="0"/>
          <w:color w:val="141F30"/>
          <w:sz w:val="21"/>
        </w:rPr>
        <w:t>股价情绪风险：近期股价受 SpaceX IPO 和航天板块情绪影响很大，可能与基本面脱节。</w:t>
      </w:r>
    </w:p>
    <w:p>
      <w:pPr>
        <w:pStyle w:val="ListBullet"/>
        <w:spacing w:after="80" w:line="280" w:lineRule="auto"/>
        <w:ind w:left="720" w:hanging="360"/>
      </w:pPr>
      <w:r>
        <w:rPr>
          <w:rFonts w:ascii="Calibri" w:hAnsi="Calibri" w:eastAsia="Microsoft YaHei"/>
          <w:b w:val="0"/>
          <w:color w:val="141F30"/>
          <w:sz w:val="21"/>
        </w:rPr>
        <w:t>分析师目标价失真风险：反向拆股和历史价格调整会让部分目标价/涨幅看起来异常，不能机械引用。</w:t>
      </w:r>
    </w:p>
    <w:p>
      <w:pPr>
        <w:pStyle w:val="Heading1"/>
      </w:pPr>
      <w:r>
        <w:t>十二、跟踪指标与资料来源</w:t>
      </w:r>
    </w:p>
    <w:p>
      <w:pPr>
        <w:pStyle w:val="Heading2"/>
      </w:pPr>
      <w:r>
        <w:t>12.1 后续重点跟踪指标</w:t>
      </w:r>
    </w:p>
    <w:p>
      <w:pPr>
        <w:pStyle w:val="ListBullet"/>
        <w:spacing w:after="80" w:line="280" w:lineRule="auto"/>
        <w:ind w:left="720" w:hanging="360"/>
      </w:pPr>
      <w:r>
        <w:rPr>
          <w:rFonts w:ascii="Calibri" w:hAnsi="Calibri" w:eastAsia="Microsoft YaHei"/>
          <w:b w:val="0"/>
          <w:color w:val="141F30"/>
          <w:sz w:val="21"/>
        </w:rPr>
        <w:t>Vigoride-7 是否完成轨道调整、payload operations 和客户验收。</w:t>
      </w:r>
    </w:p>
    <w:p>
      <w:pPr>
        <w:pStyle w:val="ListBullet"/>
        <w:spacing w:after="80" w:line="280" w:lineRule="auto"/>
        <w:ind w:left="720" w:hanging="360"/>
      </w:pPr>
      <w:r>
        <w:rPr>
          <w:rFonts w:ascii="Calibri" w:hAnsi="Calibri" w:eastAsia="Microsoft YaHei"/>
          <w:b w:val="0"/>
          <w:color w:val="141F30"/>
          <w:sz w:val="21"/>
        </w:rPr>
        <w:t>Vigoride-8 是否完成 Critical Design Review、制造集成并按 2027 年初计划发射。</w:t>
      </w:r>
    </w:p>
    <w:p>
      <w:pPr>
        <w:pStyle w:val="ListBullet"/>
        <w:spacing w:after="80" w:line="280" w:lineRule="auto"/>
        <w:ind w:left="720" w:hanging="360"/>
      </w:pPr>
      <w:r>
        <w:rPr>
          <w:rFonts w:ascii="Calibri" w:hAnsi="Calibri" w:eastAsia="Microsoft YaHei"/>
          <w:b w:val="0"/>
          <w:color w:val="141F30"/>
          <w:sz w:val="21"/>
        </w:rPr>
        <w:t>2026 收入是否向公司预测的 1,000 万美元推进，且收入是否连续季度增长。</w:t>
      </w:r>
    </w:p>
    <w:p>
      <w:pPr>
        <w:pStyle w:val="ListBullet"/>
        <w:spacing w:after="80" w:line="280" w:lineRule="auto"/>
        <w:ind w:left="720" w:hanging="360"/>
      </w:pPr>
      <w:r>
        <w:rPr>
          <w:rFonts w:ascii="Calibri" w:hAnsi="Calibri" w:eastAsia="Microsoft YaHei"/>
          <w:b w:val="0"/>
          <w:color w:val="141F30"/>
          <w:sz w:val="21"/>
        </w:rPr>
        <w:t>NASA、DARPA、AFRL SpaceWERX、SDA、MDA 等合同是否披露明确金额、funded backlog 和里程碑。</w:t>
      </w:r>
    </w:p>
    <w:p>
      <w:pPr>
        <w:pStyle w:val="ListBullet"/>
        <w:spacing w:after="80" w:line="280" w:lineRule="auto"/>
        <w:ind w:left="720" w:hanging="360"/>
      </w:pPr>
      <w:r>
        <w:rPr>
          <w:rFonts w:ascii="Calibri" w:hAnsi="Calibri" w:eastAsia="Microsoft YaHei"/>
          <w:b w:val="0"/>
          <w:color w:val="141F30"/>
          <w:sz w:val="21"/>
        </w:rPr>
        <w:t>现金、短期投资、经营现金流、burn rate 和 runway 是否维持 12 个月以上。</w:t>
      </w:r>
    </w:p>
    <w:p>
      <w:pPr>
        <w:pStyle w:val="ListBullet"/>
        <w:spacing w:after="80" w:line="280" w:lineRule="auto"/>
        <w:ind w:left="720" w:hanging="360"/>
      </w:pPr>
      <w:r>
        <w:rPr>
          <w:rFonts w:ascii="Calibri" w:hAnsi="Calibri" w:eastAsia="Microsoft YaHei"/>
          <w:b w:val="0"/>
          <w:color w:val="141F30"/>
          <w:sz w:val="21"/>
        </w:rPr>
        <w:t>股数、ATM、shelf registration、warrants、pre-funded warrants 和 cash per share 变化。</w:t>
      </w:r>
    </w:p>
    <w:p>
      <w:pPr>
        <w:pStyle w:val="ListBullet"/>
        <w:spacing w:after="80" w:line="280" w:lineRule="auto"/>
        <w:ind w:left="720" w:hanging="360"/>
      </w:pPr>
      <w:r>
        <w:rPr>
          <w:rFonts w:ascii="Calibri" w:hAnsi="Calibri" w:eastAsia="Microsoft YaHei"/>
          <w:b w:val="0"/>
          <w:color w:val="141F30"/>
          <w:sz w:val="21"/>
        </w:rPr>
        <w:t>合同负债和应收账款是否健康转化为收入和现金。</w:t>
      </w:r>
    </w:p>
    <w:p>
      <w:pPr>
        <w:pStyle w:val="ListBullet"/>
        <w:spacing w:after="80" w:line="280" w:lineRule="auto"/>
        <w:ind w:left="720" w:hanging="360"/>
      </w:pPr>
      <w:r>
        <w:rPr>
          <w:rFonts w:ascii="Calibri" w:hAnsi="Calibri" w:eastAsia="Microsoft YaHei"/>
          <w:b w:val="0"/>
          <w:color w:val="141F30"/>
          <w:sz w:val="21"/>
        </w:rPr>
        <w:t>NASDAQ 合规、SEC filings 是否及时提交。</w:t>
      </w:r>
    </w:p>
    <w:p>
      <w:pPr>
        <w:pStyle w:val="ListBullet"/>
        <w:spacing w:after="80" w:line="280" w:lineRule="auto"/>
        <w:ind w:left="720" w:hanging="360"/>
      </w:pPr>
      <w:r>
        <w:rPr>
          <w:rFonts w:ascii="Calibri" w:hAnsi="Calibri" w:eastAsia="Microsoft YaHei"/>
          <w:b w:val="0"/>
          <w:color w:val="141F30"/>
          <w:sz w:val="21"/>
        </w:rPr>
        <w:t>与 RKLB、LUNR、RDW、ASTS、SPCE、SATL 等商业航天股的相对强弱。</w:t>
      </w:r>
    </w:p>
    <w:p>
      <w:pPr>
        <w:pStyle w:val="ListBullet"/>
        <w:spacing w:after="80" w:line="280" w:lineRule="auto"/>
        <w:ind w:left="720" w:hanging="360"/>
      </w:pPr>
      <w:r>
        <w:rPr>
          <w:rFonts w:ascii="Calibri" w:hAnsi="Calibri" w:eastAsia="Microsoft YaHei"/>
          <w:b w:val="0"/>
          <w:color w:val="141F30"/>
          <w:sz w:val="21"/>
        </w:rPr>
        <w:t>商业航天主题热度：SpaceX IPO、Golden Dome、NASA/DoD 预算和航天 ETF 资金流。</w:t>
      </w:r>
    </w:p>
    <w:p>
      <w:pPr>
        <w:pStyle w:val="Heading2"/>
      </w:pPr>
      <w:r>
        <w:t>12.2 最终研究结论</w:t>
      </w:r>
    </w:p>
    <w:p>
      <w:pPr>
        <w:pStyle w:val="ListBullet"/>
        <w:spacing w:after="80" w:line="280" w:lineRule="auto"/>
        <w:ind w:left="720" w:hanging="360"/>
      </w:pPr>
      <w:r>
        <w:rPr>
          <w:rFonts w:ascii="Calibri" w:hAnsi="Calibri" w:eastAsia="Microsoft YaHei"/>
          <w:b w:val="0"/>
          <w:color w:val="141F30"/>
          <w:sz w:val="21"/>
        </w:rPr>
        <w:t>MNTS 是商业航天高风险期权，不是已经验证的瓶颈股。</w:t>
      </w:r>
    </w:p>
    <w:p>
      <w:pPr>
        <w:pStyle w:val="ListBullet"/>
        <w:spacing w:after="80" w:line="280" w:lineRule="auto"/>
        <w:ind w:left="720" w:hanging="360"/>
      </w:pPr>
      <w:r>
        <w:rPr>
          <w:rFonts w:ascii="Calibri" w:hAnsi="Calibri" w:eastAsia="Microsoft YaHei"/>
          <w:b w:val="0"/>
          <w:color w:val="141F30"/>
          <w:sz w:val="21"/>
        </w:rPr>
        <w:t>积极变化是融资改善、债务转换、Vigoride-7 任务进展、Vigoride-8 pipeline 和政府客户关系。</w:t>
      </w:r>
    </w:p>
    <w:p>
      <w:pPr>
        <w:pStyle w:val="ListBullet"/>
        <w:spacing w:after="80" w:line="280" w:lineRule="auto"/>
        <w:ind w:left="720" w:hanging="360"/>
      </w:pPr>
      <w:r>
        <w:rPr>
          <w:rFonts w:ascii="Calibri" w:hAnsi="Calibri" w:eastAsia="Microsoft YaHei"/>
          <w:b w:val="0"/>
          <w:color w:val="141F30"/>
          <w:sz w:val="21"/>
        </w:rPr>
        <w:t>核心问题是收入太小、亏损仍大、股数快速稀释、任务成功历史有限。</w:t>
      </w:r>
    </w:p>
    <w:p>
      <w:pPr>
        <w:pStyle w:val="ListBullet"/>
        <w:spacing w:after="80" w:line="280" w:lineRule="auto"/>
        <w:ind w:left="720" w:hanging="360"/>
      </w:pPr>
      <w:r>
        <w:rPr>
          <w:rFonts w:ascii="Calibri" w:hAnsi="Calibri" w:eastAsia="Microsoft YaHei"/>
          <w:b w:val="0"/>
          <w:color w:val="141F30"/>
          <w:sz w:val="21"/>
        </w:rPr>
        <w:t>若 2026 收入目标兑现、Vigoride-7/8 连续成功、政府合同金额放大，MNTS 才可能从困境修复股升级为航天基础设施小盘成长股。</w:t>
      </w:r>
    </w:p>
    <w:p>
      <w:pPr>
        <w:pStyle w:val="ListBullet"/>
        <w:spacing w:after="80" w:line="280" w:lineRule="auto"/>
        <w:ind w:left="720" w:hanging="360"/>
      </w:pPr>
      <w:r>
        <w:rPr>
          <w:rFonts w:ascii="Calibri" w:hAnsi="Calibri" w:eastAsia="Microsoft YaHei"/>
          <w:b w:val="0"/>
          <w:color w:val="141F30"/>
          <w:sz w:val="21"/>
        </w:rPr>
        <w:t>当前更适合放入“商业航天高弹性观察池”，而不是稳健核心仓位。</w:t>
      </w:r>
    </w:p>
    <w:p>
      <w:pPr>
        <w:pStyle w:val="Heading2"/>
      </w:pPr>
      <w:r>
        <w:t>资料来源</w:t>
      </w:r>
    </w:p>
    <w:p>
      <w:pPr>
        <w:spacing w:after="80" w:line="252" w:lineRule="auto"/>
      </w:pPr>
      <w:r>
        <w:rPr>
          <w:rFonts w:ascii="Calibri" w:hAnsi="Calibri" w:eastAsia="Microsoft YaHei"/>
          <w:b w:val="0"/>
          <w:color w:val="585858"/>
          <w:sz w:val="18"/>
        </w:rPr>
        <w:t>Momentus Q1 2026 Form 10-Q, filed May 13, 2026. https://www.sec.gov/Archives/edgar/data/1781162/000162828026034490/mnts-20260331.htm</w:t>
      </w:r>
    </w:p>
    <w:p>
      <w:pPr>
        <w:spacing w:after="80" w:line="252" w:lineRule="auto"/>
      </w:pPr>
      <w:r>
        <w:rPr>
          <w:rFonts w:ascii="Calibri" w:hAnsi="Calibri" w:eastAsia="Microsoft YaHei"/>
          <w:b w:val="0"/>
          <w:color w:val="585858"/>
          <w:sz w:val="18"/>
        </w:rPr>
        <w:t>Momentus Publishes Letter to Shareholders Highlighting Progress, May 5, 2026. https://www.businesswire.com/news/home/20260505776152/en/Momentus-Publishes-Letter-to-Shareholders-Highlighting-Progress/</w:t>
      </w:r>
    </w:p>
    <w:p>
      <w:pPr>
        <w:spacing w:after="80" w:line="252" w:lineRule="auto"/>
      </w:pPr>
      <w:r>
        <w:rPr>
          <w:rFonts w:ascii="Calibri" w:hAnsi="Calibri" w:eastAsia="Microsoft YaHei"/>
          <w:b w:val="0"/>
          <w:color w:val="585858"/>
          <w:sz w:val="18"/>
        </w:rPr>
        <w:t>Fully Booked Momentus Mission Advances Through Preliminary Design Review, Apr. 29, 2026. https://www.businesswire.com/news/home/20260429139405/en/Fully-Booked-Momentus-Mission-Advances-Through-Preliminary-Design-Review-Driving-Toward-2027-Launch-Under-NASA-Contracts/</w:t>
      </w:r>
    </w:p>
    <w:p>
      <w:pPr>
        <w:spacing w:after="80" w:line="252" w:lineRule="auto"/>
      </w:pPr>
      <w:r>
        <w:rPr>
          <w:rFonts w:ascii="Calibri" w:hAnsi="Calibri" w:eastAsia="Microsoft YaHei"/>
          <w:b w:val="0"/>
          <w:color w:val="585858"/>
          <w:sz w:val="18"/>
        </w:rPr>
        <w:t>Vigoride-7 Fires All Thrusters and Clears Key Milestones, Apr. 13, 2026. https://www.businesswire.com/news/home/20260413544729/en/Vigoride-7-Fires-All-Thrusters-and-Clears-Key-Milestones/</w:t>
      </w:r>
    </w:p>
    <w:p>
      <w:pPr>
        <w:spacing w:after="80" w:line="252" w:lineRule="auto"/>
      </w:pPr>
      <w:r>
        <w:rPr>
          <w:rFonts w:ascii="Calibri" w:hAnsi="Calibri" w:eastAsia="Microsoft YaHei"/>
          <w:b w:val="0"/>
          <w:color w:val="585858"/>
          <w:sz w:val="18"/>
        </w:rPr>
        <w:t>Momentus Announces Pricing of a $25 Million Private Placement, May 27, 2026. https://www.businesswire.com/news/home/20260527480200/en/Momentus-Announces-Pricing-of-a-25-Million-Private-Placement-of-Common-Stock-Priced-At-The-Market-Under-Nasdaq-Rules-with-Existing-Fundamental-Institutional-Investors/</w:t>
      </w:r>
    </w:p>
    <w:p>
      <w:pPr>
        <w:spacing w:after="80" w:line="252" w:lineRule="auto"/>
      </w:pPr>
      <w:r>
        <w:rPr>
          <w:rFonts w:ascii="Calibri" w:hAnsi="Calibri" w:eastAsia="Microsoft YaHei"/>
          <w:b w:val="0"/>
          <w:color w:val="585858"/>
          <w:sz w:val="18"/>
        </w:rPr>
        <w:t>MarketWatch: Momentus stock nearly triples in 2 days as the space company raises more cash, May 27, 2026. https://www.marketwatch.com/story/momentuss-stock-nearly-triples-in-2-days-as-the-space-company-raises-more-cash-from-investors-b2c9a088</w:t>
      </w:r>
    </w:p>
    <w:p>
      <w:pPr>
        <w:spacing w:after="80" w:line="252" w:lineRule="auto"/>
      </w:pPr>
      <w:r>
        <w:rPr>
          <w:rFonts w:ascii="Calibri" w:hAnsi="Calibri" w:eastAsia="Microsoft YaHei"/>
          <w:b w:val="0"/>
          <w:color w:val="585858"/>
          <w:sz w:val="18"/>
        </w:rPr>
        <w:t>StockAnalysis MNTS overview and financials, checked Jun. 12, 2026. https://stockanalysis.com/stocks/mnts/</w:t>
      </w:r>
    </w:p>
    <w:p>
      <w:pPr>
        <w:spacing w:after="80" w:line="252" w:lineRule="auto"/>
      </w:pPr>
      <w:r>
        <w:rPr>
          <w:rFonts w:ascii="Calibri" w:hAnsi="Calibri" w:eastAsia="Microsoft YaHei"/>
          <w:b w:val="0"/>
          <w:color w:val="585858"/>
          <w:sz w:val="18"/>
        </w:rPr>
        <w:t>StockAnalysis MNTS financial statements and balance sheet, checked Jun. 12, 2026. https://stockanalysis.com/stocks/mnts/financials/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585858"/>
        <w:sz w:val="18"/>
      </w:rPr>
      <w:t>仅供研究参考，不构成投资建议</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