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color w:val="141F30"/>
          <w:sz w:val="44"/>
        </w:rPr>
        <w:t>Intuitive Surgical（ISRG）深度研究报告</w:t>
      </w:r>
    </w:p>
    <w:p>
      <w:pPr>
        <w:jc w:val="center"/>
      </w:pPr>
      <w:r>
        <w:rPr>
          <w:color w:val="585858"/>
          <w:sz w:val="24"/>
        </w:rPr>
        <w:t>手术机器人平台、财务质量、估值框架与竞争护城河分析</w:t>
      </w:r>
    </w:p>
    <w:tbl>
      <w:tblPr>
        <w:tblStyle w:val="TableGrid"/>
        <w:tblW w:type="dxa" w:w="9360"/>
        <w:jc w:val="center"/>
        <w:tblLook w:firstColumn="1" w:firstRow="1" w:lastColumn="0" w:lastRow="0" w:noHBand="0" w:noVBand="1" w:val="04A0"/>
        <w:tblInd w:w="120" w:type="dxa"/>
      </w:tblPr>
      <w:tblGrid>
        <w:gridCol w:w="2200"/>
        <w:gridCol w:w="7160"/>
      </w:tblGrid>
      <w:tr>
        <w:trPr>
          <w:tblHeader w:val="true"/>
        </w:trPr>
        <w:tc>
          <w:tcPr>
            <w:tcW w:type="dxa" w:w="2200"/>
            <w:shd w:fill="E8EEF5"/>
            <w:tcMar>
              <w:top w:w="80" w:type="dxa"/>
              <w:bottom w:w="80" w:type="dxa"/>
              <w:start w:w="120" w:type="dxa"/>
              <w:end w:w="120" w:type="dxa"/>
            </w:tcMar>
            <w:vAlign w:val="center"/>
          </w:tcPr>
          <w:p>
            <w:pPr>
              <w:jc w:val="center"/>
            </w:pPr>
            <w:r>
              <w:rPr>
                <w:b/>
                <w:sz w:val="19"/>
              </w:rPr>
              <w:t>报告要素</w:t>
            </w:r>
          </w:p>
        </w:tc>
        <w:tc>
          <w:tcPr>
            <w:tcW w:type="dxa" w:w="7160"/>
            <w:shd w:fill="E8EEF5"/>
            <w:tcMar>
              <w:top w:w="80" w:type="dxa"/>
              <w:bottom w:w="80" w:type="dxa"/>
              <w:start w:w="120" w:type="dxa"/>
              <w:end w:w="120" w:type="dxa"/>
            </w:tcMar>
            <w:vAlign w:val="center"/>
          </w:tcPr>
          <w:p>
            <w:pPr>
              <w:jc w:val="center"/>
            </w:pPr>
            <w:r>
              <w:rPr>
                <w:b/>
                <w:sz w:val="19"/>
              </w:rPr>
              <w:t>内容</w:t>
            </w:r>
          </w:p>
        </w:tc>
      </w:tr>
      <w:tr>
        <w:tc>
          <w:tcPr>
            <w:tcW w:type="dxa" w:w="2200"/>
            <w:tcMar>
              <w:top w:w="80" w:type="dxa"/>
              <w:bottom w:w="80" w:type="dxa"/>
              <w:start w:w="120" w:type="dxa"/>
              <w:end w:w="120" w:type="dxa"/>
            </w:tcMar>
            <w:vAlign w:val="center"/>
          </w:tcPr>
          <w:p>
            <w:pPr>
              <w:jc w:val="center"/>
            </w:pPr>
            <w:r>
              <w:rPr>
                <w:sz w:val="19"/>
              </w:rPr>
              <w:t>公司</w:t>
            </w:r>
          </w:p>
        </w:tc>
        <w:tc>
          <w:tcPr>
            <w:tcW w:type="dxa" w:w="7160"/>
            <w:tcMar>
              <w:top w:w="80" w:type="dxa"/>
              <w:bottom w:w="80" w:type="dxa"/>
              <w:start w:w="120" w:type="dxa"/>
              <w:end w:w="120" w:type="dxa"/>
            </w:tcMar>
            <w:vAlign w:val="center"/>
          </w:tcPr>
          <w:p>
            <w:pPr>
              <w:jc w:val="left"/>
            </w:pPr>
            <w:r>
              <w:rPr>
                <w:sz w:val="19"/>
              </w:rPr>
              <w:t>Intuitive Surgical, Inc.（NASDAQ: ISRG）</w:t>
            </w:r>
          </w:p>
        </w:tc>
      </w:tr>
      <w:tr>
        <w:tc>
          <w:tcPr>
            <w:tcW w:type="dxa" w:w="2200"/>
            <w:tcMar>
              <w:top w:w="80" w:type="dxa"/>
              <w:bottom w:w="80" w:type="dxa"/>
              <w:start w:w="120" w:type="dxa"/>
              <w:end w:w="120" w:type="dxa"/>
            </w:tcMar>
            <w:vAlign w:val="center"/>
          </w:tcPr>
          <w:p>
            <w:pPr>
              <w:jc w:val="center"/>
            </w:pPr>
            <w:r>
              <w:rPr>
                <w:sz w:val="19"/>
              </w:rPr>
              <w:t>研究对象</w:t>
            </w:r>
          </w:p>
        </w:tc>
        <w:tc>
          <w:tcPr>
            <w:tcW w:type="dxa" w:w="7160"/>
            <w:tcMar>
              <w:top w:w="80" w:type="dxa"/>
              <w:bottom w:w="80" w:type="dxa"/>
              <w:start w:w="120" w:type="dxa"/>
              <w:end w:w="120" w:type="dxa"/>
            </w:tcMar>
            <w:vAlign w:val="center"/>
          </w:tcPr>
          <w:p>
            <w:pPr>
              <w:jc w:val="left"/>
            </w:pPr>
            <w:r>
              <w:rPr>
                <w:sz w:val="19"/>
              </w:rPr>
              <w:t>达芬奇手术机器人、Ion 肺部活检平台、耗材服务和医院生态</w:t>
            </w:r>
          </w:p>
        </w:tc>
      </w:tr>
      <w:tr>
        <w:tc>
          <w:tcPr>
            <w:tcW w:type="dxa" w:w="2200"/>
            <w:tcMar>
              <w:top w:w="80" w:type="dxa"/>
              <w:bottom w:w="80" w:type="dxa"/>
              <w:start w:w="120" w:type="dxa"/>
              <w:end w:w="120" w:type="dxa"/>
            </w:tcMar>
            <w:vAlign w:val="center"/>
          </w:tcPr>
          <w:p>
            <w:pPr>
              <w:jc w:val="center"/>
            </w:pPr>
            <w:r>
              <w:rPr>
                <w:sz w:val="19"/>
              </w:rPr>
              <w:t>报告日期</w:t>
            </w:r>
          </w:p>
        </w:tc>
        <w:tc>
          <w:tcPr>
            <w:tcW w:type="dxa" w:w="7160"/>
            <w:tcMar>
              <w:top w:w="80" w:type="dxa"/>
              <w:bottom w:w="80" w:type="dxa"/>
              <w:start w:w="120" w:type="dxa"/>
              <w:end w:w="120" w:type="dxa"/>
            </w:tcMar>
            <w:vAlign w:val="center"/>
          </w:tcPr>
          <w:p>
            <w:pPr>
              <w:jc w:val="left"/>
            </w:pPr>
            <w:r>
              <w:rPr>
                <w:sz w:val="19"/>
              </w:rPr>
              <w:t>2026-06-06</w:t>
            </w:r>
          </w:p>
        </w:tc>
      </w:tr>
      <w:tr>
        <w:tc>
          <w:tcPr>
            <w:tcW w:type="dxa" w:w="2200"/>
            <w:tcMar>
              <w:top w:w="80" w:type="dxa"/>
              <w:bottom w:w="80" w:type="dxa"/>
              <w:start w:w="120" w:type="dxa"/>
              <w:end w:w="120" w:type="dxa"/>
            </w:tcMar>
            <w:vAlign w:val="center"/>
          </w:tcPr>
          <w:p>
            <w:pPr>
              <w:jc w:val="center"/>
            </w:pPr>
            <w:r>
              <w:rPr>
                <w:sz w:val="19"/>
              </w:rPr>
              <w:t>核心问题</w:t>
            </w:r>
          </w:p>
        </w:tc>
        <w:tc>
          <w:tcPr>
            <w:tcW w:type="dxa" w:w="7160"/>
            <w:tcMar>
              <w:top w:w="80" w:type="dxa"/>
              <w:bottom w:w="80" w:type="dxa"/>
              <w:start w:w="120" w:type="dxa"/>
              <w:end w:w="120" w:type="dxa"/>
            </w:tcMar>
            <w:vAlign w:val="center"/>
          </w:tcPr>
          <w:p>
            <w:pPr>
              <w:jc w:val="left"/>
            </w:pPr>
            <w:r>
              <w:rPr>
                <w:sz w:val="19"/>
              </w:rPr>
              <w:t>ISRG 是否仍是纯机器人赛道中财务质量最高、护城河最深的龙头</w:t>
            </w:r>
          </w:p>
        </w:tc>
      </w:tr>
      <w:tr>
        <w:tc>
          <w:tcPr>
            <w:tcW w:type="dxa" w:w="2200"/>
            <w:tcMar>
              <w:top w:w="80" w:type="dxa"/>
              <w:bottom w:w="80" w:type="dxa"/>
              <w:start w:w="120" w:type="dxa"/>
              <w:end w:w="120" w:type="dxa"/>
            </w:tcMar>
            <w:vAlign w:val="center"/>
          </w:tcPr>
          <w:p>
            <w:pPr>
              <w:jc w:val="center"/>
            </w:pPr>
            <w:r>
              <w:rPr>
                <w:sz w:val="19"/>
              </w:rPr>
              <w:t>强化内容</w:t>
            </w:r>
          </w:p>
        </w:tc>
        <w:tc>
          <w:tcPr>
            <w:tcW w:type="dxa" w:w="7160"/>
            <w:tcMar>
              <w:top w:w="80" w:type="dxa"/>
              <w:bottom w:w="80" w:type="dxa"/>
              <w:start w:w="120" w:type="dxa"/>
              <w:end w:w="120" w:type="dxa"/>
            </w:tcMar>
            <w:vAlign w:val="center"/>
          </w:tcPr>
          <w:p>
            <w:pPr>
              <w:jc w:val="left"/>
            </w:pPr>
            <w:r>
              <w:rPr>
                <w:sz w:val="19"/>
              </w:rPr>
              <w:t>本报告沿用项目内深度研报结构，并显著强化财务拆解、现金流质量、相对估值、DCF 情景估值与竞争对比</w:t>
            </w:r>
          </w:p>
        </w:tc>
      </w:tr>
      <w:tr>
        <w:tc>
          <w:tcPr>
            <w:tcW w:type="dxa" w:w="2200"/>
            <w:tcMar>
              <w:top w:w="80" w:type="dxa"/>
              <w:bottom w:w="80" w:type="dxa"/>
              <w:start w:w="120" w:type="dxa"/>
              <w:end w:w="120" w:type="dxa"/>
            </w:tcMar>
            <w:vAlign w:val="center"/>
          </w:tcPr>
          <w:p>
            <w:pPr>
              <w:jc w:val="center"/>
            </w:pPr>
            <w:r>
              <w:rPr>
                <w:sz w:val="19"/>
              </w:rPr>
              <w:t>估值口径</w:t>
            </w:r>
          </w:p>
        </w:tc>
        <w:tc>
          <w:tcPr>
            <w:tcW w:type="dxa" w:w="7160"/>
            <w:tcMar>
              <w:top w:w="80" w:type="dxa"/>
              <w:bottom w:w="80" w:type="dxa"/>
              <w:start w:w="120" w:type="dxa"/>
              <w:end w:w="120" w:type="dxa"/>
            </w:tcMar>
            <w:vAlign w:val="center"/>
          </w:tcPr>
          <w:p>
            <w:pPr>
              <w:jc w:val="left"/>
            </w:pPr>
            <w:r>
              <w:rPr>
                <w:sz w:val="19"/>
              </w:rPr>
              <w:t>市场价格和市值为 2026-06-04 前后第三方行情口径，实际交易前需用最新行情重算</w:t>
            </w:r>
          </w:p>
        </w:tc>
      </w:tr>
    </w:tbl>
    <w:p/>
    <w:p>
      <w:pPr>
        <w:spacing w:after="120" w:line="264" w:lineRule="auto"/>
      </w:pPr>
      <w:r>
        <w:rPr>
          <w:sz w:val="22"/>
        </w:rPr>
        <w:t>免责声明：本报告仅用于研究和信息参考，不构成任何投资建议、买卖建议或收益承诺。ISRG 估值和股价受手术量增长、医院资本开支、达芬奇系统换代、监管审批、竞争格局、诉讼、外汇、宏观利率和市场流动性影响较大，实际投资决策需结合实时行情和个人风险承受能力。</w:t>
      </w:r>
    </w:p>
    <w:p>
      <w:pPr>
        <w:pStyle w:val="Heading1"/>
      </w:pPr>
      <w:r>
        <w:t>一、投资结论</w:t>
      </w:r>
    </w:p>
    <w:tbl>
      <w:tblPr>
        <w:tblStyle w:val="TableGrid"/>
        <w:tblW w:type="dxa" w:w="9360"/>
        <w:jc w:val="center"/>
        <w:tblLook w:firstColumn="1" w:firstRow="1" w:lastColumn="0" w:lastRow="0" w:noHBand="0" w:noVBand="1" w:val="04A0"/>
        <w:tblInd w:w="120" w:type="dxa"/>
      </w:tblPr>
      <w:tblGrid>
        <w:gridCol w:w="9360"/>
      </w:tblGrid>
      <w:tr>
        <w:tc>
          <w:tcPr>
            <w:tcW w:type="dxa" w:w="9360"/>
            <w:shd w:fill="EFEAF7"/>
            <w:tcMar>
              <w:top w:w="80" w:type="dxa"/>
              <w:bottom w:w="80" w:type="dxa"/>
              <w:start w:w="120" w:type="dxa"/>
              <w:end w:w="120" w:type="dxa"/>
            </w:tcMar>
            <w:vAlign w:val="center"/>
          </w:tcPr>
          <w:p>
            <w:pPr>
              <w:spacing w:line="264" w:lineRule="auto"/>
            </w:pPr>
            <w:r>
              <w:rPr>
                <w:b/>
                <w:color w:val="1F4D78"/>
              </w:rPr>
              <w:t>核心判断：</w:t>
            </w:r>
            <w:r>
              <w:t xml:space="preserve"> ISRG 是美股纯机器人标的中商业模式最成熟、财务质量最高、护城河最深的公司。其本质不是单纯设备公司，而是“装机基数 + 手术量 + 耗材服务 + 医生训练 + 医院流程”的医疗机器人平台。短期主要矛盾不是公司质地，而是估值是否已充分反映高确定性。</w:t>
            </w:r>
          </w:p>
        </w:tc>
      </w:tr>
    </w:tbl>
    <w:p/>
    <w:tbl>
      <w:tblPr>
        <w:tblStyle w:val="TableGrid"/>
        <w:tblW w:type="dxa" w:w="8860"/>
        <w:jc w:val="center"/>
        <w:tblLook w:firstColumn="1" w:firstRow="1" w:lastColumn="0" w:lastRow="0" w:noHBand="0" w:noVBand="1" w:val="04A0"/>
        <w:tblInd w:w="120" w:type="dxa"/>
      </w:tblPr>
      <w:tblGrid>
        <w:gridCol w:w="1700"/>
        <w:gridCol w:w="2300"/>
        <w:gridCol w:w="4860"/>
      </w:tblGrid>
      <w:tr>
        <w:trPr>
          <w:tblHeader w:val="true"/>
        </w:trPr>
        <w:tc>
          <w:tcPr>
            <w:tcW w:type="dxa" w:w="1700"/>
            <w:shd w:fill="F2F4F7"/>
            <w:tcMar>
              <w:top w:w="80" w:type="dxa"/>
              <w:bottom w:w="80" w:type="dxa"/>
              <w:start w:w="120" w:type="dxa"/>
              <w:end w:w="120" w:type="dxa"/>
            </w:tcMar>
            <w:vAlign w:val="center"/>
          </w:tcPr>
          <w:p>
            <w:pPr>
              <w:jc w:val="center"/>
            </w:pPr>
            <w:r>
              <w:rPr>
                <w:b/>
                <w:sz w:val="19"/>
              </w:rPr>
              <w:t>维度</w:t>
            </w:r>
          </w:p>
        </w:tc>
        <w:tc>
          <w:tcPr>
            <w:tcW w:type="dxa" w:w="2300"/>
            <w:shd w:fill="F2F4F7"/>
            <w:tcMar>
              <w:top w:w="80" w:type="dxa"/>
              <w:bottom w:w="80" w:type="dxa"/>
              <w:start w:w="120" w:type="dxa"/>
              <w:end w:w="120" w:type="dxa"/>
            </w:tcMar>
            <w:vAlign w:val="center"/>
          </w:tcPr>
          <w:p>
            <w:pPr>
              <w:jc w:val="center"/>
            </w:pPr>
            <w:r>
              <w:rPr>
                <w:b/>
                <w:sz w:val="19"/>
              </w:rPr>
              <w:t>结论</w:t>
            </w:r>
          </w:p>
        </w:tc>
        <w:tc>
          <w:tcPr>
            <w:tcW w:type="dxa" w:w="4860"/>
            <w:shd w:fill="F2F4F7"/>
            <w:tcMar>
              <w:top w:w="80" w:type="dxa"/>
              <w:bottom w:w="80" w:type="dxa"/>
              <w:start w:w="120" w:type="dxa"/>
              <w:end w:w="120" w:type="dxa"/>
            </w:tcMar>
            <w:vAlign w:val="center"/>
          </w:tcPr>
          <w:p>
            <w:pPr>
              <w:jc w:val="center"/>
            </w:pPr>
            <w:r>
              <w:rPr>
                <w:b/>
                <w:sz w:val="19"/>
              </w:rPr>
              <w:t>研究含义</w:t>
            </w:r>
          </w:p>
        </w:tc>
      </w:tr>
      <w:tr>
        <w:tc>
          <w:tcPr>
            <w:tcW w:type="dxa" w:w="1700"/>
            <w:tcMar>
              <w:top w:w="80" w:type="dxa"/>
              <w:bottom w:w="80" w:type="dxa"/>
              <w:start w:w="120" w:type="dxa"/>
              <w:end w:w="120" w:type="dxa"/>
            </w:tcMar>
            <w:vAlign w:val="center"/>
          </w:tcPr>
          <w:p>
            <w:pPr>
              <w:jc w:val="center"/>
            </w:pPr>
            <w:r>
              <w:rPr>
                <w:sz w:val="19"/>
              </w:rPr>
              <w:t>业务质量</w:t>
            </w:r>
          </w:p>
        </w:tc>
        <w:tc>
          <w:tcPr>
            <w:tcW w:type="dxa" w:w="2300"/>
            <w:tcMar>
              <w:top w:w="80" w:type="dxa"/>
              <w:bottom w:w="80" w:type="dxa"/>
              <w:start w:w="120" w:type="dxa"/>
              <w:end w:w="120" w:type="dxa"/>
            </w:tcMar>
            <w:vAlign w:val="center"/>
          </w:tcPr>
          <w:p>
            <w:pPr>
              <w:jc w:val="left"/>
            </w:pPr>
            <w:r>
              <w:rPr>
                <w:sz w:val="19"/>
              </w:rPr>
              <w:t>高</w:t>
            </w:r>
          </w:p>
        </w:tc>
        <w:tc>
          <w:tcPr>
            <w:tcW w:type="dxa" w:w="4860"/>
            <w:tcMar>
              <w:top w:w="80" w:type="dxa"/>
              <w:bottom w:w="80" w:type="dxa"/>
              <w:start w:w="120" w:type="dxa"/>
              <w:end w:w="120" w:type="dxa"/>
            </w:tcMar>
            <w:vAlign w:val="center"/>
          </w:tcPr>
          <w:p>
            <w:pPr>
              <w:jc w:val="left"/>
            </w:pPr>
            <w:r>
              <w:rPr>
                <w:sz w:val="19"/>
              </w:rPr>
              <w:t>达芬奇系统形成全球装机基数和临床工作流，Ion 提供第二增长曲线</w:t>
            </w:r>
          </w:p>
        </w:tc>
      </w:tr>
      <w:tr>
        <w:tc>
          <w:tcPr>
            <w:tcW w:type="dxa" w:w="1700"/>
            <w:tcMar>
              <w:top w:w="80" w:type="dxa"/>
              <w:bottom w:w="80" w:type="dxa"/>
              <w:start w:w="120" w:type="dxa"/>
              <w:end w:w="120" w:type="dxa"/>
            </w:tcMar>
            <w:vAlign w:val="center"/>
          </w:tcPr>
          <w:p>
            <w:pPr>
              <w:jc w:val="center"/>
            </w:pPr>
            <w:r>
              <w:rPr>
                <w:sz w:val="19"/>
              </w:rPr>
              <w:t>财务质量</w:t>
            </w:r>
          </w:p>
        </w:tc>
        <w:tc>
          <w:tcPr>
            <w:tcW w:type="dxa" w:w="2300"/>
            <w:tcMar>
              <w:top w:w="80" w:type="dxa"/>
              <w:bottom w:w="80" w:type="dxa"/>
              <w:start w:w="120" w:type="dxa"/>
              <w:end w:w="120" w:type="dxa"/>
            </w:tcMar>
            <w:vAlign w:val="center"/>
          </w:tcPr>
          <w:p>
            <w:pPr>
              <w:jc w:val="left"/>
            </w:pPr>
            <w:r>
              <w:rPr>
                <w:sz w:val="19"/>
              </w:rPr>
              <w:t>很高</w:t>
            </w:r>
          </w:p>
        </w:tc>
        <w:tc>
          <w:tcPr>
            <w:tcW w:type="dxa" w:w="4860"/>
            <w:tcMar>
              <w:top w:w="80" w:type="dxa"/>
              <w:bottom w:w="80" w:type="dxa"/>
              <w:start w:w="120" w:type="dxa"/>
              <w:end w:w="120" w:type="dxa"/>
            </w:tcMar>
            <w:vAlign w:val="center"/>
          </w:tcPr>
          <w:p>
            <w:pPr>
              <w:jc w:val="left"/>
            </w:pPr>
            <w:r>
              <w:rPr>
                <w:sz w:val="19"/>
              </w:rPr>
              <w:t>高毛利、高经营利润率、净现金、经常性收入占比高，抗周期能力强</w:t>
            </w:r>
          </w:p>
        </w:tc>
      </w:tr>
      <w:tr>
        <w:tc>
          <w:tcPr>
            <w:tcW w:type="dxa" w:w="1700"/>
            <w:tcMar>
              <w:top w:w="80" w:type="dxa"/>
              <w:bottom w:w="80" w:type="dxa"/>
              <w:start w:w="120" w:type="dxa"/>
              <w:end w:w="120" w:type="dxa"/>
            </w:tcMar>
            <w:vAlign w:val="center"/>
          </w:tcPr>
          <w:p>
            <w:pPr>
              <w:jc w:val="center"/>
            </w:pPr>
            <w:r>
              <w:rPr>
                <w:sz w:val="19"/>
              </w:rPr>
              <w:t>行业护城河</w:t>
            </w:r>
          </w:p>
        </w:tc>
        <w:tc>
          <w:tcPr>
            <w:tcW w:type="dxa" w:w="2300"/>
            <w:tcMar>
              <w:top w:w="80" w:type="dxa"/>
              <w:bottom w:w="80" w:type="dxa"/>
              <w:start w:w="120" w:type="dxa"/>
              <w:end w:w="120" w:type="dxa"/>
            </w:tcMar>
            <w:vAlign w:val="center"/>
          </w:tcPr>
          <w:p>
            <w:pPr>
              <w:jc w:val="left"/>
            </w:pPr>
            <w:r>
              <w:rPr>
                <w:sz w:val="19"/>
              </w:rPr>
              <w:t>很深</w:t>
            </w:r>
          </w:p>
        </w:tc>
        <w:tc>
          <w:tcPr>
            <w:tcW w:type="dxa" w:w="4860"/>
            <w:tcMar>
              <w:top w:w="80" w:type="dxa"/>
              <w:bottom w:w="80" w:type="dxa"/>
              <w:start w:w="120" w:type="dxa"/>
              <w:end w:w="120" w:type="dxa"/>
            </w:tcMar>
            <w:vAlign w:val="center"/>
          </w:tcPr>
          <w:p>
            <w:pPr>
              <w:jc w:val="left"/>
            </w:pPr>
            <w:r>
              <w:rPr>
                <w:sz w:val="19"/>
              </w:rPr>
              <w:t>医生培训、医院转换成本、临床数据、耗材闭环和监管路径共同构成壁垒</w:t>
            </w:r>
          </w:p>
        </w:tc>
      </w:tr>
      <w:tr>
        <w:tc>
          <w:tcPr>
            <w:tcW w:type="dxa" w:w="1700"/>
            <w:tcMar>
              <w:top w:w="80" w:type="dxa"/>
              <w:bottom w:w="80" w:type="dxa"/>
              <w:start w:w="120" w:type="dxa"/>
              <w:end w:w="120" w:type="dxa"/>
            </w:tcMar>
            <w:vAlign w:val="center"/>
          </w:tcPr>
          <w:p>
            <w:pPr>
              <w:jc w:val="center"/>
            </w:pPr>
            <w:r>
              <w:rPr>
                <w:sz w:val="19"/>
              </w:rPr>
              <w:t>估值吸引力</w:t>
            </w:r>
          </w:p>
        </w:tc>
        <w:tc>
          <w:tcPr>
            <w:tcW w:type="dxa" w:w="2300"/>
            <w:tcMar>
              <w:top w:w="80" w:type="dxa"/>
              <w:bottom w:w="80" w:type="dxa"/>
              <w:start w:w="120" w:type="dxa"/>
              <w:end w:w="120" w:type="dxa"/>
            </w:tcMar>
            <w:vAlign w:val="center"/>
          </w:tcPr>
          <w:p>
            <w:pPr>
              <w:jc w:val="left"/>
            </w:pPr>
            <w:r>
              <w:rPr>
                <w:sz w:val="19"/>
              </w:rPr>
              <w:t>中性偏谨慎</w:t>
            </w:r>
          </w:p>
        </w:tc>
        <w:tc>
          <w:tcPr>
            <w:tcW w:type="dxa" w:w="4860"/>
            <w:tcMar>
              <w:top w:w="80" w:type="dxa"/>
              <w:bottom w:w="80" w:type="dxa"/>
              <w:start w:w="120" w:type="dxa"/>
              <w:end w:w="120" w:type="dxa"/>
            </w:tcMar>
            <w:vAlign w:val="center"/>
          </w:tcPr>
          <w:p>
            <w:pPr>
              <w:jc w:val="left"/>
            </w:pPr>
            <w:r>
              <w:rPr>
                <w:sz w:val="19"/>
              </w:rPr>
              <w:t>当前估值隐含长期高增长和高资本回报，安全边际取决于买入价格</w:t>
            </w:r>
          </w:p>
        </w:tc>
      </w:tr>
      <w:tr>
        <w:tc>
          <w:tcPr>
            <w:tcW w:type="dxa" w:w="1700"/>
            <w:tcMar>
              <w:top w:w="80" w:type="dxa"/>
              <w:bottom w:w="80" w:type="dxa"/>
              <w:start w:w="120" w:type="dxa"/>
              <w:end w:w="120" w:type="dxa"/>
            </w:tcMar>
            <w:vAlign w:val="center"/>
          </w:tcPr>
          <w:p>
            <w:pPr>
              <w:jc w:val="center"/>
            </w:pPr>
            <w:r>
              <w:rPr>
                <w:sz w:val="19"/>
              </w:rPr>
              <w:t>主要风险</w:t>
            </w:r>
          </w:p>
        </w:tc>
        <w:tc>
          <w:tcPr>
            <w:tcW w:type="dxa" w:w="2300"/>
            <w:tcMar>
              <w:top w:w="80" w:type="dxa"/>
              <w:bottom w:w="80" w:type="dxa"/>
              <w:start w:w="120" w:type="dxa"/>
              <w:end w:w="120" w:type="dxa"/>
            </w:tcMar>
            <w:vAlign w:val="center"/>
          </w:tcPr>
          <w:p>
            <w:pPr>
              <w:jc w:val="left"/>
            </w:pPr>
            <w:r>
              <w:rPr>
                <w:sz w:val="19"/>
              </w:rPr>
              <w:t>估值与竞争</w:t>
            </w:r>
          </w:p>
        </w:tc>
        <w:tc>
          <w:tcPr>
            <w:tcW w:type="dxa" w:w="4860"/>
            <w:tcMar>
              <w:top w:w="80" w:type="dxa"/>
              <w:bottom w:w="80" w:type="dxa"/>
              <w:start w:w="120" w:type="dxa"/>
              <w:end w:w="120" w:type="dxa"/>
            </w:tcMar>
            <w:vAlign w:val="center"/>
          </w:tcPr>
          <w:p>
            <w:pPr>
              <w:jc w:val="left"/>
            </w:pPr>
            <w:r>
              <w:rPr>
                <w:sz w:val="19"/>
              </w:rPr>
              <w:t>若手术量增速放缓、da Vinci 5 换机不及预期或竞争者获批加速，估值可能压缩</w:t>
            </w:r>
          </w:p>
        </w:tc>
      </w:tr>
    </w:tbl>
    <w:p/>
    <w:p>
      <w:pPr>
        <w:pStyle w:val="Heading2"/>
      </w:pPr>
      <w:r>
        <w:t>1.1 适合怎样的投资者</w:t>
      </w:r>
    </w:p>
    <w:p>
      <w:pPr>
        <w:pStyle w:val="ListBullet"/>
        <w:spacing w:after="80" w:line="280" w:lineRule="auto"/>
        <w:ind w:left="720" w:hanging="360"/>
      </w:pPr>
      <w:r>
        <w:t>适合：希望在纯机器人赛道中寻找已盈利、强现金流、商业模式验证充分的长期复利型标的。</w:t>
      </w:r>
    </w:p>
    <w:p>
      <w:pPr>
        <w:pStyle w:val="ListBullet"/>
        <w:spacing w:after="80" w:line="280" w:lineRule="auto"/>
        <w:ind w:left="720" w:hanging="360"/>
      </w:pPr>
      <w:r>
        <w:t>不适合：希望寻找低估值、短期爆发或机器人收入从小到大快速放量的小盘弹性标的。</w:t>
      </w:r>
    </w:p>
    <w:p>
      <w:pPr>
        <w:pStyle w:val="ListBullet"/>
        <w:spacing w:after="80" w:line="280" w:lineRule="auto"/>
        <w:ind w:left="720" w:hanging="360"/>
      </w:pPr>
      <w:r>
        <w:t>研究排序：若只看财务安全垫和产业护城河，ISRG 高于多数物流机器人、服务机器人和人形机器人概念股；若只看估值弹性，ISRG 通常不如早期公司。</w:t>
      </w:r>
    </w:p>
    <w:p>
      <w:pPr>
        <w:pStyle w:val="Heading1"/>
      </w:pPr>
      <w:r>
        <w:t>二、公司概况</w:t>
      </w:r>
    </w:p>
    <w:tbl>
      <w:tblPr>
        <w:tblStyle w:val="TableGrid"/>
        <w:tblW w:type="dxa" w:w="9360"/>
        <w:jc w:val="center"/>
        <w:tblLook w:firstColumn="1" w:firstRow="1" w:lastColumn="0" w:lastRow="0" w:noHBand="0" w:noVBand="1" w:val="04A0"/>
        <w:tblInd w:w="120" w:type="dxa"/>
      </w:tblPr>
      <w:tblGrid>
        <w:gridCol w:w="2200"/>
        <w:gridCol w:w="7160"/>
      </w:tblGrid>
      <w:tr>
        <w:trPr>
          <w:tblHeader w:val="true"/>
        </w:trPr>
        <w:tc>
          <w:tcPr>
            <w:tcW w:type="dxa" w:w="2200"/>
            <w:shd w:fill="E8EEF5"/>
            <w:tcMar>
              <w:top w:w="80" w:type="dxa"/>
              <w:bottom w:w="80" w:type="dxa"/>
              <w:start w:w="120" w:type="dxa"/>
              <w:end w:w="120" w:type="dxa"/>
            </w:tcMar>
            <w:vAlign w:val="center"/>
          </w:tcPr>
          <w:p>
            <w:pPr>
              <w:jc w:val="center"/>
            </w:pPr>
            <w:r>
              <w:rPr>
                <w:b/>
                <w:sz w:val="19"/>
              </w:rPr>
              <w:t>项目</w:t>
            </w:r>
          </w:p>
        </w:tc>
        <w:tc>
          <w:tcPr>
            <w:tcW w:type="dxa" w:w="7160"/>
            <w:shd w:fill="E8EEF5"/>
            <w:tcMar>
              <w:top w:w="80" w:type="dxa"/>
              <w:bottom w:w="80" w:type="dxa"/>
              <w:start w:w="120" w:type="dxa"/>
              <w:end w:w="120" w:type="dxa"/>
            </w:tcMar>
            <w:vAlign w:val="center"/>
          </w:tcPr>
          <w:p>
            <w:pPr>
              <w:jc w:val="center"/>
            </w:pPr>
            <w:r>
              <w:rPr>
                <w:b/>
                <w:sz w:val="19"/>
              </w:rPr>
              <w:t>内容</w:t>
            </w:r>
          </w:p>
        </w:tc>
      </w:tr>
      <w:tr>
        <w:tc>
          <w:tcPr>
            <w:tcW w:type="dxa" w:w="2200"/>
            <w:tcMar>
              <w:top w:w="80" w:type="dxa"/>
              <w:bottom w:w="80" w:type="dxa"/>
              <w:start w:w="120" w:type="dxa"/>
              <w:end w:w="120" w:type="dxa"/>
            </w:tcMar>
            <w:vAlign w:val="center"/>
          </w:tcPr>
          <w:p>
            <w:pPr>
              <w:jc w:val="center"/>
            </w:pPr>
            <w:r>
              <w:rPr>
                <w:sz w:val="19"/>
              </w:rPr>
              <w:t>成立与定位</w:t>
            </w:r>
          </w:p>
        </w:tc>
        <w:tc>
          <w:tcPr>
            <w:tcW w:type="dxa" w:w="7160"/>
            <w:tcMar>
              <w:top w:w="80" w:type="dxa"/>
              <w:bottom w:w="80" w:type="dxa"/>
              <w:start w:w="120" w:type="dxa"/>
              <w:end w:w="120" w:type="dxa"/>
            </w:tcMar>
            <w:vAlign w:val="center"/>
          </w:tcPr>
          <w:p>
            <w:pPr>
              <w:jc w:val="left"/>
            </w:pPr>
            <w:r>
              <w:rPr>
                <w:sz w:val="19"/>
              </w:rPr>
              <w:t>1995 年成立，总部位于美国加州 Sunnyvale，是全球手术机器人领域龙头</w:t>
            </w:r>
          </w:p>
        </w:tc>
      </w:tr>
      <w:tr>
        <w:tc>
          <w:tcPr>
            <w:tcW w:type="dxa" w:w="2200"/>
            <w:tcMar>
              <w:top w:w="80" w:type="dxa"/>
              <w:bottom w:w="80" w:type="dxa"/>
              <w:start w:w="120" w:type="dxa"/>
              <w:end w:w="120" w:type="dxa"/>
            </w:tcMar>
            <w:vAlign w:val="center"/>
          </w:tcPr>
          <w:p>
            <w:pPr>
              <w:jc w:val="center"/>
            </w:pPr>
            <w:r>
              <w:rPr>
                <w:sz w:val="19"/>
              </w:rPr>
              <w:t>核心平台</w:t>
            </w:r>
          </w:p>
        </w:tc>
        <w:tc>
          <w:tcPr>
            <w:tcW w:type="dxa" w:w="7160"/>
            <w:tcMar>
              <w:top w:w="80" w:type="dxa"/>
              <w:bottom w:w="80" w:type="dxa"/>
              <w:start w:w="120" w:type="dxa"/>
              <w:end w:w="120" w:type="dxa"/>
            </w:tcMar>
            <w:vAlign w:val="center"/>
          </w:tcPr>
          <w:p>
            <w:pPr>
              <w:jc w:val="left"/>
            </w:pPr>
            <w:r>
              <w:rPr>
                <w:sz w:val="19"/>
              </w:rPr>
              <w:t>da Vinci 多代手术机器人、da Vinci 5、Ion 内窥镜肺部活检系统</w:t>
            </w:r>
          </w:p>
        </w:tc>
      </w:tr>
      <w:tr>
        <w:tc>
          <w:tcPr>
            <w:tcW w:type="dxa" w:w="2200"/>
            <w:tcMar>
              <w:top w:w="80" w:type="dxa"/>
              <w:bottom w:w="80" w:type="dxa"/>
              <w:start w:w="120" w:type="dxa"/>
              <w:end w:w="120" w:type="dxa"/>
            </w:tcMar>
            <w:vAlign w:val="center"/>
          </w:tcPr>
          <w:p>
            <w:pPr>
              <w:jc w:val="center"/>
            </w:pPr>
            <w:r>
              <w:rPr>
                <w:sz w:val="19"/>
              </w:rPr>
              <w:t>收入结构</w:t>
            </w:r>
          </w:p>
        </w:tc>
        <w:tc>
          <w:tcPr>
            <w:tcW w:type="dxa" w:w="7160"/>
            <w:tcMar>
              <w:top w:w="80" w:type="dxa"/>
              <w:bottom w:w="80" w:type="dxa"/>
              <w:start w:w="120" w:type="dxa"/>
              <w:end w:w="120" w:type="dxa"/>
            </w:tcMar>
            <w:vAlign w:val="center"/>
          </w:tcPr>
          <w:p>
            <w:pPr>
              <w:jc w:val="left"/>
            </w:pPr>
            <w:r>
              <w:rPr>
                <w:sz w:val="19"/>
              </w:rPr>
              <w:t>系统销售/租赁、器械与附件、服务收入，其中器械与服务构成高复购经常性收入</w:t>
            </w:r>
          </w:p>
        </w:tc>
      </w:tr>
      <w:tr>
        <w:tc>
          <w:tcPr>
            <w:tcW w:type="dxa" w:w="2200"/>
            <w:tcMar>
              <w:top w:w="80" w:type="dxa"/>
              <w:bottom w:w="80" w:type="dxa"/>
              <w:start w:w="120" w:type="dxa"/>
              <w:end w:w="120" w:type="dxa"/>
            </w:tcMar>
            <w:vAlign w:val="center"/>
          </w:tcPr>
          <w:p>
            <w:pPr>
              <w:jc w:val="center"/>
            </w:pPr>
            <w:r>
              <w:rPr>
                <w:sz w:val="19"/>
              </w:rPr>
              <w:t>客户对象</w:t>
            </w:r>
          </w:p>
        </w:tc>
        <w:tc>
          <w:tcPr>
            <w:tcW w:type="dxa" w:w="7160"/>
            <w:tcMar>
              <w:top w:w="80" w:type="dxa"/>
              <w:bottom w:w="80" w:type="dxa"/>
              <w:start w:w="120" w:type="dxa"/>
              <w:end w:w="120" w:type="dxa"/>
            </w:tcMar>
            <w:vAlign w:val="center"/>
          </w:tcPr>
          <w:p>
            <w:pPr>
              <w:jc w:val="left"/>
            </w:pPr>
            <w:r>
              <w:rPr>
                <w:sz w:val="19"/>
              </w:rPr>
              <w:t>医院、外科医生、医疗集团和区域医疗网络</w:t>
            </w:r>
          </w:p>
        </w:tc>
      </w:tr>
      <w:tr>
        <w:tc>
          <w:tcPr>
            <w:tcW w:type="dxa" w:w="2200"/>
            <w:tcMar>
              <w:top w:w="80" w:type="dxa"/>
              <w:bottom w:w="80" w:type="dxa"/>
              <w:start w:w="120" w:type="dxa"/>
              <w:end w:w="120" w:type="dxa"/>
            </w:tcMar>
            <w:vAlign w:val="center"/>
          </w:tcPr>
          <w:p>
            <w:pPr>
              <w:jc w:val="center"/>
            </w:pPr>
            <w:r>
              <w:rPr>
                <w:sz w:val="19"/>
              </w:rPr>
              <w:t>业务本质</w:t>
            </w:r>
          </w:p>
        </w:tc>
        <w:tc>
          <w:tcPr>
            <w:tcW w:type="dxa" w:w="7160"/>
            <w:tcMar>
              <w:top w:w="80" w:type="dxa"/>
              <w:bottom w:w="80" w:type="dxa"/>
              <w:start w:w="120" w:type="dxa"/>
              <w:end w:w="120" w:type="dxa"/>
            </w:tcMar>
            <w:vAlign w:val="center"/>
          </w:tcPr>
          <w:p>
            <w:pPr>
              <w:jc w:val="left"/>
            </w:pPr>
            <w:r>
              <w:rPr>
                <w:sz w:val="19"/>
              </w:rPr>
              <w:t>以机器人装机为入口，以手术量和耗材使用实现持续变现</w:t>
            </w:r>
          </w:p>
        </w:tc>
      </w:tr>
    </w:tbl>
    <w:p/>
    <w:p>
      <w:pPr>
        <w:pStyle w:val="Heading2"/>
      </w:pPr>
      <w:r>
        <w:t>2.1 业务模式的关键变化</w:t>
      </w:r>
    </w:p>
    <w:p>
      <w:pPr>
        <w:spacing w:after="120" w:line="264" w:lineRule="auto"/>
      </w:pPr>
      <w:r>
        <w:rPr>
          <w:sz w:val="22"/>
        </w:rPr>
        <w:t>ISRG 早期更像高端资本设备公司，收入波动取决于医院是否购买达芬奇系统；随着全球装机量扩大，公司逐步变成经常性收入占主导的平台型公司。2026 Q1，公司经常性收入占比约 86%，这意味着收入增长越来越由手术量、耗材、服务和租赁驱动，而不是单纯依赖新增设备销售。</w:t>
      </w:r>
    </w:p>
    <w:p>
      <w:pPr>
        <w:spacing w:after="120" w:line="264" w:lineRule="auto"/>
      </w:pPr>
      <w:r>
        <w:rPr>
          <w:sz w:val="22"/>
        </w:rPr>
        <w:t>达芬奇系统的商业闭环是：医院安装设备后，医生需要培训和适应工作流；手术量提升后会带来器械与附件复购；服务合同维持设备运行；新一代系统再带来换机周期。这个循环让 ISRG 的收入比普通医疗设备公司更具平台属性。</w:t>
      </w:r>
    </w:p>
    <w:p>
      <w:pPr>
        <w:pStyle w:val="Heading1"/>
      </w:pPr>
      <w:r>
        <w:t>三、主营业务拆解</w:t>
      </w:r>
    </w:p>
    <w:tbl>
      <w:tblPr>
        <w:tblStyle w:val="TableGrid"/>
        <w:tblW w:type="dxa" w:w="9360"/>
        <w:jc w:val="center"/>
        <w:tblLook w:firstColumn="1" w:firstRow="1" w:lastColumn="0" w:lastRow="0" w:noHBand="0" w:noVBand="1" w:val="04A0"/>
        <w:tblInd w:w="120" w:type="dxa"/>
      </w:tblPr>
      <w:tblGrid>
        <w:gridCol w:w="1800"/>
        <w:gridCol w:w="2800"/>
        <w:gridCol w:w="2400"/>
        <w:gridCol w:w="2360"/>
      </w:tblGrid>
      <w:tr>
        <w:trPr>
          <w:tblHeader w:val="true"/>
        </w:trPr>
        <w:tc>
          <w:tcPr>
            <w:tcW w:type="dxa" w:w="1800"/>
            <w:shd w:fill="F2F4F7"/>
            <w:tcMar>
              <w:top w:w="80" w:type="dxa"/>
              <w:bottom w:w="80" w:type="dxa"/>
              <w:start w:w="120" w:type="dxa"/>
              <w:end w:w="120" w:type="dxa"/>
            </w:tcMar>
            <w:vAlign w:val="center"/>
          </w:tcPr>
          <w:p>
            <w:pPr>
              <w:jc w:val="center"/>
            </w:pPr>
            <w:r>
              <w:rPr>
                <w:b/>
                <w:sz w:val="19"/>
              </w:rPr>
              <w:t>业务线</w:t>
            </w:r>
          </w:p>
        </w:tc>
        <w:tc>
          <w:tcPr>
            <w:tcW w:type="dxa" w:w="2800"/>
            <w:shd w:fill="F2F4F7"/>
            <w:tcMar>
              <w:top w:w="80" w:type="dxa"/>
              <w:bottom w:w="80" w:type="dxa"/>
              <w:start w:w="120" w:type="dxa"/>
              <w:end w:w="120" w:type="dxa"/>
            </w:tcMar>
            <w:vAlign w:val="center"/>
          </w:tcPr>
          <w:p>
            <w:pPr>
              <w:jc w:val="center"/>
            </w:pPr>
            <w:r>
              <w:rPr>
                <w:b/>
                <w:sz w:val="19"/>
              </w:rPr>
              <w:t>核心内容</w:t>
            </w:r>
          </w:p>
        </w:tc>
        <w:tc>
          <w:tcPr>
            <w:tcW w:type="dxa" w:w="2400"/>
            <w:shd w:fill="F2F4F7"/>
            <w:tcMar>
              <w:top w:w="80" w:type="dxa"/>
              <w:bottom w:w="80" w:type="dxa"/>
              <w:start w:w="120" w:type="dxa"/>
              <w:end w:w="120" w:type="dxa"/>
            </w:tcMar>
            <w:vAlign w:val="center"/>
          </w:tcPr>
          <w:p>
            <w:pPr>
              <w:jc w:val="center"/>
            </w:pPr>
            <w:r>
              <w:rPr>
                <w:b/>
                <w:sz w:val="19"/>
              </w:rPr>
              <w:t>收入逻辑</w:t>
            </w:r>
          </w:p>
        </w:tc>
        <w:tc>
          <w:tcPr>
            <w:tcW w:type="dxa" w:w="2360"/>
            <w:shd w:fill="F2F4F7"/>
            <w:tcMar>
              <w:top w:w="80" w:type="dxa"/>
              <w:bottom w:w="80" w:type="dxa"/>
              <w:start w:w="120" w:type="dxa"/>
              <w:end w:w="120" w:type="dxa"/>
            </w:tcMar>
            <w:vAlign w:val="center"/>
          </w:tcPr>
          <w:p>
            <w:pPr>
              <w:jc w:val="center"/>
            </w:pPr>
            <w:r>
              <w:rPr>
                <w:b/>
                <w:sz w:val="19"/>
              </w:rPr>
              <w:t>跟踪指标</w:t>
            </w:r>
          </w:p>
        </w:tc>
      </w:tr>
      <w:tr>
        <w:tc>
          <w:tcPr>
            <w:tcW w:type="dxa" w:w="1800"/>
            <w:tcMar>
              <w:top w:w="80" w:type="dxa"/>
              <w:bottom w:w="80" w:type="dxa"/>
              <w:start w:w="120" w:type="dxa"/>
              <w:end w:w="120" w:type="dxa"/>
            </w:tcMar>
            <w:vAlign w:val="center"/>
          </w:tcPr>
          <w:p>
            <w:pPr>
              <w:jc w:val="center"/>
            </w:pPr>
            <w:r>
              <w:rPr>
                <w:sz w:val="19"/>
              </w:rPr>
              <w:t>da Vinci 系统</w:t>
            </w:r>
          </w:p>
        </w:tc>
        <w:tc>
          <w:tcPr>
            <w:tcW w:type="dxa" w:w="2800"/>
            <w:tcMar>
              <w:top w:w="80" w:type="dxa"/>
              <w:bottom w:w="80" w:type="dxa"/>
              <w:start w:w="120" w:type="dxa"/>
              <w:end w:w="120" w:type="dxa"/>
            </w:tcMar>
            <w:vAlign w:val="center"/>
          </w:tcPr>
          <w:p>
            <w:pPr>
              <w:jc w:val="left"/>
            </w:pPr>
            <w:r>
              <w:rPr>
                <w:sz w:val="19"/>
              </w:rPr>
              <w:t>多代手术机器人平台，包括 Xi、X、SP 和 da Vinci 5</w:t>
            </w:r>
          </w:p>
        </w:tc>
        <w:tc>
          <w:tcPr>
            <w:tcW w:type="dxa" w:w="2400"/>
            <w:tcMar>
              <w:top w:w="80" w:type="dxa"/>
              <w:bottom w:w="80" w:type="dxa"/>
              <w:start w:w="120" w:type="dxa"/>
              <w:end w:w="120" w:type="dxa"/>
            </w:tcMar>
            <w:vAlign w:val="center"/>
          </w:tcPr>
          <w:p>
            <w:pPr>
              <w:jc w:val="left"/>
            </w:pPr>
            <w:r>
              <w:rPr>
                <w:sz w:val="19"/>
              </w:rPr>
              <w:t>系统销售、租赁、换机和新增装机</w:t>
            </w:r>
          </w:p>
        </w:tc>
        <w:tc>
          <w:tcPr>
            <w:tcW w:type="dxa" w:w="2360"/>
            <w:tcMar>
              <w:top w:w="80" w:type="dxa"/>
              <w:bottom w:w="80" w:type="dxa"/>
              <w:start w:w="120" w:type="dxa"/>
              <w:end w:w="120" w:type="dxa"/>
            </w:tcMar>
            <w:vAlign w:val="center"/>
          </w:tcPr>
          <w:p>
            <w:pPr>
              <w:jc w:val="left"/>
            </w:pPr>
            <w:r>
              <w:rPr>
                <w:sz w:val="19"/>
              </w:rPr>
              <w:t>系统出货量、装机量、da Vinci 5 导入节奏</w:t>
            </w:r>
          </w:p>
        </w:tc>
      </w:tr>
      <w:tr>
        <w:tc>
          <w:tcPr>
            <w:tcW w:type="dxa" w:w="1800"/>
            <w:tcMar>
              <w:top w:w="80" w:type="dxa"/>
              <w:bottom w:w="80" w:type="dxa"/>
              <w:start w:w="120" w:type="dxa"/>
              <w:end w:w="120" w:type="dxa"/>
            </w:tcMar>
            <w:vAlign w:val="center"/>
          </w:tcPr>
          <w:p>
            <w:pPr>
              <w:jc w:val="center"/>
            </w:pPr>
            <w:r>
              <w:rPr>
                <w:sz w:val="19"/>
              </w:rPr>
              <w:t>器械与附件</w:t>
            </w:r>
          </w:p>
        </w:tc>
        <w:tc>
          <w:tcPr>
            <w:tcW w:type="dxa" w:w="2800"/>
            <w:tcMar>
              <w:top w:w="80" w:type="dxa"/>
              <w:bottom w:w="80" w:type="dxa"/>
              <w:start w:w="120" w:type="dxa"/>
              <w:end w:w="120" w:type="dxa"/>
            </w:tcMar>
            <w:vAlign w:val="center"/>
          </w:tcPr>
          <w:p>
            <w:pPr>
              <w:jc w:val="left"/>
            </w:pPr>
            <w:r>
              <w:rPr>
                <w:sz w:val="19"/>
              </w:rPr>
              <w:t>手术器械、一次性/有限次数使用附件、能源和视觉相关组件</w:t>
            </w:r>
          </w:p>
        </w:tc>
        <w:tc>
          <w:tcPr>
            <w:tcW w:type="dxa" w:w="2400"/>
            <w:tcMar>
              <w:top w:w="80" w:type="dxa"/>
              <w:bottom w:w="80" w:type="dxa"/>
              <w:start w:w="120" w:type="dxa"/>
              <w:end w:w="120" w:type="dxa"/>
            </w:tcMar>
            <w:vAlign w:val="center"/>
          </w:tcPr>
          <w:p>
            <w:pPr>
              <w:jc w:val="left"/>
            </w:pPr>
            <w:r>
              <w:rPr>
                <w:sz w:val="19"/>
              </w:rPr>
              <w:t>按手术量复购，是利润质量最高的收入来源之一</w:t>
            </w:r>
          </w:p>
        </w:tc>
        <w:tc>
          <w:tcPr>
            <w:tcW w:type="dxa" w:w="2360"/>
            <w:tcMar>
              <w:top w:w="80" w:type="dxa"/>
              <w:bottom w:w="80" w:type="dxa"/>
              <w:start w:w="120" w:type="dxa"/>
              <w:end w:w="120" w:type="dxa"/>
            </w:tcMar>
            <w:vAlign w:val="center"/>
          </w:tcPr>
          <w:p>
            <w:pPr>
              <w:jc w:val="left"/>
            </w:pPr>
            <w:r>
              <w:rPr>
                <w:sz w:val="19"/>
              </w:rPr>
              <w:t>全球手术量增长、每台系统利用率、耗材单价</w:t>
            </w:r>
          </w:p>
        </w:tc>
      </w:tr>
      <w:tr>
        <w:tc>
          <w:tcPr>
            <w:tcW w:type="dxa" w:w="1800"/>
            <w:tcMar>
              <w:top w:w="80" w:type="dxa"/>
              <w:bottom w:w="80" w:type="dxa"/>
              <w:start w:w="120" w:type="dxa"/>
              <w:end w:w="120" w:type="dxa"/>
            </w:tcMar>
            <w:vAlign w:val="center"/>
          </w:tcPr>
          <w:p>
            <w:pPr>
              <w:jc w:val="center"/>
            </w:pPr>
            <w:r>
              <w:rPr>
                <w:sz w:val="19"/>
              </w:rPr>
              <w:t>服务</w:t>
            </w:r>
          </w:p>
        </w:tc>
        <w:tc>
          <w:tcPr>
            <w:tcW w:type="dxa" w:w="2800"/>
            <w:tcMar>
              <w:top w:w="80" w:type="dxa"/>
              <w:bottom w:w="80" w:type="dxa"/>
              <w:start w:w="120" w:type="dxa"/>
              <w:end w:w="120" w:type="dxa"/>
            </w:tcMar>
            <w:vAlign w:val="center"/>
          </w:tcPr>
          <w:p>
            <w:pPr>
              <w:jc w:val="left"/>
            </w:pPr>
            <w:r>
              <w:rPr>
                <w:sz w:val="19"/>
              </w:rPr>
              <w:t>维护、培训、技术支持和服务合同</w:t>
            </w:r>
          </w:p>
        </w:tc>
        <w:tc>
          <w:tcPr>
            <w:tcW w:type="dxa" w:w="2400"/>
            <w:tcMar>
              <w:top w:w="80" w:type="dxa"/>
              <w:bottom w:w="80" w:type="dxa"/>
              <w:start w:w="120" w:type="dxa"/>
              <w:end w:w="120" w:type="dxa"/>
            </w:tcMar>
            <w:vAlign w:val="center"/>
          </w:tcPr>
          <w:p>
            <w:pPr>
              <w:jc w:val="left"/>
            </w:pPr>
            <w:r>
              <w:rPr>
                <w:sz w:val="19"/>
              </w:rPr>
              <w:t>装机基数越大，服务收入越稳定</w:t>
            </w:r>
          </w:p>
        </w:tc>
        <w:tc>
          <w:tcPr>
            <w:tcW w:type="dxa" w:w="2360"/>
            <w:tcMar>
              <w:top w:w="80" w:type="dxa"/>
              <w:bottom w:w="80" w:type="dxa"/>
              <w:start w:w="120" w:type="dxa"/>
              <w:end w:w="120" w:type="dxa"/>
            </w:tcMar>
            <w:vAlign w:val="center"/>
          </w:tcPr>
          <w:p>
            <w:pPr>
              <w:jc w:val="left"/>
            </w:pPr>
            <w:r>
              <w:rPr>
                <w:sz w:val="19"/>
              </w:rPr>
              <w:t>装机基数、服务合同续约率、区域扩张</w:t>
            </w:r>
          </w:p>
        </w:tc>
      </w:tr>
      <w:tr>
        <w:tc>
          <w:tcPr>
            <w:tcW w:type="dxa" w:w="1800"/>
            <w:tcMar>
              <w:top w:w="80" w:type="dxa"/>
              <w:bottom w:w="80" w:type="dxa"/>
              <w:start w:w="120" w:type="dxa"/>
              <w:end w:w="120" w:type="dxa"/>
            </w:tcMar>
            <w:vAlign w:val="center"/>
          </w:tcPr>
          <w:p>
            <w:pPr>
              <w:jc w:val="center"/>
            </w:pPr>
            <w:r>
              <w:rPr>
                <w:sz w:val="19"/>
              </w:rPr>
              <w:t>Ion 平台</w:t>
            </w:r>
          </w:p>
        </w:tc>
        <w:tc>
          <w:tcPr>
            <w:tcW w:type="dxa" w:w="2800"/>
            <w:tcMar>
              <w:top w:w="80" w:type="dxa"/>
              <w:bottom w:w="80" w:type="dxa"/>
              <w:start w:w="120" w:type="dxa"/>
              <w:end w:w="120" w:type="dxa"/>
            </w:tcMar>
            <w:vAlign w:val="center"/>
          </w:tcPr>
          <w:p>
            <w:pPr>
              <w:jc w:val="left"/>
            </w:pPr>
            <w:r>
              <w:rPr>
                <w:sz w:val="19"/>
              </w:rPr>
              <w:t>机器人辅助肺部外周结节活检</w:t>
            </w:r>
          </w:p>
        </w:tc>
        <w:tc>
          <w:tcPr>
            <w:tcW w:type="dxa" w:w="2400"/>
            <w:tcMar>
              <w:top w:w="80" w:type="dxa"/>
              <w:bottom w:w="80" w:type="dxa"/>
              <w:start w:w="120" w:type="dxa"/>
              <w:end w:w="120" w:type="dxa"/>
            </w:tcMar>
            <w:vAlign w:val="center"/>
          </w:tcPr>
          <w:p>
            <w:pPr>
              <w:jc w:val="left"/>
            </w:pPr>
            <w:r>
              <w:rPr>
                <w:sz w:val="19"/>
              </w:rPr>
              <w:t>系统装机与导管耗材复购</w:t>
            </w:r>
          </w:p>
        </w:tc>
        <w:tc>
          <w:tcPr>
            <w:tcW w:type="dxa" w:w="2360"/>
            <w:tcMar>
              <w:top w:w="80" w:type="dxa"/>
              <w:bottom w:w="80" w:type="dxa"/>
              <w:start w:w="120" w:type="dxa"/>
              <w:end w:w="120" w:type="dxa"/>
            </w:tcMar>
            <w:vAlign w:val="center"/>
          </w:tcPr>
          <w:p>
            <w:pPr>
              <w:jc w:val="left"/>
            </w:pPr>
            <w:r>
              <w:rPr>
                <w:sz w:val="19"/>
              </w:rPr>
              <w:t>Ion 装机量、肺癌筛查渗透、临床采用速度</w:t>
            </w:r>
          </w:p>
        </w:tc>
      </w:tr>
    </w:tbl>
    <w:p/>
    <w:p>
      <w:pPr>
        <w:pStyle w:val="Heading2"/>
      </w:pPr>
      <w:r>
        <w:t>3.1 da Vinci 5 的意义</w:t>
      </w:r>
    </w:p>
    <w:p>
      <w:pPr>
        <w:spacing w:after="120" w:line="264" w:lineRule="auto"/>
      </w:pPr>
      <w:r>
        <w:rPr>
          <w:sz w:val="22"/>
        </w:rPr>
        <w:t>da Vinci 5 不是简单换代，而是 ISRG 延续平台优势的关键产品。其价值在于更强计算能力、力反馈、图像与数据能力、工作流效率和未来软件升级空间。对医院而言，da Vinci 5 既是临床工具，也是高端手术能力和医生资源配置的一部分。</w:t>
      </w:r>
    </w:p>
    <w:p>
      <w:pPr>
        <w:spacing w:after="120" w:line="264" w:lineRule="auto"/>
      </w:pPr>
      <w:r>
        <w:rPr>
          <w:sz w:val="22"/>
        </w:rPr>
        <w:t>从投资角度看，da Vinci 5 的核心不是单台售价，而是能否拉动新装机、旧系统换机和更高利用率。如果换机周期顺利，公司会同时受益于系统收入和后续耗材服务收入；如果医院资本开支趋谨慎，换机周期可能拉长。</w:t>
      </w:r>
    </w:p>
    <w:p>
      <w:pPr>
        <w:pStyle w:val="Heading1"/>
      </w:pPr>
      <w:r>
        <w:t>四、生态链卡位</w:t>
      </w:r>
    </w:p>
    <w:tbl>
      <w:tblPr>
        <w:tblStyle w:val="TableGrid"/>
        <w:tblW w:type="dxa" w:w="9360"/>
        <w:jc w:val="center"/>
        <w:tblLook w:firstColumn="1" w:firstRow="1" w:lastColumn="0" w:lastRow="0" w:noHBand="0" w:noVBand="1" w:val="04A0"/>
        <w:tblInd w:w="120" w:type="dxa"/>
      </w:tblPr>
      <w:tblGrid>
        <w:gridCol w:w="1700"/>
        <w:gridCol w:w="2500"/>
        <w:gridCol w:w="2500"/>
        <w:gridCol w:w="2660"/>
      </w:tblGrid>
      <w:tr>
        <w:trPr>
          <w:tblHeader w:val="true"/>
        </w:trPr>
        <w:tc>
          <w:tcPr>
            <w:tcW w:type="dxa" w:w="1700"/>
            <w:shd w:fill="E8EEF5"/>
            <w:tcMar>
              <w:top w:w="80" w:type="dxa"/>
              <w:bottom w:w="80" w:type="dxa"/>
              <w:start w:w="120" w:type="dxa"/>
              <w:end w:w="120" w:type="dxa"/>
            </w:tcMar>
            <w:vAlign w:val="center"/>
          </w:tcPr>
          <w:p>
            <w:pPr>
              <w:jc w:val="center"/>
            </w:pPr>
            <w:r>
              <w:rPr>
                <w:b/>
                <w:sz w:val="19"/>
              </w:rPr>
              <w:t>生态层</w:t>
            </w:r>
          </w:p>
        </w:tc>
        <w:tc>
          <w:tcPr>
            <w:tcW w:type="dxa" w:w="2500"/>
            <w:shd w:fill="E8EEF5"/>
            <w:tcMar>
              <w:top w:w="80" w:type="dxa"/>
              <w:bottom w:w="80" w:type="dxa"/>
              <w:start w:w="120" w:type="dxa"/>
              <w:end w:w="120" w:type="dxa"/>
            </w:tcMar>
            <w:vAlign w:val="center"/>
          </w:tcPr>
          <w:p>
            <w:pPr>
              <w:jc w:val="center"/>
            </w:pPr>
            <w:r>
              <w:rPr>
                <w:b/>
                <w:sz w:val="19"/>
              </w:rPr>
              <w:t>ISRG 卡位</w:t>
            </w:r>
          </w:p>
        </w:tc>
        <w:tc>
          <w:tcPr>
            <w:tcW w:type="dxa" w:w="2500"/>
            <w:shd w:fill="E8EEF5"/>
            <w:tcMar>
              <w:top w:w="80" w:type="dxa"/>
              <w:bottom w:w="80" w:type="dxa"/>
              <w:start w:w="120" w:type="dxa"/>
              <w:end w:w="120" w:type="dxa"/>
            </w:tcMar>
            <w:vAlign w:val="center"/>
          </w:tcPr>
          <w:p>
            <w:pPr>
              <w:jc w:val="center"/>
            </w:pPr>
            <w:r>
              <w:rPr>
                <w:b/>
                <w:sz w:val="19"/>
              </w:rPr>
              <w:t>价值来源</w:t>
            </w:r>
          </w:p>
        </w:tc>
        <w:tc>
          <w:tcPr>
            <w:tcW w:type="dxa" w:w="2660"/>
            <w:shd w:fill="E8EEF5"/>
            <w:tcMar>
              <w:top w:w="80" w:type="dxa"/>
              <w:bottom w:w="80" w:type="dxa"/>
              <w:start w:w="120" w:type="dxa"/>
              <w:end w:w="120" w:type="dxa"/>
            </w:tcMar>
            <w:vAlign w:val="center"/>
          </w:tcPr>
          <w:p>
            <w:pPr>
              <w:jc w:val="center"/>
            </w:pPr>
            <w:r>
              <w:rPr>
                <w:b/>
                <w:sz w:val="19"/>
              </w:rPr>
              <w:t>护城河表现</w:t>
            </w:r>
          </w:p>
        </w:tc>
      </w:tr>
      <w:tr>
        <w:tc>
          <w:tcPr>
            <w:tcW w:type="dxa" w:w="1700"/>
            <w:tcMar>
              <w:top w:w="80" w:type="dxa"/>
              <w:bottom w:w="80" w:type="dxa"/>
              <w:start w:w="120" w:type="dxa"/>
              <w:end w:w="120" w:type="dxa"/>
            </w:tcMar>
            <w:vAlign w:val="center"/>
          </w:tcPr>
          <w:p>
            <w:pPr>
              <w:jc w:val="center"/>
            </w:pPr>
            <w:r>
              <w:rPr>
                <w:sz w:val="19"/>
              </w:rPr>
              <w:t>患者与临床需求</w:t>
            </w:r>
          </w:p>
        </w:tc>
        <w:tc>
          <w:tcPr>
            <w:tcW w:type="dxa" w:w="2500"/>
            <w:tcMar>
              <w:top w:w="80" w:type="dxa"/>
              <w:bottom w:w="80" w:type="dxa"/>
              <w:start w:w="120" w:type="dxa"/>
              <w:end w:w="120" w:type="dxa"/>
            </w:tcMar>
            <w:vAlign w:val="center"/>
          </w:tcPr>
          <w:p>
            <w:pPr>
              <w:jc w:val="left"/>
            </w:pPr>
            <w:r>
              <w:rPr>
                <w:sz w:val="19"/>
              </w:rPr>
              <w:t>微创手术、泌尿、妇科、普外、胸外等</w:t>
            </w:r>
          </w:p>
        </w:tc>
        <w:tc>
          <w:tcPr>
            <w:tcW w:type="dxa" w:w="2500"/>
            <w:tcMar>
              <w:top w:w="80" w:type="dxa"/>
              <w:bottom w:w="80" w:type="dxa"/>
              <w:start w:w="120" w:type="dxa"/>
              <w:end w:w="120" w:type="dxa"/>
            </w:tcMar>
            <w:vAlign w:val="center"/>
          </w:tcPr>
          <w:p>
            <w:pPr>
              <w:jc w:val="left"/>
            </w:pPr>
            <w:r>
              <w:rPr>
                <w:sz w:val="19"/>
              </w:rPr>
              <w:t>更小创伤、更短住院、更稳定操作</w:t>
            </w:r>
          </w:p>
        </w:tc>
        <w:tc>
          <w:tcPr>
            <w:tcW w:type="dxa" w:w="2660"/>
            <w:tcMar>
              <w:top w:w="80" w:type="dxa"/>
              <w:bottom w:w="80" w:type="dxa"/>
              <w:start w:w="120" w:type="dxa"/>
              <w:end w:w="120" w:type="dxa"/>
            </w:tcMar>
            <w:vAlign w:val="center"/>
          </w:tcPr>
          <w:p>
            <w:pPr>
              <w:jc w:val="left"/>
            </w:pPr>
            <w:r>
              <w:rPr>
                <w:sz w:val="19"/>
              </w:rPr>
              <w:t>临床证据和医生认知长期累积</w:t>
            </w:r>
          </w:p>
        </w:tc>
      </w:tr>
      <w:tr>
        <w:tc>
          <w:tcPr>
            <w:tcW w:type="dxa" w:w="1700"/>
            <w:tcMar>
              <w:top w:w="80" w:type="dxa"/>
              <w:bottom w:w="80" w:type="dxa"/>
              <w:start w:w="120" w:type="dxa"/>
              <w:end w:w="120" w:type="dxa"/>
            </w:tcMar>
            <w:vAlign w:val="center"/>
          </w:tcPr>
          <w:p>
            <w:pPr>
              <w:jc w:val="center"/>
            </w:pPr>
            <w:r>
              <w:rPr>
                <w:sz w:val="19"/>
              </w:rPr>
              <w:t>医生与培训</w:t>
            </w:r>
          </w:p>
        </w:tc>
        <w:tc>
          <w:tcPr>
            <w:tcW w:type="dxa" w:w="2500"/>
            <w:tcMar>
              <w:top w:w="80" w:type="dxa"/>
              <w:bottom w:w="80" w:type="dxa"/>
              <w:start w:w="120" w:type="dxa"/>
              <w:end w:w="120" w:type="dxa"/>
            </w:tcMar>
            <w:vAlign w:val="center"/>
          </w:tcPr>
          <w:p>
            <w:pPr>
              <w:jc w:val="left"/>
            </w:pPr>
            <w:r>
              <w:rPr>
                <w:sz w:val="19"/>
              </w:rPr>
              <w:t>外科医生训练体系和操作习惯</w:t>
            </w:r>
          </w:p>
        </w:tc>
        <w:tc>
          <w:tcPr>
            <w:tcW w:type="dxa" w:w="2500"/>
            <w:tcMar>
              <w:top w:w="80" w:type="dxa"/>
              <w:bottom w:w="80" w:type="dxa"/>
              <w:start w:w="120" w:type="dxa"/>
              <w:end w:w="120" w:type="dxa"/>
            </w:tcMar>
            <w:vAlign w:val="center"/>
          </w:tcPr>
          <w:p>
            <w:pPr>
              <w:jc w:val="left"/>
            </w:pPr>
            <w:r>
              <w:rPr>
                <w:sz w:val="19"/>
              </w:rPr>
              <w:t>医生熟练度越高，系统黏性越强</w:t>
            </w:r>
          </w:p>
        </w:tc>
        <w:tc>
          <w:tcPr>
            <w:tcW w:type="dxa" w:w="2660"/>
            <w:tcMar>
              <w:top w:w="80" w:type="dxa"/>
              <w:bottom w:w="80" w:type="dxa"/>
              <w:start w:w="120" w:type="dxa"/>
              <w:end w:w="120" w:type="dxa"/>
            </w:tcMar>
            <w:vAlign w:val="center"/>
          </w:tcPr>
          <w:p>
            <w:pPr>
              <w:jc w:val="left"/>
            </w:pPr>
            <w:r>
              <w:rPr>
                <w:sz w:val="19"/>
              </w:rPr>
              <w:t>学习曲线和职业路径构成软壁垒</w:t>
            </w:r>
          </w:p>
        </w:tc>
      </w:tr>
      <w:tr>
        <w:tc>
          <w:tcPr>
            <w:tcW w:type="dxa" w:w="1700"/>
            <w:tcMar>
              <w:top w:w="80" w:type="dxa"/>
              <w:bottom w:w="80" w:type="dxa"/>
              <w:start w:w="120" w:type="dxa"/>
              <w:end w:w="120" w:type="dxa"/>
            </w:tcMar>
            <w:vAlign w:val="center"/>
          </w:tcPr>
          <w:p>
            <w:pPr>
              <w:jc w:val="center"/>
            </w:pPr>
            <w:r>
              <w:rPr>
                <w:sz w:val="19"/>
              </w:rPr>
              <w:t>医院与流程</w:t>
            </w:r>
          </w:p>
        </w:tc>
        <w:tc>
          <w:tcPr>
            <w:tcW w:type="dxa" w:w="2500"/>
            <w:tcMar>
              <w:top w:w="80" w:type="dxa"/>
              <w:bottom w:w="80" w:type="dxa"/>
              <w:start w:w="120" w:type="dxa"/>
              <w:end w:w="120" w:type="dxa"/>
            </w:tcMar>
            <w:vAlign w:val="center"/>
          </w:tcPr>
          <w:p>
            <w:pPr>
              <w:jc w:val="left"/>
            </w:pPr>
            <w:r>
              <w:rPr>
                <w:sz w:val="19"/>
              </w:rPr>
              <w:t>手术室排班、器械管理、服务合同</w:t>
            </w:r>
          </w:p>
        </w:tc>
        <w:tc>
          <w:tcPr>
            <w:tcW w:type="dxa" w:w="2500"/>
            <w:tcMar>
              <w:top w:w="80" w:type="dxa"/>
              <w:bottom w:w="80" w:type="dxa"/>
              <w:start w:w="120" w:type="dxa"/>
              <w:end w:w="120" w:type="dxa"/>
            </w:tcMar>
            <w:vAlign w:val="center"/>
          </w:tcPr>
          <w:p>
            <w:pPr>
              <w:jc w:val="left"/>
            </w:pPr>
            <w:r>
              <w:rPr>
                <w:sz w:val="19"/>
              </w:rPr>
              <w:t>系统嵌入医院运营流程</w:t>
            </w:r>
          </w:p>
        </w:tc>
        <w:tc>
          <w:tcPr>
            <w:tcW w:type="dxa" w:w="2660"/>
            <w:tcMar>
              <w:top w:w="80" w:type="dxa"/>
              <w:bottom w:w="80" w:type="dxa"/>
              <w:start w:w="120" w:type="dxa"/>
              <w:end w:w="120" w:type="dxa"/>
            </w:tcMar>
            <w:vAlign w:val="center"/>
          </w:tcPr>
          <w:p>
            <w:pPr>
              <w:jc w:val="left"/>
            </w:pPr>
            <w:r>
              <w:rPr>
                <w:sz w:val="19"/>
              </w:rPr>
              <w:t>转换成本和运营惯性高</w:t>
            </w:r>
          </w:p>
        </w:tc>
      </w:tr>
      <w:tr>
        <w:tc>
          <w:tcPr>
            <w:tcW w:type="dxa" w:w="1700"/>
            <w:tcMar>
              <w:top w:w="80" w:type="dxa"/>
              <w:bottom w:w="80" w:type="dxa"/>
              <w:start w:w="120" w:type="dxa"/>
              <w:end w:w="120" w:type="dxa"/>
            </w:tcMar>
            <w:vAlign w:val="center"/>
          </w:tcPr>
          <w:p>
            <w:pPr>
              <w:jc w:val="center"/>
            </w:pPr>
            <w:r>
              <w:rPr>
                <w:sz w:val="19"/>
              </w:rPr>
              <w:t>设备与耗材</w:t>
            </w:r>
          </w:p>
        </w:tc>
        <w:tc>
          <w:tcPr>
            <w:tcW w:type="dxa" w:w="2500"/>
            <w:tcMar>
              <w:top w:w="80" w:type="dxa"/>
              <w:bottom w:w="80" w:type="dxa"/>
              <w:start w:w="120" w:type="dxa"/>
              <w:end w:w="120" w:type="dxa"/>
            </w:tcMar>
            <w:vAlign w:val="center"/>
          </w:tcPr>
          <w:p>
            <w:pPr>
              <w:jc w:val="left"/>
            </w:pPr>
            <w:r>
              <w:rPr>
                <w:sz w:val="19"/>
              </w:rPr>
              <w:t>机器人本体、器械、附件、视觉和软件</w:t>
            </w:r>
          </w:p>
        </w:tc>
        <w:tc>
          <w:tcPr>
            <w:tcW w:type="dxa" w:w="2500"/>
            <w:tcMar>
              <w:top w:w="80" w:type="dxa"/>
              <w:bottom w:w="80" w:type="dxa"/>
              <w:start w:w="120" w:type="dxa"/>
              <w:end w:w="120" w:type="dxa"/>
            </w:tcMar>
            <w:vAlign w:val="center"/>
          </w:tcPr>
          <w:p>
            <w:pPr>
              <w:jc w:val="left"/>
            </w:pPr>
            <w:r>
              <w:rPr>
                <w:sz w:val="19"/>
              </w:rPr>
              <w:t>装机后通过耗材与服务复利</w:t>
            </w:r>
          </w:p>
        </w:tc>
        <w:tc>
          <w:tcPr>
            <w:tcW w:type="dxa" w:w="2660"/>
            <w:tcMar>
              <w:top w:w="80" w:type="dxa"/>
              <w:bottom w:w="80" w:type="dxa"/>
              <w:start w:w="120" w:type="dxa"/>
              <w:end w:w="120" w:type="dxa"/>
            </w:tcMar>
            <w:vAlign w:val="center"/>
          </w:tcPr>
          <w:p>
            <w:pPr>
              <w:jc w:val="left"/>
            </w:pPr>
            <w:r>
              <w:rPr>
                <w:sz w:val="19"/>
              </w:rPr>
              <w:t>闭环耗材和售后网络</w:t>
            </w:r>
          </w:p>
        </w:tc>
      </w:tr>
      <w:tr>
        <w:tc>
          <w:tcPr>
            <w:tcW w:type="dxa" w:w="1700"/>
            <w:tcMar>
              <w:top w:w="80" w:type="dxa"/>
              <w:bottom w:w="80" w:type="dxa"/>
              <w:start w:w="120" w:type="dxa"/>
              <w:end w:w="120" w:type="dxa"/>
            </w:tcMar>
            <w:vAlign w:val="center"/>
          </w:tcPr>
          <w:p>
            <w:pPr>
              <w:jc w:val="center"/>
            </w:pPr>
            <w:r>
              <w:rPr>
                <w:sz w:val="19"/>
              </w:rPr>
              <w:t>数据与软件</w:t>
            </w:r>
          </w:p>
        </w:tc>
        <w:tc>
          <w:tcPr>
            <w:tcW w:type="dxa" w:w="2500"/>
            <w:tcMar>
              <w:top w:w="80" w:type="dxa"/>
              <w:bottom w:w="80" w:type="dxa"/>
              <w:start w:w="120" w:type="dxa"/>
              <w:end w:w="120" w:type="dxa"/>
            </w:tcMar>
            <w:vAlign w:val="center"/>
          </w:tcPr>
          <w:p>
            <w:pPr>
              <w:jc w:val="left"/>
            </w:pPr>
            <w:r>
              <w:rPr>
                <w:sz w:val="19"/>
              </w:rPr>
              <w:t>手术数据、系统性能、远程服务和培训</w:t>
            </w:r>
          </w:p>
        </w:tc>
        <w:tc>
          <w:tcPr>
            <w:tcW w:type="dxa" w:w="2500"/>
            <w:tcMar>
              <w:top w:w="80" w:type="dxa"/>
              <w:bottom w:w="80" w:type="dxa"/>
              <w:start w:w="120" w:type="dxa"/>
              <w:end w:w="120" w:type="dxa"/>
            </w:tcMar>
            <w:vAlign w:val="center"/>
          </w:tcPr>
          <w:p>
            <w:pPr>
              <w:jc w:val="left"/>
            </w:pPr>
            <w:r>
              <w:rPr>
                <w:sz w:val="19"/>
              </w:rPr>
              <w:t>提升效率和安全性，支撑下一代产品</w:t>
            </w:r>
          </w:p>
        </w:tc>
        <w:tc>
          <w:tcPr>
            <w:tcW w:type="dxa" w:w="2660"/>
            <w:tcMar>
              <w:top w:w="80" w:type="dxa"/>
              <w:bottom w:w="80" w:type="dxa"/>
              <w:start w:w="120" w:type="dxa"/>
              <w:end w:w="120" w:type="dxa"/>
            </w:tcMar>
            <w:vAlign w:val="center"/>
          </w:tcPr>
          <w:p>
            <w:pPr>
              <w:jc w:val="left"/>
            </w:pPr>
            <w:r>
              <w:rPr>
                <w:sz w:val="19"/>
              </w:rPr>
              <w:t>平台规模带来数据和反馈优势</w:t>
            </w:r>
          </w:p>
        </w:tc>
      </w:tr>
    </w:tbl>
    <w:p/>
    <w:tbl>
      <w:tblPr>
        <w:tblStyle w:val="TableGrid"/>
        <w:tblW w:type="dxa" w:w="9360"/>
        <w:jc w:val="center"/>
        <w:tblLook w:firstColumn="1" w:firstRow="1" w:lastColumn="0" w:lastRow="0" w:noHBand="0" w:noVBand="1" w:val="04A0"/>
        <w:tblInd w:w="120" w:type="dxa"/>
      </w:tblPr>
      <w:tblGrid>
        <w:gridCol w:w="9360"/>
      </w:tblGrid>
      <w:tr>
        <w:tc>
          <w:tcPr>
            <w:tcW w:type="dxa" w:w="9360"/>
            <w:shd w:fill="EAF4EA"/>
            <w:tcMar>
              <w:top w:w="80" w:type="dxa"/>
              <w:bottom w:w="80" w:type="dxa"/>
              <w:start w:w="120" w:type="dxa"/>
              <w:end w:w="120" w:type="dxa"/>
            </w:tcMar>
            <w:vAlign w:val="center"/>
          </w:tcPr>
          <w:p>
            <w:pPr>
              <w:spacing w:line="264" w:lineRule="auto"/>
            </w:pPr>
            <w:r>
              <w:rPr>
                <w:b/>
                <w:color w:val="1F4D78"/>
              </w:rPr>
              <w:t>生态判断：</w:t>
            </w:r>
            <w:r>
              <w:t xml:space="preserve"> ISRG 的护城河不是单一技术，而是由临床证据、医生技能、医院流程、耗材闭环、装机规模和监管经验叠加形成。竞争者可以复制某一代机器人硬件，但很难一次性复制完整生态。</w:t>
            </w:r>
          </w:p>
        </w:tc>
      </w:tr>
    </w:tbl>
    <w:p/>
    <w:p>
      <w:pPr>
        <w:pStyle w:val="Heading1"/>
      </w:pPr>
      <w:r>
        <w:t>五、行业空间与增长驱动</w:t>
      </w:r>
    </w:p>
    <w:p>
      <w:pPr>
        <w:pStyle w:val="Heading2"/>
      </w:pPr>
      <w:r>
        <w:t>5.1 手术机器人渗透率仍有提升空间</w:t>
      </w:r>
    </w:p>
    <w:p>
      <w:pPr>
        <w:spacing w:after="120" w:line="264" w:lineRule="auto"/>
      </w:pPr>
      <w:r>
        <w:rPr>
          <w:sz w:val="22"/>
        </w:rPr>
        <w:t>手术机器人不是把所有手术替换为机器人手术，而是在特定术式中用机器人提高手术精度、可视化、可重复性和微创效果。ISRG 的长期增长来自三个层面：一是既有术式渗透率提升；二是新术式拓展；三是美国以外市场增长。</w:t>
      </w:r>
    </w:p>
    <w:p>
      <w:pPr>
        <w:spacing w:after="120" w:line="264" w:lineRule="auto"/>
      </w:pPr>
      <w:r>
        <w:rPr>
          <w:sz w:val="22"/>
        </w:rPr>
        <w:t>从医院视角看，机器人手术能否放量取决于临床效果、医生培训、手术室效率和经济性。ISRG 的优势在于它已经拥有大规模真实临床使用经验，新增术式和新增市场更容易沿既有系统推广。</w:t>
      </w:r>
    </w:p>
    <w:tbl>
      <w:tblPr>
        <w:tblStyle w:val="TableGrid"/>
        <w:tblW w:type="dxa" w:w="9360"/>
        <w:jc w:val="center"/>
        <w:tblLook w:firstColumn="1" w:firstRow="1" w:lastColumn="0" w:lastRow="0" w:noHBand="0" w:noVBand="1" w:val="04A0"/>
        <w:tblInd w:w="120" w:type="dxa"/>
      </w:tblPr>
      <w:tblGrid>
        <w:gridCol w:w="1900"/>
        <w:gridCol w:w="2200"/>
        <w:gridCol w:w="2500"/>
        <w:gridCol w:w="2760"/>
      </w:tblGrid>
      <w:tr>
        <w:trPr>
          <w:tblHeader w:val="true"/>
        </w:trPr>
        <w:tc>
          <w:tcPr>
            <w:tcW w:type="dxa" w:w="1900"/>
            <w:shd w:fill="F2F4F7"/>
            <w:tcMar>
              <w:top w:w="80" w:type="dxa"/>
              <w:bottom w:w="80" w:type="dxa"/>
              <w:start w:w="120" w:type="dxa"/>
              <w:end w:w="120" w:type="dxa"/>
            </w:tcMar>
            <w:vAlign w:val="center"/>
          </w:tcPr>
          <w:p>
            <w:pPr>
              <w:jc w:val="center"/>
            </w:pPr>
            <w:r>
              <w:rPr>
                <w:b/>
                <w:sz w:val="19"/>
              </w:rPr>
              <w:t>增长驱动</w:t>
            </w:r>
          </w:p>
        </w:tc>
        <w:tc>
          <w:tcPr>
            <w:tcW w:type="dxa" w:w="2200"/>
            <w:shd w:fill="F2F4F7"/>
            <w:tcMar>
              <w:top w:w="80" w:type="dxa"/>
              <w:bottom w:w="80" w:type="dxa"/>
              <w:start w:w="120" w:type="dxa"/>
              <w:end w:w="120" w:type="dxa"/>
            </w:tcMar>
            <w:vAlign w:val="center"/>
          </w:tcPr>
          <w:p>
            <w:pPr>
              <w:jc w:val="center"/>
            </w:pPr>
            <w:r>
              <w:rPr>
                <w:b/>
                <w:sz w:val="19"/>
              </w:rPr>
              <w:t>短期影响</w:t>
            </w:r>
          </w:p>
        </w:tc>
        <w:tc>
          <w:tcPr>
            <w:tcW w:type="dxa" w:w="2500"/>
            <w:shd w:fill="F2F4F7"/>
            <w:tcMar>
              <w:top w:w="80" w:type="dxa"/>
              <w:bottom w:w="80" w:type="dxa"/>
              <w:start w:w="120" w:type="dxa"/>
              <w:end w:w="120" w:type="dxa"/>
            </w:tcMar>
            <w:vAlign w:val="center"/>
          </w:tcPr>
          <w:p>
            <w:pPr>
              <w:jc w:val="center"/>
            </w:pPr>
            <w:r>
              <w:rPr>
                <w:b/>
                <w:sz w:val="19"/>
              </w:rPr>
              <w:t>中长期影响</w:t>
            </w:r>
          </w:p>
        </w:tc>
        <w:tc>
          <w:tcPr>
            <w:tcW w:type="dxa" w:w="2760"/>
            <w:shd w:fill="F2F4F7"/>
            <w:tcMar>
              <w:top w:w="80" w:type="dxa"/>
              <w:bottom w:w="80" w:type="dxa"/>
              <w:start w:w="120" w:type="dxa"/>
              <w:end w:w="120" w:type="dxa"/>
            </w:tcMar>
            <w:vAlign w:val="center"/>
          </w:tcPr>
          <w:p>
            <w:pPr>
              <w:jc w:val="center"/>
            </w:pPr>
            <w:r>
              <w:rPr>
                <w:b/>
                <w:sz w:val="19"/>
              </w:rPr>
              <w:t>风险点</w:t>
            </w:r>
          </w:p>
        </w:tc>
      </w:tr>
      <w:tr>
        <w:tc>
          <w:tcPr>
            <w:tcW w:type="dxa" w:w="1900"/>
            <w:tcMar>
              <w:top w:w="80" w:type="dxa"/>
              <w:bottom w:w="80" w:type="dxa"/>
              <w:start w:w="120" w:type="dxa"/>
              <w:end w:w="120" w:type="dxa"/>
            </w:tcMar>
            <w:vAlign w:val="center"/>
          </w:tcPr>
          <w:p>
            <w:pPr>
              <w:jc w:val="center"/>
            </w:pPr>
            <w:r>
              <w:rPr>
                <w:sz w:val="19"/>
              </w:rPr>
              <w:t>da Vinci 5 换代</w:t>
            </w:r>
          </w:p>
        </w:tc>
        <w:tc>
          <w:tcPr>
            <w:tcW w:type="dxa" w:w="2200"/>
            <w:tcMar>
              <w:top w:w="80" w:type="dxa"/>
              <w:bottom w:w="80" w:type="dxa"/>
              <w:start w:w="120" w:type="dxa"/>
              <w:end w:w="120" w:type="dxa"/>
            </w:tcMar>
            <w:vAlign w:val="center"/>
          </w:tcPr>
          <w:p>
            <w:pPr>
              <w:jc w:val="left"/>
            </w:pPr>
            <w:r>
              <w:rPr>
                <w:sz w:val="19"/>
              </w:rPr>
              <w:t>拉动系统收入和市场关注</w:t>
            </w:r>
          </w:p>
        </w:tc>
        <w:tc>
          <w:tcPr>
            <w:tcW w:type="dxa" w:w="2500"/>
            <w:tcMar>
              <w:top w:w="80" w:type="dxa"/>
              <w:bottom w:w="80" w:type="dxa"/>
              <w:start w:w="120" w:type="dxa"/>
              <w:end w:w="120" w:type="dxa"/>
            </w:tcMar>
            <w:vAlign w:val="center"/>
          </w:tcPr>
          <w:p>
            <w:pPr>
              <w:jc w:val="left"/>
            </w:pPr>
            <w:r>
              <w:rPr>
                <w:sz w:val="19"/>
              </w:rPr>
              <w:t>提升平台性能并延长产品周期</w:t>
            </w:r>
          </w:p>
        </w:tc>
        <w:tc>
          <w:tcPr>
            <w:tcW w:type="dxa" w:w="2760"/>
            <w:tcMar>
              <w:top w:w="80" w:type="dxa"/>
              <w:bottom w:w="80" w:type="dxa"/>
              <w:start w:w="120" w:type="dxa"/>
              <w:end w:w="120" w:type="dxa"/>
            </w:tcMar>
            <w:vAlign w:val="center"/>
          </w:tcPr>
          <w:p>
            <w:pPr>
              <w:jc w:val="left"/>
            </w:pPr>
            <w:r>
              <w:rPr>
                <w:sz w:val="19"/>
              </w:rPr>
              <w:t>供应节奏、审批范围和医院预算</w:t>
            </w:r>
          </w:p>
        </w:tc>
      </w:tr>
      <w:tr>
        <w:tc>
          <w:tcPr>
            <w:tcW w:type="dxa" w:w="1900"/>
            <w:tcMar>
              <w:top w:w="80" w:type="dxa"/>
              <w:bottom w:w="80" w:type="dxa"/>
              <w:start w:w="120" w:type="dxa"/>
              <w:end w:w="120" w:type="dxa"/>
            </w:tcMar>
            <w:vAlign w:val="center"/>
          </w:tcPr>
          <w:p>
            <w:pPr>
              <w:jc w:val="center"/>
            </w:pPr>
            <w:r>
              <w:rPr>
                <w:sz w:val="19"/>
              </w:rPr>
              <w:t>手术量增长</w:t>
            </w:r>
          </w:p>
        </w:tc>
        <w:tc>
          <w:tcPr>
            <w:tcW w:type="dxa" w:w="2200"/>
            <w:tcMar>
              <w:top w:w="80" w:type="dxa"/>
              <w:bottom w:w="80" w:type="dxa"/>
              <w:start w:w="120" w:type="dxa"/>
              <w:end w:w="120" w:type="dxa"/>
            </w:tcMar>
            <w:vAlign w:val="center"/>
          </w:tcPr>
          <w:p>
            <w:pPr>
              <w:jc w:val="left"/>
            </w:pPr>
            <w:r>
              <w:rPr>
                <w:sz w:val="19"/>
              </w:rPr>
              <w:t>直接拉动器械与附件收入</w:t>
            </w:r>
          </w:p>
        </w:tc>
        <w:tc>
          <w:tcPr>
            <w:tcW w:type="dxa" w:w="2500"/>
            <w:tcMar>
              <w:top w:w="80" w:type="dxa"/>
              <w:bottom w:w="80" w:type="dxa"/>
              <w:start w:w="120" w:type="dxa"/>
              <w:end w:w="120" w:type="dxa"/>
            </w:tcMar>
            <w:vAlign w:val="center"/>
          </w:tcPr>
          <w:p>
            <w:pPr>
              <w:jc w:val="left"/>
            </w:pPr>
            <w:r>
              <w:rPr>
                <w:sz w:val="19"/>
              </w:rPr>
              <w:t>提高每台系统利用率和客户黏性</w:t>
            </w:r>
          </w:p>
        </w:tc>
        <w:tc>
          <w:tcPr>
            <w:tcW w:type="dxa" w:w="2760"/>
            <w:tcMar>
              <w:top w:w="80" w:type="dxa"/>
              <w:bottom w:w="80" w:type="dxa"/>
              <w:start w:w="120" w:type="dxa"/>
              <w:end w:w="120" w:type="dxa"/>
            </w:tcMar>
            <w:vAlign w:val="center"/>
          </w:tcPr>
          <w:p>
            <w:pPr>
              <w:jc w:val="left"/>
            </w:pPr>
            <w:r>
              <w:rPr>
                <w:sz w:val="19"/>
              </w:rPr>
              <w:t>宏观医疗量、报销政策、竞争术式</w:t>
            </w:r>
          </w:p>
        </w:tc>
      </w:tr>
      <w:tr>
        <w:tc>
          <w:tcPr>
            <w:tcW w:type="dxa" w:w="1900"/>
            <w:tcMar>
              <w:top w:w="80" w:type="dxa"/>
              <w:bottom w:w="80" w:type="dxa"/>
              <w:start w:w="120" w:type="dxa"/>
              <w:end w:w="120" w:type="dxa"/>
            </w:tcMar>
            <w:vAlign w:val="center"/>
          </w:tcPr>
          <w:p>
            <w:pPr>
              <w:jc w:val="center"/>
            </w:pPr>
            <w:r>
              <w:rPr>
                <w:sz w:val="19"/>
              </w:rPr>
              <w:t>Ion 肺部活检</w:t>
            </w:r>
          </w:p>
        </w:tc>
        <w:tc>
          <w:tcPr>
            <w:tcW w:type="dxa" w:w="2200"/>
            <w:tcMar>
              <w:top w:w="80" w:type="dxa"/>
              <w:bottom w:w="80" w:type="dxa"/>
              <w:start w:w="120" w:type="dxa"/>
              <w:end w:w="120" w:type="dxa"/>
            </w:tcMar>
            <w:vAlign w:val="center"/>
          </w:tcPr>
          <w:p>
            <w:pPr>
              <w:jc w:val="left"/>
            </w:pPr>
            <w:r>
              <w:rPr>
                <w:sz w:val="19"/>
              </w:rPr>
              <w:t>提供第二平台收入</w:t>
            </w:r>
          </w:p>
        </w:tc>
        <w:tc>
          <w:tcPr>
            <w:tcW w:type="dxa" w:w="2500"/>
            <w:tcMar>
              <w:top w:w="80" w:type="dxa"/>
              <w:bottom w:w="80" w:type="dxa"/>
              <w:start w:w="120" w:type="dxa"/>
              <w:end w:w="120" w:type="dxa"/>
            </w:tcMar>
            <w:vAlign w:val="center"/>
          </w:tcPr>
          <w:p>
            <w:pPr>
              <w:jc w:val="left"/>
            </w:pPr>
            <w:r>
              <w:rPr>
                <w:sz w:val="19"/>
              </w:rPr>
              <w:t>受益肺癌筛查和早诊需求</w:t>
            </w:r>
          </w:p>
        </w:tc>
        <w:tc>
          <w:tcPr>
            <w:tcW w:type="dxa" w:w="2760"/>
            <w:tcMar>
              <w:top w:w="80" w:type="dxa"/>
              <w:bottom w:w="80" w:type="dxa"/>
              <w:start w:w="120" w:type="dxa"/>
              <w:end w:w="120" w:type="dxa"/>
            </w:tcMar>
            <w:vAlign w:val="center"/>
          </w:tcPr>
          <w:p>
            <w:pPr>
              <w:jc w:val="left"/>
            </w:pPr>
            <w:r>
              <w:rPr>
                <w:sz w:val="19"/>
              </w:rPr>
              <w:t>竞争平台和临床采用速度</w:t>
            </w:r>
          </w:p>
        </w:tc>
      </w:tr>
      <w:tr>
        <w:tc>
          <w:tcPr>
            <w:tcW w:type="dxa" w:w="1900"/>
            <w:tcMar>
              <w:top w:w="80" w:type="dxa"/>
              <w:bottom w:w="80" w:type="dxa"/>
              <w:start w:w="120" w:type="dxa"/>
              <w:end w:w="120" w:type="dxa"/>
            </w:tcMar>
            <w:vAlign w:val="center"/>
          </w:tcPr>
          <w:p>
            <w:pPr>
              <w:jc w:val="center"/>
            </w:pPr>
            <w:r>
              <w:rPr>
                <w:sz w:val="19"/>
              </w:rPr>
              <w:t>海外市场</w:t>
            </w:r>
          </w:p>
        </w:tc>
        <w:tc>
          <w:tcPr>
            <w:tcW w:type="dxa" w:w="2200"/>
            <w:tcMar>
              <w:top w:w="80" w:type="dxa"/>
              <w:bottom w:w="80" w:type="dxa"/>
              <w:start w:w="120" w:type="dxa"/>
              <w:end w:w="120" w:type="dxa"/>
            </w:tcMar>
            <w:vAlign w:val="center"/>
          </w:tcPr>
          <w:p>
            <w:pPr>
              <w:jc w:val="left"/>
            </w:pPr>
            <w:r>
              <w:rPr>
                <w:sz w:val="19"/>
              </w:rPr>
              <w:t>装机基数继续扩张</w:t>
            </w:r>
          </w:p>
        </w:tc>
        <w:tc>
          <w:tcPr>
            <w:tcW w:type="dxa" w:w="2500"/>
            <w:tcMar>
              <w:top w:w="80" w:type="dxa"/>
              <w:bottom w:w="80" w:type="dxa"/>
              <w:start w:w="120" w:type="dxa"/>
              <w:end w:w="120" w:type="dxa"/>
            </w:tcMar>
            <w:vAlign w:val="center"/>
          </w:tcPr>
          <w:p>
            <w:pPr>
              <w:jc w:val="left"/>
            </w:pPr>
            <w:r>
              <w:rPr>
                <w:sz w:val="19"/>
              </w:rPr>
              <w:t>区域渗透率提升带来多年增长</w:t>
            </w:r>
          </w:p>
        </w:tc>
        <w:tc>
          <w:tcPr>
            <w:tcW w:type="dxa" w:w="2760"/>
            <w:tcMar>
              <w:top w:w="80" w:type="dxa"/>
              <w:bottom w:w="80" w:type="dxa"/>
              <w:start w:w="120" w:type="dxa"/>
              <w:end w:w="120" w:type="dxa"/>
            </w:tcMar>
            <w:vAlign w:val="center"/>
          </w:tcPr>
          <w:p>
            <w:pPr>
              <w:jc w:val="left"/>
            </w:pPr>
            <w:r>
              <w:rPr>
                <w:sz w:val="19"/>
              </w:rPr>
              <w:t>监管、汇率、渠道和本地竞争</w:t>
            </w:r>
          </w:p>
        </w:tc>
      </w:tr>
      <w:tr>
        <w:tc>
          <w:tcPr>
            <w:tcW w:type="dxa" w:w="1900"/>
            <w:tcMar>
              <w:top w:w="80" w:type="dxa"/>
              <w:bottom w:w="80" w:type="dxa"/>
              <w:start w:w="120" w:type="dxa"/>
              <w:end w:w="120" w:type="dxa"/>
            </w:tcMar>
            <w:vAlign w:val="center"/>
          </w:tcPr>
          <w:p>
            <w:pPr>
              <w:jc w:val="center"/>
            </w:pPr>
            <w:r>
              <w:rPr>
                <w:sz w:val="19"/>
              </w:rPr>
              <w:t>数据与软件</w:t>
            </w:r>
          </w:p>
        </w:tc>
        <w:tc>
          <w:tcPr>
            <w:tcW w:type="dxa" w:w="2200"/>
            <w:tcMar>
              <w:top w:w="80" w:type="dxa"/>
              <w:bottom w:w="80" w:type="dxa"/>
              <w:start w:w="120" w:type="dxa"/>
              <w:end w:w="120" w:type="dxa"/>
            </w:tcMar>
            <w:vAlign w:val="center"/>
          </w:tcPr>
          <w:p>
            <w:pPr>
              <w:jc w:val="left"/>
            </w:pPr>
            <w:r>
              <w:rPr>
                <w:sz w:val="19"/>
              </w:rPr>
              <w:t>短期财务贡献有限</w:t>
            </w:r>
          </w:p>
        </w:tc>
        <w:tc>
          <w:tcPr>
            <w:tcW w:type="dxa" w:w="2500"/>
            <w:tcMar>
              <w:top w:w="80" w:type="dxa"/>
              <w:bottom w:w="80" w:type="dxa"/>
              <w:start w:w="120" w:type="dxa"/>
              <w:end w:w="120" w:type="dxa"/>
            </w:tcMar>
            <w:vAlign w:val="center"/>
          </w:tcPr>
          <w:p>
            <w:pPr>
              <w:jc w:val="left"/>
            </w:pPr>
            <w:r>
              <w:rPr>
                <w:sz w:val="19"/>
              </w:rPr>
              <w:t>可能提升长期平台价值</w:t>
            </w:r>
          </w:p>
        </w:tc>
        <w:tc>
          <w:tcPr>
            <w:tcW w:type="dxa" w:w="2760"/>
            <w:tcMar>
              <w:top w:w="80" w:type="dxa"/>
              <w:bottom w:w="80" w:type="dxa"/>
              <w:start w:w="120" w:type="dxa"/>
              <w:end w:w="120" w:type="dxa"/>
            </w:tcMar>
            <w:vAlign w:val="center"/>
          </w:tcPr>
          <w:p>
            <w:pPr>
              <w:jc w:val="left"/>
            </w:pPr>
            <w:r>
              <w:rPr>
                <w:sz w:val="19"/>
              </w:rPr>
              <w:t>商业化节奏和监管边界</w:t>
            </w:r>
          </w:p>
        </w:tc>
      </w:tr>
    </w:tbl>
    <w:p/>
    <w:p>
      <w:pPr>
        <w:pStyle w:val="Heading1"/>
      </w:pPr>
      <w:r>
        <w:t>六、竞争格局与对手优劣</w:t>
      </w:r>
    </w:p>
    <w:tbl>
      <w:tblPr>
        <w:tblStyle w:val="TableGrid"/>
        <w:tblW w:type="dxa" w:w="9760"/>
        <w:jc w:val="center"/>
        <w:tblLook w:firstColumn="1" w:firstRow="1" w:lastColumn="0" w:lastRow="0" w:noHBand="0" w:noVBand="1" w:val="04A0"/>
        <w:tblInd w:w="120" w:type="dxa"/>
      </w:tblPr>
      <w:tblGrid>
        <w:gridCol w:w="1700"/>
        <w:gridCol w:w="2300"/>
        <w:gridCol w:w="2700"/>
        <w:gridCol w:w="3060"/>
      </w:tblGrid>
      <w:tr>
        <w:trPr>
          <w:tblHeader w:val="true"/>
        </w:trPr>
        <w:tc>
          <w:tcPr>
            <w:tcW w:type="dxa" w:w="1700"/>
            <w:shd w:fill="E8EEF5"/>
            <w:tcMar>
              <w:top w:w="80" w:type="dxa"/>
              <w:bottom w:w="80" w:type="dxa"/>
              <w:start w:w="120" w:type="dxa"/>
              <w:end w:w="120" w:type="dxa"/>
            </w:tcMar>
            <w:vAlign w:val="center"/>
          </w:tcPr>
          <w:p>
            <w:pPr>
              <w:jc w:val="center"/>
            </w:pPr>
            <w:r>
              <w:rPr>
                <w:b/>
                <w:sz w:val="19"/>
              </w:rPr>
              <w:t>竞争者</w:t>
            </w:r>
          </w:p>
        </w:tc>
        <w:tc>
          <w:tcPr>
            <w:tcW w:type="dxa" w:w="2300"/>
            <w:shd w:fill="E8EEF5"/>
            <w:tcMar>
              <w:top w:w="80" w:type="dxa"/>
              <w:bottom w:w="80" w:type="dxa"/>
              <w:start w:w="120" w:type="dxa"/>
              <w:end w:w="120" w:type="dxa"/>
            </w:tcMar>
            <w:vAlign w:val="center"/>
          </w:tcPr>
          <w:p>
            <w:pPr>
              <w:jc w:val="center"/>
            </w:pPr>
            <w:r>
              <w:rPr>
                <w:b/>
                <w:sz w:val="19"/>
              </w:rPr>
              <w:t>主要产品/方向</w:t>
            </w:r>
          </w:p>
        </w:tc>
        <w:tc>
          <w:tcPr>
            <w:tcW w:type="dxa" w:w="2700"/>
            <w:shd w:fill="E8EEF5"/>
            <w:tcMar>
              <w:top w:w="80" w:type="dxa"/>
              <w:bottom w:w="80" w:type="dxa"/>
              <w:start w:w="120" w:type="dxa"/>
              <w:end w:w="120" w:type="dxa"/>
            </w:tcMar>
            <w:vAlign w:val="center"/>
          </w:tcPr>
          <w:p>
            <w:pPr>
              <w:jc w:val="center"/>
            </w:pPr>
            <w:r>
              <w:rPr>
                <w:b/>
                <w:sz w:val="19"/>
              </w:rPr>
              <w:t>相对 ISRG 优势</w:t>
            </w:r>
          </w:p>
        </w:tc>
        <w:tc>
          <w:tcPr>
            <w:tcW w:type="dxa" w:w="3060"/>
            <w:shd w:fill="E8EEF5"/>
            <w:tcMar>
              <w:top w:w="80" w:type="dxa"/>
              <w:bottom w:w="80" w:type="dxa"/>
              <w:start w:w="120" w:type="dxa"/>
              <w:end w:w="120" w:type="dxa"/>
            </w:tcMar>
            <w:vAlign w:val="center"/>
          </w:tcPr>
          <w:p>
            <w:pPr>
              <w:jc w:val="center"/>
            </w:pPr>
            <w:r>
              <w:rPr>
                <w:b/>
                <w:sz w:val="19"/>
              </w:rPr>
              <w:t>相对 ISRG 劣势</w:t>
            </w:r>
          </w:p>
        </w:tc>
      </w:tr>
      <w:tr>
        <w:tc>
          <w:tcPr>
            <w:tcW w:type="dxa" w:w="1700"/>
            <w:tcMar>
              <w:top w:w="80" w:type="dxa"/>
              <w:bottom w:w="80" w:type="dxa"/>
              <w:start w:w="120" w:type="dxa"/>
              <w:end w:w="120" w:type="dxa"/>
            </w:tcMar>
            <w:vAlign w:val="center"/>
          </w:tcPr>
          <w:p>
            <w:pPr>
              <w:jc w:val="center"/>
            </w:pPr>
            <w:r>
              <w:rPr>
                <w:sz w:val="19"/>
              </w:rPr>
              <w:t>Medtronic</w:t>
            </w:r>
          </w:p>
        </w:tc>
        <w:tc>
          <w:tcPr>
            <w:tcW w:type="dxa" w:w="2300"/>
            <w:tcMar>
              <w:top w:w="80" w:type="dxa"/>
              <w:bottom w:w="80" w:type="dxa"/>
              <w:start w:w="120" w:type="dxa"/>
              <w:end w:w="120" w:type="dxa"/>
            </w:tcMar>
            <w:vAlign w:val="center"/>
          </w:tcPr>
          <w:p>
            <w:pPr>
              <w:jc w:val="left"/>
            </w:pPr>
            <w:r>
              <w:rPr>
                <w:sz w:val="19"/>
              </w:rPr>
              <w:t>Hugo RAS 及大型医疗设备生态</w:t>
            </w:r>
          </w:p>
        </w:tc>
        <w:tc>
          <w:tcPr>
            <w:tcW w:type="dxa" w:w="2700"/>
            <w:tcMar>
              <w:top w:w="80" w:type="dxa"/>
              <w:bottom w:w="80" w:type="dxa"/>
              <w:start w:w="120" w:type="dxa"/>
              <w:end w:w="120" w:type="dxa"/>
            </w:tcMar>
            <w:vAlign w:val="center"/>
          </w:tcPr>
          <w:p>
            <w:pPr>
              <w:jc w:val="left"/>
            </w:pPr>
            <w:r>
              <w:rPr>
                <w:sz w:val="19"/>
              </w:rPr>
              <w:t>渠道强、医院关系深、产品组合广</w:t>
            </w:r>
          </w:p>
        </w:tc>
        <w:tc>
          <w:tcPr>
            <w:tcW w:type="dxa" w:w="3060"/>
            <w:tcMar>
              <w:top w:w="80" w:type="dxa"/>
              <w:bottom w:w="80" w:type="dxa"/>
              <w:start w:w="120" w:type="dxa"/>
              <w:end w:w="120" w:type="dxa"/>
            </w:tcMar>
            <w:vAlign w:val="center"/>
          </w:tcPr>
          <w:p>
            <w:pPr>
              <w:jc w:val="left"/>
            </w:pPr>
            <w:r>
              <w:rPr>
                <w:sz w:val="19"/>
              </w:rPr>
              <w:t>手术机器人装机、医生训练和临床数据积累落后 ISRG</w:t>
            </w:r>
          </w:p>
        </w:tc>
      </w:tr>
      <w:tr>
        <w:tc>
          <w:tcPr>
            <w:tcW w:type="dxa" w:w="1700"/>
            <w:tcMar>
              <w:top w:w="80" w:type="dxa"/>
              <w:bottom w:w="80" w:type="dxa"/>
              <w:start w:w="120" w:type="dxa"/>
              <w:end w:w="120" w:type="dxa"/>
            </w:tcMar>
            <w:vAlign w:val="center"/>
          </w:tcPr>
          <w:p>
            <w:pPr>
              <w:jc w:val="center"/>
            </w:pPr>
            <w:r>
              <w:rPr>
                <w:sz w:val="19"/>
              </w:rPr>
              <w:t>Johnson &amp; Johnson</w:t>
            </w:r>
          </w:p>
        </w:tc>
        <w:tc>
          <w:tcPr>
            <w:tcW w:type="dxa" w:w="2300"/>
            <w:tcMar>
              <w:top w:w="80" w:type="dxa"/>
              <w:bottom w:w="80" w:type="dxa"/>
              <w:start w:w="120" w:type="dxa"/>
              <w:end w:w="120" w:type="dxa"/>
            </w:tcMar>
            <w:vAlign w:val="center"/>
          </w:tcPr>
          <w:p>
            <w:pPr>
              <w:jc w:val="left"/>
            </w:pPr>
            <w:r>
              <w:rPr>
                <w:sz w:val="19"/>
              </w:rPr>
              <w:t>OTTAVA 手术机器人及外科器械生态</w:t>
            </w:r>
          </w:p>
        </w:tc>
        <w:tc>
          <w:tcPr>
            <w:tcW w:type="dxa" w:w="2700"/>
            <w:tcMar>
              <w:top w:w="80" w:type="dxa"/>
              <w:bottom w:w="80" w:type="dxa"/>
              <w:start w:w="120" w:type="dxa"/>
              <w:end w:w="120" w:type="dxa"/>
            </w:tcMar>
            <w:vAlign w:val="center"/>
          </w:tcPr>
          <w:p>
            <w:pPr>
              <w:jc w:val="left"/>
            </w:pPr>
            <w:r>
              <w:rPr>
                <w:sz w:val="19"/>
              </w:rPr>
              <w:t>外科耗材和医院渠道强，资本实力雄厚</w:t>
            </w:r>
          </w:p>
        </w:tc>
        <w:tc>
          <w:tcPr>
            <w:tcW w:type="dxa" w:w="3060"/>
            <w:tcMar>
              <w:top w:w="80" w:type="dxa"/>
              <w:bottom w:w="80" w:type="dxa"/>
              <w:start w:w="120" w:type="dxa"/>
              <w:end w:w="120" w:type="dxa"/>
            </w:tcMar>
            <w:vAlign w:val="center"/>
          </w:tcPr>
          <w:p>
            <w:pPr>
              <w:jc w:val="left"/>
            </w:pPr>
            <w:r>
              <w:rPr>
                <w:sz w:val="19"/>
              </w:rPr>
              <w:t>OTTAVA 商业化仍需监管和临床验证，时间窗口落后</w:t>
            </w:r>
          </w:p>
        </w:tc>
      </w:tr>
      <w:tr>
        <w:tc>
          <w:tcPr>
            <w:tcW w:type="dxa" w:w="1700"/>
            <w:tcMar>
              <w:top w:w="80" w:type="dxa"/>
              <w:bottom w:w="80" w:type="dxa"/>
              <w:start w:w="120" w:type="dxa"/>
              <w:end w:w="120" w:type="dxa"/>
            </w:tcMar>
            <w:vAlign w:val="center"/>
          </w:tcPr>
          <w:p>
            <w:pPr>
              <w:jc w:val="center"/>
            </w:pPr>
            <w:r>
              <w:rPr>
                <w:sz w:val="19"/>
              </w:rPr>
              <w:t>Stryker</w:t>
            </w:r>
          </w:p>
        </w:tc>
        <w:tc>
          <w:tcPr>
            <w:tcW w:type="dxa" w:w="2300"/>
            <w:tcMar>
              <w:top w:w="80" w:type="dxa"/>
              <w:bottom w:w="80" w:type="dxa"/>
              <w:start w:w="120" w:type="dxa"/>
              <w:end w:w="120" w:type="dxa"/>
            </w:tcMar>
            <w:vAlign w:val="center"/>
          </w:tcPr>
          <w:p>
            <w:pPr>
              <w:jc w:val="left"/>
            </w:pPr>
            <w:r>
              <w:rPr>
                <w:sz w:val="19"/>
              </w:rPr>
              <w:t>Mako 骨科机器人</w:t>
            </w:r>
          </w:p>
        </w:tc>
        <w:tc>
          <w:tcPr>
            <w:tcW w:type="dxa" w:w="2700"/>
            <w:tcMar>
              <w:top w:w="80" w:type="dxa"/>
              <w:bottom w:w="80" w:type="dxa"/>
              <w:start w:w="120" w:type="dxa"/>
              <w:end w:w="120" w:type="dxa"/>
            </w:tcMar>
            <w:vAlign w:val="center"/>
          </w:tcPr>
          <w:p>
            <w:pPr>
              <w:jc w:val="left"/>
            </w:pPr>
            <w:r>
              <w:rPr>
                <w:sz w:val="19"/>
              </w:rPr>
              <w:t>骨科细分场景强，和关节植入物绑定</w:t>
            </w:r>
          </w:p>
        </w:tc>
        <w:tc>
          <w:tcPr>
            <w:tcW w:type="dxa" w:w="3060"/>
            <w:tcMar>
              <w:top w:w="80" w:type="dxa"/>
              <w:bottom w:w="80" w:type="dxa"/>
              <w:start w:w="120" w:type="dxa"/>
              <w:end w:w="120" w:type="dxa"/>
            </w:tcMar>
            <w:vAlign w:val="center"/>
          </w:tcPr>
          <w:p>
            <w:pPr>
              <w:jc w:val="left"/>
            </w:pPr>
            <w:r>
              <w:rPr>
                <w:sz w:val="19"/>
              </w:rPr>
              <w:t>主要不与达芬奇核心腹腔/盆腔术式正面重叠</w:t>
            </w:r>
          </w:p>
        </w:tc>
      </w:tr>
      <w:tr>
        <w:tc>
          <w:tcPr>
            <w:tcW w:type="dxa" w:w="1700"/>
            <w:tcMar>
              <w:top w:w="80" w:type="dxa"/>
              <w:bottom w:w="80" w:type="dxa"/>
              <w:start w:w="120" w:type="dxa"/>
              <w:end w:w="120" w:type="dxa"/>
            </w:tcMar>
            <w:vAlign w:val="center"/>
          </w:tcPr>
          <w:p>
            <w:pPr>
              <w:jc w:val="center"/>
            </w:pPr>
            <w:r>
              <w:rPr>
                <w:sz w:val="19"/>
              </w:rPr>
              <w:t>PROCEPT BioRobotics</w:t>
            </w:r>
          </w:p>
        </w:tc>
        <w:tc>
          <w:tcPr>
            <w:tcW w:type="dxa" w:w="2300"/>
            <w:tcMar>
              <w:top w:w="80" w:type="dxa"/>
              <w:bottom w:w="80" w:type="dxa"/>
              <w:start w:w="120" w:type="dxa"/>
              <w:end w:w="120" w:type="dxa"/>
            </w:tcMar>
            <w:vAlign w:val="center"/>
          </w:tcPr>
          <w:p>
            <w:pPr>
              <w:jc w:val="left"/>
            </w:pPr>
            <w:r>
              <w:rPr>
                <w:sz w:val="19"/>
              </w:rPr>
              <w:t>Aquablation 前列腺治疗机器人</w:t>
            </w:r>
          </w:p>
        </w:tc>
        <w:tc>
          <w:tcPr>
            <w:tcW w:type="dxa" w:w="2700"/>
            <w:tcMar>
              <w:top w:w="80" w:type="dxa"/>
              <w:bottom w:w="80" w:type="dxa"/>
              <w:start w:w="120" w:type="dxa"/>
              <w:end w:w="120" w:type="dxa"/>
            </w:tcMar>
            <w:vAlign w:val="center"/>
          </w:tcPr>
          <w:p>
            <w:pPr>
              <w:jc w:val="left"/>
            </w:pPr>
            <w:r>
              <w:rPr>
                <w:sz w:val="19"/>
              </w:rPr>
              <w:t>单一术式增长快，临床定位清晰</w:t>
            </w:r>
          </w:p>
        </w:tc>
        <w:tc>
          <w:tcPr>
            <w:tcW w:type="dxa" w:w="3060"/>
            <w:tcMar>
              <w:top w:w="80" w:type="dxa"/>
              <w:bottom w:w="80" w:type="dxa"/>
              <w:start w:w="120" w:type="dxa"/>
              <w:end w:w="120" w:type="dxa"/>
            </w:tcMar>
            <w:vAlign w:val="center"/>
          </w:tcPr>
          <w:p>
            <w:pPr>
              <w:jc w:val="left"/>
            </w:pPr>
            <w:r>
              <w:rPr>
                <w:sz w:val="19"/>
              </w:rPr>
              <w:t>平台广度、盈利能力和装机生态远小于 ISRG</w:t>
            </w:r>
          </w:p>
        </w:tc>
      </w:tr>
      <w:tr>
        <w:tc>
          <w:tcPr>
            <w:tcW w:type="dxa" w:w="1700"/>
            <w:tcMar>
              <w:top w:w="80" w:type="dxa"/>
              <w:bottom w:w="80" w:type="dxa"/>
              <w:start w:w="120" w:type="dxa"/>
              <w:end w:w="120" w:type="dxa"/>
            </w:tcMar>
            <w:vAlign w:val="center"/>
          </w:tcPr>
          <w:p>
            <w:pPr>
              <w:jc w:val="center"/>
            </w:pPr>
            <w:r>
              <w:rPr>
                <w:sz w:val="19"/>
              </w:rPr>
              <w:t>CMR Surgical</w:t>
            </w:r>
          </w:p>
        </w:tc>
        <w:tc>
          <w:tcPr>
            <w:tcW w:type="dxa" w:w="2300"/>
            <w:tcMar>
              <w:top w:w="80" w:type="dxa"/>
              <w:bottom w:w="80" w:type="dxa"/>
              <w:start w:w="120" w:type="dxa"/>
              <w:end w:w="120" w:type="dxa"/>
            </w:tcMar>
            <w:vAlign w:val="center"/>
          </w:tcPr>
          <w:p>
            <w:pPr>
              <w:jc w:val="left"/>
            </w:pPr>
            <w:r>
              <w:rPr>
                <w:sz w:val="19"/>
              </w:rPr>
              <w:t>Versius 手术机器人</w:t>
            </w:r>
          </w:p>
        </w:tc>
        <w:tc>
          <w:tcPr>
            <w:tcW w:type="dxa" w:w="2700"/>
            <w:tcMar>
              <w:top w:w="80" w:type="dxa"/>
              <w:bottom w:w="80" w:type="dxa"/>
              <w:start w:w="120" w:type="dxa"/>
              <w:end w:w="120" w:type="dxa"/>
            </w:tcMar>
            <w:vAlign w:val="center"/>
          </w:tcPr>
          <w:p>
            <w:pPr>
              <w:jc w:val="left"/>
            </w:pPr>
            <w:r>
              <w:rPr>
                <w:sz w:val="19"/>
              </w:rPr>
              <w:t>设计灵活，部分市场价格和便携性有吸引力</w:t>
            </w:r>
          </w:p>
        </w:tc>
        <w:tc>
          <w:tcPr>
            <w:tcW w:type="dxa" w:w="3060"/>
            <w:tcMar>
              <w:top w:w="80" w:type="dxa"/>
              <w:bottom w:w="80" w:type="dxa"/>
              <w:start w:w="120" w:type="dxa"/>
              <w:end w:w="120" w:type="dxa"/>
            </w:tcMar>
            <w:vAlign w:val="center"/>
          </w:tcPr>
          <w:p>
            <w:pPr>
              <w:jc w:val="left"/>
            </w:pPr>
            <w:r>
              <w:rPr>
                <w:sz w:val="19"/>
              </w:rPr>
              <w:t>规模、盈利、美国市场和品牌壁垒弱于 ISRG</w:t>
            </w:r>
          </w:p>
        </w:tc>
      </w:tr>
      <w:tr>
        <w:tc>
          <w:tcPr>
            <w:tcW w:type="dxa" w:w="1700"/>
            <w:tcMar>
              <w:top w:w="80" w:type="dxa"/>
              <w:bottom w:w="80" w:type="dxa"/>
              <w:start w:w="120" w:type="dxa"/>
              <w:end w:w="120" w:type="dxa"/>
            </w:tcMar>
            <w:vAlign w:val="center"/>
          </w:tcPr>
          <w:p>
            <w:pPr>
              <w:jc w:val="center"/>
            </w:pPr>
            <w:r>
              <w:rPr>
                <w:sz w:val="19"/>
              </w:rPr>
              <w:t>本土/区域厂商</w:t>
            </w:r>
          </w:p>
        </w:tc>
        <w:tc>
          <w:tcPr>
            <w:tcW w:type="dxa" w:w="2300"/>
            <w:tcMar>
              <w:top w:w="80" w:type="dxa"/>
              <w:bottom w:w="80" w:type="dxa"/>
              <w:start w:w="120" w:type="dxa"/>
              <w:end w:w="120" w:type="dxa"/>
            </w:tcMar>
            <w:vAlign w:val="center"/>
          </w:tcPr>
          <w:p>
            <w:pPr>
              <w:jc w:val="left"/>
            </w:pPr>
            <w:r>
              <w:rPr>
                <w:sz w:val="19"/>
              </w:rPr>
              <w:t>中国、欧洲、日本机器人手术系统</w:t>
            </w:r>
          </w:p>
        </w:tc>
        <w:tc>
          <w:tcPr>
            <w:tcW w:type="dxa" w:w="2700"/>
            <w:tcMar>
              <w:top w:w="80" w:type="dxa"/>
              <w:bottom w:w="80" w:type="dxa"/>
              <w:start w:w="120" w:type="dxa"/>
              <w:end w:w="120" w:type="dxa"/>
            </w:tcMar>
            <w:vAlign w:val="center"/>
          </w:tcPr>
          <w:p>
            <w:pPr>
              <w:jc w:val="left"/>
            </w:pPr>
            <w:r>
              <w:rPr>
                <w:sz w:val="19"/>
              </w:rPr>
              <w:t>成本、本地渠道和政策支持可能更强</w:t>
            </w:r>
          </w:p>
        </w:tc>
        <w:tc>
          <w:tcPr>
            <w:tcW w:type="dxa" w:w="3060"/>
            <w:tcMar>
              <w:top w:w="80" w:type="dxa"/>
              <w:bottom w:w="80" w:type="dxa"/>
              <w:start w:w="120" w:type="dxa"/>
              <w:end w:w="120" w:type="dxa"/>
            </w:tcMar>
            <w:vAlign w:val="center"/>
          </w:tcPr>
          <w:p>
            <w:pPr>
              <w:jc w:val="left"/>
            </w:pPr>
            <w:r>
              <w:rPr>
                <w:sz w:val="19"/>
              </w:rPr>
              <w:t>全球临床证据、医生培训和跨区域服务能力弱</w:t>
            </w:r>
          </w:p>
        </w:tc>
      </w:tr>
    </w:tbl>
    <w:p/>
    <w:p>
      <w:pPr>
        <w:pStyle w:val="Heading2"/>
      </w:pPr>
      <w:r>
        <w:t>6.1 为什么竞争压力短期可控</w:t>
      </w:r>
    </w:p>
    <w:p>
      <w:pPr>
        <w:spacing w:after="120" w:line="264" w:lineRule="auto"/>
      </w:pPr>
      <w:r>
        <w:rPr>
          <w:sz w:val="22"/>
        </w:rPr>
        <w:t>手术机器人竞争不像消费电子，硬件性能不是唯一变量。医院采购需要监管许可、临床证据、医生培训、服务保障、手术室流程改造和长期耗材供应。新进入者即便推出性能接近的系统，也需要多年建立医生信任和医院工作流。</w:t>
      </w:r>
    </w:p>
    <w:p>
      <w:pPr>
        <w:spacing w:after="120" w:line="264" w:lineRule="auto"/>
      </w:pPr>
      <w:r>
        <w:rPr>
          <w:sz w:val="22"/>
        </w:rPr>
        <w:t>ISRG 的弱点是估值高、系统价格高、部分客户希望引入第二供应商以降低议价压力。若竞争者在某些术式做到更低成本或更高效率，ISRG 的局部定价能力可能下降。但从全局看，ISRG 仍拥有最完整的商业闭环。</w:t>
      </w:r>
    </w:p>
    <w:p>
      <w:pPr>
        <w:pStyle w:val="Heading1"/>
      </w:pPr>
      <w:r>
        <w:t>七、管理层与资本配置</w:t>
      </w:r>
    </w:p>
    <w:tbl>
      <w:tblPr>
        <w:tblStyle w:val="TableGrid"/>
        <w:tblW w:type="dxa" w:w="9360"/>
        <w:jc w:val="center"/>
        <w:tblLook w:firstColumn="1" w:firstRow="1" w:lastColumn="0" w:lastRow="0" w:noHBand="0" w:noVBand="1" w:val="04A0"/>
        <w:tblInd w:w="120" w:type="dxa"/>
      </w:tblPr>
      <w:tblGrid>
        <w:gridCol w:w="2200"/>
        <w:gridCol w:w="2500"/>
        <w:gridCol w:w="4660"/>
      </w:tblGrid>
      <w:tr>
        <w:trPr>
          <w:tblHeader w:val="true"/>
        </w:trPr>
        <w:tc>
          <w:tcPr>
            <w:tcW w:type="dxa" w:w="2200"/>
            <w:shd w:fill="F2F4F7"/>
            <w:tcMar>
              <w:top w:w="80" w:type="dxa"/>
              <w:bottom w:w="80" w:type="dxa"/>
              <w:start w:w="120" w:type="dxa"/>
              <w:end w:w="120" w:type="dxa"/>
            </w:tcMar>
            <w:vAlign w:val="center"/>
          </w:tcPr>
          <w:p>
            <w:pPr>
              <w:jc w:val="center"/>
            </w:pPr>
            <w:r>
              <w:rPr>
                <w:b/>
                <w:sz w:val="19"/>
              </w:rPr>
              <w:t>人员/机制</w:t>
            </w:r>
          </w:p>
        </w:tc>
        <w:tc>
          <w:tcPr>
            <w:tcW w:type="dxa" w:w="2500"/>
            <w:shd w:fill="F2F4F7"/>
            <w:tcMar>
              <w:top w:w="80" w:type="dxa"/>
              <w:bottom w:w="80" w:type="dxa"/>
              <w:start w:w="120" w:type="dxa"/>
              <w:end w:w="120" w:type="dxa"/>
            </w:tcMar>
            <w:vAlign w:val="center"/>
          </w:tcPr>
          <w:p>
            <w:pPr>
              <w:jc w:val="center"/>
            </w:pPr>
            <w:r>
              <w:rPr>
                <w:b/>
                <w:sz w:val="19"/>
              </w:rPr>
              <w:t>角色</w:t>
            </w:r>
          </w:p>
        </w:tc>
        <w:tc>
          <w:tcPr>
            <w:tcW w:type="dxa" w:w="4660"/>
            <w:shd w:fill="F2F4F7"/>
            <w:tcMar>
              <w:top w:w="80" w:type="dxa"/>
              <w:bottom w:w="80" w:type="dxa"/>
              <w:start w:w="120" w:type="dxa"/>
              <w:end w:w="120" w:type="dxa"/>
            </w:tcMar>
            <w:vAlign w:val="center"/>
          </w:tcPr>
          <w:p>
            <w:pPr>
              <w:jc w:val="center"/>
            </w:pPr>
            <w:r>
              <w:rPr>
                <w:b/>
                <w:sz w:val="19"/>
              </w:rPr>
              <w:t>研究关注点</w:t>
            </w:r>
          </w:p>
        </w:tc>
      </w:tr>
      <w:tr>
        <w:tc>
          <w:tcPr>
            <w:tcW w:type="dxa" w:w="2200"/>
            <w:tcMar>
              <w:top w:w="80" w:type="dxa"/>
              <w:bottom w:w="80" w:type="dxa"/>
              <w:start w:w="120" w:type="dxa"/>
              <w:end w:w="120" w:type="dxa"/>
            </w:tcMar>
            <w:vAlign w:val="center"/>
          </w:tcPr>
          <w:p>
            <w:pPr>
              <w:jc w:val="center"/>
            </w:pPr>
            <w:r>
              <w:rPr>
                <w:sz w:val="19"/>
              </w:rPr>
              <w:t>Gary Guthart</w:t>
            </w:r>
          </w:p>
        </w:tc>
        <w:tc>
          <w:tcPr>
            <w:tcW w:type="dxa" w:w="2500"/>
            <w:tcMar>
              <w:top w:w="80" w:type="dxa"/>
              <w:bottom w:w="80" w:type="dxa"/>
              <w:start w:w="120" w:type="dxa"/>
              <w:end w:w="120" w:type="dxa"/>
            </w:tcMar>
            <w:vAlign w:val="center"/>
          </w:tcPr>
          <w:p>
            <w:pPr>
              <w:jc w:val="left"/>
            </w:pPr>
            <w:r>
              <w:rPr>
                <w:sz w:val="19"/>
              </w:rPr>
              <w:t>Chief Executive Officer</w:t>
            </w:r>
          </w:p>
        </w:tc>
        <w:tc>
          <w:tcPr>
            <w:tcW w:type="dxa" w:w="4660"/>
            <w:tcMar>
              <w:top w:w="80" w:type="dxa"/>
              <w:bottom w:w="80" w:type="dxa"/>
              <w:start w:w="120" w:type="dxa"/>
              <w:end w:w="120" w:type="dxa"/>
            </w:tcMar>
            <w:vAlign w:val="center"/>
          </w:tcPr>
          <w:p>
            <w:pPr>
              <w:jc w:val="left"/>
            </w:pPr>
            <w:r>
              <w:rPr>
                <w:sz w:val="19"/>
              </w:rPr>
              <w:t>长期推动平台化和临床扩张，关注 da Vinci 5、Ion 和全球市场执行</w:t>
            </w:r>
          </w:p>
        </w:tc>
      </w:tr>
      <w:tr>
        <w:tc>
          <w:tcPr>
            <w:tcW w:type="dxa" w:w="2200"/>
            <w:tcMar>
              <w:top w:w="80" w:type="dxa"/>
              <w:bottom w:w="80" w:type="dxa"/>
              <w:start w:w="120" w:type="dxa"/>
              <w:end w:w="120" w:type="dxa"/>
            </w:tcMar>
            <w:vAlign w:val="center"/>
          </w:tcPr>
          <w:p>
            <w:pPr>
              <w:jc w:val="center"/>
            </w:pPr>
            <w:r>
              <w:rPr>
                <w:sz w:val="19"/>
              </w:rPr>
              <w:t>Jamie Samath</w:t>
            </w:r>
          </w:p>
        </w:tc>
        <w:tc>
          <w:tcPr>
            <w:tcW w:type="dxa" w:w="2500"/>
            <w:tcMar>
              <w:top w:w="80" w:type="dxa"/>
              <w:bottom w:w="80" w:type="dxa"/>
              <w:start w:w="120" w:type="dxa"/>
              <w:end w:w="120" w:type="dxa"/>
            </w:tcMar>
            <w:vAlign w:val="center"/>
          </w:tcPr>
          <w:p>
            <w:pPr>
              <w:jc w:val="left"/>
            </w:pPr>
            <w:r>
              <w:rPr>
                <w:sz w:val="19"/>
              </w:rPr>
              <w:t>Chief Financial Officer</w:t>
            </w:r>
          </w:p>
        </w:tc>
        <w:tc>
          <w:tcPr>
            <w:tcW w:type="dxa" w:w="4660"/>
            <w:tcMar>
              <w:top w:w="80" w:type="dxa"/>
              <w:bottom w:w="80" w:type="dxa"/>
              <w:start w:w="120" w:type="dxa"/>
              <w:end w:w="120" w:type="dxa"/>
            </w:tcMar>
            <w:vAlign w:val="center"/>
          </w:tcPr>
          <w:p>
            <w:pPr>
              <w:jc w:val="left"/>
            </w:pPr>
            <w:r>
              <w:rPr>
                <w:sz w:val="19"/>
              </w:rPr>
              <w:t>费用投入、毛利率、系统租赁、现金配置和资本回报</w:t>
            </w:r>
          </w:p>
        </w:tc>
      </w:tr>
      <w:tr>
        <w:tc>
          <w:tcPr>
            <w:tcW w:type="dxa" w:w="2200"/>
            <w:tcMar>
              <w:top w:w="80" w:type="dxa"/>
              <w:bottom w:w="80" w:type="dxa"/>
              <w:start w:w="120" w:type="dxa"/>
              <w:end w:w="120" w:type="dxa"/>
            </w:tcMar>
            <w:vAlign w:val="center"/>
          </w:tcPr>
          <w:p>
            <w:pPr>
              <w:jc w:val="center"/>
            </w:pPr>
            <w:r>
              <w:rPr>
                <w:sz w:val="19"/>
              </w:rPr>
              <w:t>研发体系</w:t>
            </w:r>
          </w:p>
        </w:tc>
        <w:tc>
          <w:tcPr>
            <w:tcW w:type="dxa" w:w="2500"/>
            <w:tcMar>
              <w:top w:w="80" w:type="dxa"/>
              <w:bottom w:w="80" w:type="dxa"/>
              <w:start w:w="120" w:type="dxa"/>
              <w:end w:w="120" w:type="dxa"/>
            </w:tcMar>
            <w:vAlign w:val="center"/>
          </w:tcPr>
          <w:p>
            <w:pPr>
              <w:jc w:val="left"/>
            </w:pPr>
            <w:r>
              <w:rPr>
                <w:sz w:val="19"/>
              </w:rPr>
              <w:t>机器人、软件、视觉、器械和临床应用</w:t>
            </w:r>
          </w:p>
        </w:tc>
        <w:tc>
          <w:tcPr>
            <w:tcW w:type="dxa" w:w="4660"/>
            <w:tcMar>
              <w:top w:w="80" w:type="dxa"/>
              <w:bottom w:w="80" w:type="dxa"/>
              <w:start w:w="120" w:type="dxa"/>
              <w:end w:w="120" w:type="dxa"/>
            </w:tcMar>
            <w:vAlign w:val="center"/>
          </w:tcPr>
          <w:p>
            <w:pPr>
              <w:jc w:val="left"/>
            </w:pPr>
            <w:r>
              <w:rPr>
                <w:sz w:val="19"/>
              </w:rPr>
              <w:t>研发投入是否转化为新术式、新平台和更高利用率</w:t>
            </w:r>
          </w:p>
        </w:tc>
      </w:tr>
      <w:tr>
        <w:tc>
          <w:tcPr>
            <w:tcW w:type="dxa" w:w="2200"/>
            <w:tcMar>
              <w:top w:w="80" w:type="dxa"/>
              <w:bottom w:w="80" w:type="dxa"/>
              <w:start w:w="120" w:type="dxa"/>
              <w:end w:w="120" w:type="dxa"/>
            </w:tcMar>
            <w:vAlign w:val="center"/>
          </w:tcPr>
          <w:p>
            <w:pPr>
              <w:jc w:val="center"/>
            </w:pPr>
            <w:r>
              <w:rPr>
                <w:sz w:val="19"/>
              </w:rPr>
              <w:t>资本配置</w:t>
            </w:r>
          </w:p>
        </w:tc>
        <w:tc>
          <w:tcPr>
            <w:tcW w:type="dxa" w:w="2500"/>
            <w:tcMar>
              <w:top w:w="80" w:type="dxa"/>
              <w:bottom w:w="80" w:type="dxa"/>
              <w:start w:w="120" w:type="dxa"/>
              <w:end w:w="120" w:type="dxa"/>
            </w:tcMar>
            <w:vAlign w:val="center"/>
          </w:tcPr>
          <w:p>
            <w:pPr>
              <w:jc w:val="left"/>
            </w:pPr>
            <w:r>
              <w:rPr>
                <w:sz w:val="19"/>
              </w:rPr>
              <w:t>股票回购、研发、产能和全球渠道</w:t>
            </w:r>
          </w:p>
        </w:tc>
        <w:tc>
          <w:tcPr>
            <w:tcW w:type="dxa" w:w="4660"/>
            <w:tcMar>
              <w:top w:w="80" w:type="dxa"/>
              <w:bottom w:w="80" w:type="dxa"/>
              <w:start w:w="120" w:type="dxa"/>
              <w:end w:w="120" w:type="dxa"/>
            </w:tcMar>
            <w:vAlign w:val="center"/>
          </w:tcPr>
          <w:p>
            <w:pPr>
              <w:jc w:val="left"/>
            </w:pPr>
            <w:r>
              <w:rPr>
                <w:sz w:val="19"/>
              </w:rPr>
              <w:t>高估值下回购效率、现金使用纪律和并购可能性</w:t>
            </w:r>
          </w:p>
        </w:tc>
      </w:tr>
    </w:tbl>
    <w:p/>
    <w:p>
      <w:pPr>
        <w:spacing w:after="120" w:line="264" w:lineRule="auto"/>
      </w:pPr>
      <w:r>
        <w:rPr>
          <w:sz w:val="22"/>
        </w:rPr>
        <w:t>ISRG 长期保持净现金资产负债表，资本配置相对保守。公司更愿意把资金投入研发、产能、培训和平台扩张，而不是通过高杠杆并购追求短期增长。这种策略降低了财务风险，但也意味着估值主要依赖内生增长和持续创新。</w:t>
      </w:r>
    </w:p>
    <w:p>
      <w:pPr>
        <w:pStyle w:val="Heading1"/>
      </w:pPr>
      <w:r>
        <w:t>八、财务会计信息</w:t>
      </w:r>
    </w:p>
    <w:p>
      <w:pPr>
        <w:pStyle w:val="Heading2"/>
      </w:pPr>
      <w:r>
        <w:t>8.1 2026 Q1 最新季度表现</w:t>
      </w:r>
    </w:p>
    <w:tbl>
      <w:tblPr>
        <w:tblStyle w:val="TableGrid"/>
        <w:tblW w:type="dxa" w:w="9360"/>
        <w:jc w:val="center"/>
        <w:tblLook w:firstColumn="1" w:firstRow="1" w:lastColumn="0" w:lastRow="0" w:noHBand="0" w:noVBand="1" w:val="04A0"/>
        <w:tblInd w:w="120" w:type="dxa"/>
      </w:tblPr>
      <w:tblGrid>
        <w:gridCol w:w="1900"/>
        <w:gridCol w:w="1700"/>
        <w:gridCol w:w="1500"/>
        <w:gridCol w:w="4260"/>
      </w:tblGrid>
      <w:tr>
        <w:trPr>
          <w:tblHeader w:val="true"/>
        </w:trPr>
        <w:tc>
          <w:tcPr>
            <w:tcW w:type="dxa" w:w="1900"/>
            <w:shd w:fill="E8EEF5"/>
            <w:tcMar>
              <w:top w:w="80" w:type="dxa"/>
              <w:bottom w:w="80" w:type="dxa"/>
              <w:start w:w="120" w:type="dxa"/>
              <w:end w:w="120" w:type="dxa"/>
            </w:tcMar>
            <w:vAlign w:val="center"/>
          </w:tcPr>
          <w:p>
            <w:pPr>
              <w:jc w:val="center"/>
            </w:pPr>
            <w:r>
              <w:rPr>
                <w:b/>
                <w:sz w:val="19"/>
              </w:rPr>
              <w:t>指标</w:t>
            </w:r>
          </w:p>
        </w:tc>
        <w:tc>
          <w:tcPr>
            <w:tcW w:type="dxa" w:w="1700"/>
            <w:shd w:fill="E8EEF5"/>
            <w:tcMar>
              <w:top w:w="80" w:type="dxa"/>
              <w:bottom w:w="80" w:type="dxa"/>
              <w:start w:w="120" w:type="dxa"/>
              <w:end w:w="120" w:type="dxa"/>
            </w:tcMar>
            <w:vAlign w:val="center"/>
          </w:tcPr>
          <w:p>
            <w:pPr>
              <w:jc w:val="center"/>
            </w:pPr>
            <w:r>
              <w:rPr>
                <w:b/>
                <w:sz w:val="19"/>
              </w:rPr>
              <w:t>2026 Q1</w:t>
            </w:r>
          </w:p>
        </w:tc>
        <w:tc>
          <w:tcPr>
            <w:tcW w:type="dxa" w:w="1500"/>
            <w:shd w:fill="E8EEF5"/>
            <w:tcMar>
              <w:top w:w="80" w:type="dxa"/>
              <w:bottom w:w="80" w:type="dxa"/>
              <w:start w:w="120" w:type="dxa"/>
              <w:end w:w="120" w:type="dxa"/>
            </w:tcMar>
            <w:vAlign w:val="center"/>
          </w:tcPr>
          <w:p>
            <w:pPr>
              <w:jc w:val="center"/>
            </w:pPr>
            <w:r>
              <w:rPr>
                <w:b/>
                <w:sz w:val="19"/>
              </w:rPr>
              <w:t>同比变化</w:t>
            </w:r>
          </w:p>
        </w:tc>
        <w:tc>
          <w:tcPr>
            <w:tcW w:type="dxa" w:w="4260"/>
            <w:shd w:fill="E8EEF5"/>
            <w:tcMar>
              <w:top w:w="80" w:type="dxa"/>
              <w:bottom w:w="80" w:type="dxa"/>
              <w:start w:w="120" w:type="dxa"/>
              <w:end w:w="120" w:type="dxa"/>
            </w:tcMar>
            <w:vAlign w:val="center"/>
          </w:tcPr>
          <w:p>
            <w:pPr>
              <w:jc w:val="center"/>
            </w:pPr>
            <w:r>
              <w:rPr>
                <w:b/>
                <w:sz w:val="19"/>
              </w:rPr>
              <w:t>研究解读</w:t>
            </w:r>
          </w:p>
        </w:tc>
      </w:tr>
      <w:tr>
        <w:tc>
          <w:tcPr>
            <w:tcW w:type="dxa" w:w="1900"/>
            <w:tcMar>
              <w:top w:w="80" w:type="dxa"/>
              <w:bottom w:w="80" w:type="dxa"/>
              <w:start w:w="120" w:type="dxa"/>
              <w:end w:w="120" w:type="dxa"/>
            </w:tcMar>
            <w:vAlign w:val="center"/>
          </w:tcPr>
          <w:p>
            <w:pPr>
              <w:jc w:val="center"/>
            </w:pPr>
            <w:r>
              <w:rPr>
                <w:sz w:val="19"/>
              </w:rPr>
              <w:t>收入</w:t>
            </w:r>
          </w:p>
        </w:tc>
        <w:tc>
          <w:tcPr>
            <w:tcW w:type="dxa" w:w="1700"/>
            <w:tcMar>
              <w:top w:w="80" w:type="dxa"/>
              <w:bottom w:w="80" w:type="dxa"/>
              <w:start w:w="120" w:type="dxa"/>
              <w:end w:w="120" w:type="dxa"/>
            </w:tcMar>
            <w:vAlign w:val="center"/>
          </w:tcPr>
          <w:p>
            <w:pPr>
              <w:jc w:val="left"/>
            </w:pPr>
            <w:r>
              <w:rPr>
                <w:sz w:val="19"/>
              </w:rPr>
              <w:t>27.71 亿美元</w:t>
            </w:r>
          </w:p>
        </w:tc>
        <w:tc>
          <w:tcPr>
            <w:tcW w:type="dxa" w:w="1500"/>
            <w:tcMar>
              <w:top w:w="80" w:type="dxa"/>
              <w:bottom w:w="80" w:type="dxa"/>
              <w:start w:w="120" w:type="dxa"/>
              <w:end w:w="120" w:type="dxa"/>
            </w:tcMar>
            <w:vAlign w:val="center"/>
          </w:tcPr>
          <w:p>
            <w:pPr>
              <w:jc w:val="left"/>
            </w:pPr>
            <w:r>
              <w:rPr>
                <w:sz w:val="19"/>
              </w:rPr>
              <w:t>+23%</w:t>
            </w:r>
          </w:p>
        </w:tc>
        <w:tc>
          <w:tcPr>
            <w:tcW w:type="dxa" w:w="4260"/>
            <w:tcMar>
              <w:top w:w="80" w:type="dxa"/>
              <w:bottom w:w="80" w:type="dxa"/>
              <w:start w:w="120" w:type="dxa"/>
              <w:end w:w="120" w:type="dxa"/>
            </w:tcMar>
            <w:vAlign w:val="center"/>
          </w:tcPr>
          <w:p>
            <w:pPr>
              <w:jc w:val="left"/>
            </w:pPr>
            <w:r>
              <w:rPr>
                <w:sz w:val="19"/>
              </w:rPr>
              <w:t>手术量增长、系统装机和耗材服务共同驱动</w:t>
            </w:r>
          </w:p>
        </w:tc>
      </w:tr>
      <w:tr>
        <w:tc>
          <w:tcPr>
            <w:tcW w:type="dxa" w:w="1900"/>
            <w:tcMar>
              <w:top w:w="80" w:type="dxa"/>
              <w:bottom w:w="80" w:type="dxa"/>
              <w:start w:w="120" w:type="dxa"/>
              <w:end w:w="120" w:type="dxa"/>
            </w:tcMar>
            <w:vAlign w:val="center"/>
          </w:tcPr>
          <w:p>
            <w:pPr>
              <w:jc w:val="center"/>
            </w:pPr>
            <w:r>
              <w:rPr>
                <w:sz w:val="19"/>
              </w:rPr>
              <w:t>da Vinci 手术量</w:t>
            </w:r>
          </w:p>
        </w:tc>
        <w:tc>
          <w:tcPr>
            <w:tcW w:type="dxa" w:w="1700"/>
            <w:tcMar>
              <w:top w:w="80" w:type="dxa"/>
              <w:bottom w:w="80" w:type="dxa"/>
              <w:start w:w="120" w:type="dxa"/>
              <w:end w:w="120" w:type="dxa"/>
            </w:tcMar>
            <w:vAlign w:val="center"/>
          </w:tcPr>
          <w:p>
            <w:pPr>
              <w:jc w:val="left"/>
            </w:pPr>
            <w:r>
              <w:rPr>
                <w:sz w:val="19"/>
              </w:rPr>
              <w:t>同比约 +18%</w:t>
            </w:r>
          </w:p>
        </w:tc>
        <w:tc>
          <w:tcPr>
            <w:tcW w:type="dxa" w:w="1500"/>
            <w:tcMar>
              <w:top w:w="80" w:type="dxa"/>
              <w:bottom w:w="80" w:type="dxa"/>
              <w:start w:w="120" w:type="dxa"/>
              <w:end w:w="120" w:type="dxa"/>
            </w:tcMar>
            <w:vAlign w:val="center"/>
          </w:tcPr>
          <w:p>
            <w:pPr>
              <w:jc w:val="left"/>
            </w:pPr>
            <w:r>
              <w:rPr>
                <w:sz w:val="19"/>
              </w:rPr>
              <w:t>高基数下仍保持双位数增长</w:t>
            </w:r>
          </w:p>
        </w:tc>
        <w:tc>
          <w:tcPr>
            <w:tcW w:type="dxa" w:w="4260"/>
            <w:tcMar>
              <w:top w:w="80" w:type="dxa"/>
              <w:bottom w:w="80" w:type="dxa"/>
              <w:start w:w="120" w:type="dxa"/>
              <w:end w:w="120" w:type="dxa"/>
            </w:tcMar>
            <w:vAlign w:val="center"/>
          </w:tcPr>
          <w:p>
            <w:pPr>
              <w:jc w:val="left"/>
            </w:pPr>
            <w:r>
              <w:rPr>
                <w:sz w:val="19"/>
              </w:rPr>
              <w:t>是器械与附件收入复利的核心</w:t>
            </w:r>
          </w:p>
        </w:tc>
      </w:tr>
      <w:tr>
        <w:tc>
          <w:tcPr>
            <w:tcW w:type="dxa" w:w="1900"/>
            <w:tcMar>
              <w:top w:w="80" w:type="dxa"/>
              <w:bottom w:w="80" w:type="dxa"/>
              <w:start w:w="120" w:type="dxa"/>
              <w:end w:w="120" w:type="dxa"/>
            </w:tcMar>
            <w:vAlign w:val="center"/>
          </w:tcPr>
          <w:p>
            <w:pPr>
              <w:jc w:val="center"/>
            </w:pPr>
            <w:r>
              <w:rPr>
                <w:sz w:val="19"/>
              </w:rPr>
              <w:t>系统装机量</w:t>
            </w:r>
          </w:p>
        </w:tc>
        <w:tc>
          <w:tcPr>
            <w:tcW w:type="dxa" w:w="1700"/>
            <w:tcMar>
              <w:top w:w="80" w:type="dxa"/>
              <w:bottom w:w="80" w:type="dxa"/>
              <w:start w:w="120" w:type="dxa"/>
              <w:end w:w="120" w:type="dxa"/>
            </w:tcMar>
            <w:vAlign w:val="center"/>
          </w:tcPr>
          <w:p>
            <w:pPr>
              <w:jc w:val="left"/>
            </w:pPr>
            <w:r>
              <w:rPr>
                <w:sz w:val="19"/>
              </w:rPr>
              <w:t>da Vinci 装机基数 11,395 台</w:t>
            </w:r>
          </w:p>
        </w:tc>
        <w:tc>
          <w:tcPr>
            <w:tcW w:type="dxa" w:w="1500"/>
            <w:tcMar>
              <w:top w:w="80" w:type="dxa"/>
              <w:bottom w:w="80" w:type="dxa"/>
              <w:start w:w="120" w:type="dxa"/>
              <w:end w:w="120" w:type="dxa"/>
            </w:tcMar>
            <w:vAlign w:val="center"/>
          </w:tcPr>
          <w:p>
            <w:pPr>
              <w:jc w:val="left"/>
            </w:pPr>
            <w:r>
              <w:rPr>
                <w:sz w:val="19"/>
              </w:rPr>
              <w:t>+15%</w:t>
            </w:r>
          </w:p>
        </w:tc>
        <w:tc>
          <w:tcPr>
            <w:tcW w:type="dxa" w:w="4260"/>
            <w:tcMar>
              <w:top w:w="80" w:type="dxa"/>
              <w:bottom w:w="80" w:type="dxa"/>
              <w:start w:w="120" w:type="dxa"/>
              <w:end w:w="120" w:type="dxa"/>
            </w:tcMar>
            <w:vAlign w:val="center"/>
          </w:tcPr>
          <w:p>
            <w:pPr>
              <w:jc w:val="left"/>
            </w:pPr>
            <w:r>
              <w:rPr>
                <w:sz w:val="19"/>
              </w:rPr>
              <w:t>装机越多，服务和耗材收入稳定性越高</w:t>
            </w:r>
          </w:p>
        </w:tc>
      </w:tr>
      <w:tr>
        <w:tc>
          <w:tcPr>
            <w:tcW w:type="dxa" w:w="1900"/>
            <w:tcMar>
              <w:top w:w="80" w:type="dxa"/>
              <w:bottom w:w="80" w:type="dxa"/>
              <w:start w:w="120" w:type="dxa"/>
              <w:end w:w="120" w:type="dxa"/>
            </w:tcMar>
            <w:vAlign w:val="center"/>
          </w:tcPr>
          <w:p>
            <w:pPr>
              <w:jc w:val="center"/>
            </w:pPr>
            <w:r>
              <w:rPr>
                <w:sz w:val="19"/>
              </w:rPr>
              <w:t>经常性收入占比</w:t>
            </w:r>
          </w:p>
        </w:tc>
        <w:tc>
          <w:tcPr>
            <w:tcW w:type="dxa" w:w="1700"/>
            <w:tcMar>
              <w:top w:w="80" w:type="dxa"/>
              <w:bottom w:w="80" w:type="dxa"/>
              <w:start w:w="120" w:type="dxa"/>
              <w:end w:w="120" w:type="dxa"/>
            </w:tcMar>
            <w:vAlign w:val="center"/>
          </w:tcPr>
          <w:p>
            <w:pPr>
              <w:jc w:val="left"/>
            </w:pPr>
            <w:r>
              <w:rPr>
                <w:sz w:val="19"/>
              </w:rPr>
              <w:t>约 86%</w:t>
            </w:r>
          </w:p>
        </w:tc>
        <w:tc>
          <w:tcPr>
            <w:tcW w:type="dxa" w:w="1500"/>
            <w:tcMar>
              <w:top w:w="80" w:type="dxa"/>
              <w:bottom w:w="80" w:type="dxa"/>
              <w:start w:w="120" w:type="dxa"/>
              <w:end w:w="120" w:type="dxa"/>
            </w:tcMar>
            <w:vAlign w:val="center"/>
          </w:tcPr>
          <w:p>
            <w:pPr>
              <w:jc w:val="left"/>
            </w:pPr>
            <w:r>
              <w:rPr>
                <w:sz w:val="19"/>
              </w:rPr>
              <w:t>维持高位</w:t>
            </w:r>
          </w:p>
        </w:tc>
        <w:tc>
          <w:tcPr>
            <w:tcW w:type="dxa" w:w="4260"/>
            <w:tcMar>
              <w:top w:w="80" w:type="dxa"/>
              <w:bottom w:w="80" w:type="dxa"/>
              <w:start w:w="120" w:type="dxa"/>
              <w:end w:w="120" w:type="dxa"/>
            </w:tcMar>
            <w:vAlign w:val="center"/>
          </w:tcPr>
          <w:p>
            <w:pPr>
              <w:jc w:val="left"/>
            </w:pPr>
            <w:r>
              <w:rPr>
                <w:sz w:val="19"/>
              </w:rPr>
              <w:t>商业模式从设备销售转向平台复购</w:t>
            </w:r>
          </w:p>
        </w:tc>
      </w:tr>
      <w:tr>
        <w:tc>
          <w:tcPr>
            <w:tcW w:type="dxa" w:w="1900"/>
            <w:tcMar>
              <w:top w:w="80" w:type="dxa"/>
              <w:bottom w:w="80" w:type="dxa"/>
              <w:start w:w="120" w:type="dxa"/>
              <w:end w:w="120" w:type="dxa"/>
            </w:tcMar>
            <w:vAlign w:val="center"/>
          </w:tcPr>
          <w:p>
            <w:pPr>
              <w:jc w:val="center"/>
            </w:pPr>
            <w:r>
              <w:rPr>
                <w:sz w:val="19"/>
              </w:rPr>
              <w:t>营业利润率</w:t>
            </w:r>
          </w:p>
        </w:tc>
        <w:tc>
          <w:tcPr>
            <w:tcW w:type="dxa" w:w="1700"/>
            <w:tcMar>
              <w:top w:w="80" w:type="dxa"/>
              <w:bottom w:w="80" w:type="dxa"/>
              <w:start w:w="120" w:type="dxa"/>
              <w:end w:w="120" w:type="dxa"/>
            </w:tcMar>
            <w:vAlign w:val="center"/>
          </w:tcPr>
          <w:p>
            <w:pPr>
              <w:jc w:val="left"/>
            </w:pPr>
            <w:r>
              <w:rPr>
                <w:sz w:val="19"/>
              </w:rPr>
              <w:t>约 30.9%</w:t>
            </w:r>
          </w:p>
        </w:tc>
        <w:tc>
          <w:tcPr>
            <w:tcW w:type="dxa" w:w="1500"/>
            <w:tcMar>
              <w:top w:w="80" w:type="dxa"/>
              <w:bottom w:w="80" w:type="dxa"/>
              <w:start w:w="120" w:type="dxa"/>
              <w:end w:w="120" w:type="dxa"/>
            </w:tcMar>
            <w:vAlign w:val="center"/>
          </w:tcPr>
          <w:p>
            <w:pPr>
              <w:jc w:val="left"/>
            </w:pPr>
            <w:r>
              <w:rPr>
                <w:sz w:val="19"/>
              </w:rPr>
              <w:t>维持高盈利</w:t>
            </w:r>
          </w:p>
        </w:tc>
        <w:tc>
          <w:tcPr>
            <w:tcW w:type="dxa" w:w="4260"/>
            <w:tcMar>
              <w:top w:w="80" w:type="dxa"/>
              <w:bottom w:w="80" w:type="dxa"/>
              <w:start w:w="120" w:type="dxa"/>
              <w:end w:w="120" w:type="dxa"/>
            </w:tcMar>
            <w:vAlign w:val="center"/>
          </w:tcPr>
          <w:p>
            <w:pPr>
              <w:jc w:val="left"/>
            </w:pPr>
            <w:r>
              <w:rPr>
                <w:sz w:val="19"/>
              </w:rPr>
              <w:t>费用投入增加下仍有强利润韧性</w:t>
            </w:r>
          </w:p>
        </w:tc>
      </w:tr>
      <w:tr>
        <w:tc>
          <w:tcPr>
            <w:tcW w:type="dxa" w:w="1900"/>
            <w:tcMar>
              <w:top w:w="80" w:type="dxa"/>
              <w:bottom w:w="80" w:type="dxa"/>
              <w:start w:w="120" w:type="dxa"/>
              <w:end w:w="120" w:type="dxa"/>
            </w:tcMar>
            <w:vAlign w:val="center"/>
          </w:tcPr>
          <w:p>
            <w:pPr>
              <w:jc w:val="center"/>
            </w:pPr>
            <w:r>
              <w:rPr>
                <w:sz w:val="19"/>
              </w:rPr>
              <w:t>现金及投资</w:t>
            </w:r>
          </w:p>
        </w:tc>
        <w:tc>
          <w:tcPr>
            <w:tcW w:type="dxa" w:w="1700"/>
            <w:tcMar>
              <w:top w:w="80" w:type="dxa"/>
              <w:bottom w:w="80" w:type="dxa"/>
              <w:start w:w="120" w:type="dxa"/>
              <w:end w:w="120" w:type="dxa"/>
            </w:tcMar>
            <w:vAlign w:val="center"/>
          </w:tcPr>
          <w:p>
            <w:pPr>
              <w:jc w:val="left"/>
            </w:pPr>
            <w:r>
              <w:rPr>
                <w:sz w:val="19"/>
              </w:rPr>
              <w:t>约 79.8 亿美元</w:t>
            </w:r>
          </w:p>
        </w:tc>
        <w:tc>
          <w:tcPr>
            <w:tcW w:type="dxa" w:w="1500"/>
            <w:tcMar>
              <w:top w:w="80" w:type="dxa"/>
              <w:bottom w:w="80" w:type="dxa"/>
              <w:start w:w="120" w:type="dxa"/>
              <w:end w:w="120" w:type="dxa"/>
            </w:tcMar>
            <w:vAlign w:val="center"/>
          </w:tcPr>
          <w:p>
            <w:pPr>
              <w:jc w:val="left"/>
            </w:pPr>
            <w:r>
              <w:rPr>
                <w:sz w:val="19"/>
              </w:rPr>
              <w:t>净现金</w:t>
            </w:r>
          </w:p>
        </w:tc>
        <w:tc>
          <w:tcPr>
            <w:tcW w:type="dxa" w:w="4260"/>
            <w:tcMar>
              <w:top w:w="80" w:type="dxa"/>
              <w:bottom w:w="80" w:type="dxa"/>
              <w:start w:w="120" w:type="dxa"/>
              <w:end w:w="120" w:type="dxa"/>
            </w:tcMar>
            <w:vAlign w:val="center"/>
          </w:tcPr>
          <w:p>
            <w:pPr>
              <w:jc w:val="left"/>
            </w:pPr>
            <w:r>
              <w:rPr>
                <w:sz w:val="19"/>
              </w:rPr>
              <w:t>提供研发、产能和抗周期安全垫</w:t>
            </w:r>
          </w:p>
        </w:tc>
      </w:tr>
    </w:tbl>
    <w:p/>
    <w:p>
      <w:pPr>
        <w:pStyle w:val="Heading2"/>
      </w:pPr>
      <w:r>
        <w:t>8.2 FY2023-FY2025 收入与利润趋势</w:t>
      </w:r>
    </w:p>
    <w:tbl>
      <w:tblPr>
        <w:tblStyle w:val="TableGrid"/>
        <w:tblW w:type="dxa" w:w="9360"/>
        <w:jc w:val="center"/>
        <w:tblLook w:firstColumn="1" w:firstRow="1" w:lastColumn="0" w:lastRow="0" w:noHBand="0" w:noVBand="1" w:val="04A0"/>
        <w:tblInd w:w="120" w:type="dxa"/>
      </w:tblPr>
      <w:tblGrid>
        <w:gridCol w:w="1500"/>
        <w:gridCol w:w="1500"/>
        <w:gridCol w:w="1500"/>
        <w:gridCol w:w="1500"/>
        <w:gridCol w:w="3360"/>
      </w:tblGrid>
      <w:tr>
        <w:trPr>
          <w:tblHeader w:val="true"/>
        </w:trPr>
        <w:tc>
          <w:tcPr>
            <w:tcW w:type="dxa" w:w="1500"/>
            <w:shd w:fill="F2F4F7"/>
            <w:tcMar>
              <w:top w:w="80" w:type="dxa"/>
              <w:bottom w:w="80" w:type="dxa"/>
              <w:start w:w="120" w:type="dxa"/>
              <w:end w:w="120" w:type="dxa"/>
            </w:tcMar>
            <w:vAlign w:val="center"/>
          </w:tcPr>
          <w:p>
            <w:pPr>
              <w:jc w:val="center"/>
            </w:pPr>
            <w:r>
              <w:rPr>
                <w:b/>
                <w:sz w:val="19"/>
              </w:rPr>
              <w:t>指标</w:t>
            </w:r>
          </w:p>
        </w:tc>
        <w:tc>
          <w:tcPr>
            <w:tcW w:type="dxa" w:w="1500"/>
            <w:shd w:fill="F2F4F7"/>
            <w:tcMar>
              <w:top w:w="80" w:type="dxa"/>
              <w:bottom w:w="80" w:type="dxa"/>
              <w:start w:w="120" w:type="dxa"/>
              <w:end w:w="120" w:type="dxa"/>
            </w:tcMar>
            <w:vAlign w:val="center"/>
          </w:tcPr>
          <w:p>
            <w:pPr>
              <w:jc w:val="center"/>
            </w:pPr>
            <w:r>
              <w:rPr>
                <w:b/>
                <w:sz w:val="19"/>
              </w:rPr>
              <w:t>FY2023</w:t>
            </w:r>
          </w:p>
        </w:tc>
        <w:tc>
          <w:tcPr>
            <w:tcW w:type="dxa" w:w="1500"/>
            <w:shd w:fill="F2F4F7"/>
            <w:tcMar>
              <w:top w:w="80" w:type="dxa"/>
              <w:bottom w:w="80" w:type="dxa"/>
              <w:start w:w="120" w:type="dxa"/>
              <w:end w:w="120" w:type="dxa"/>
            </w:tcMar>
            <w:vAlign w:val="center"/>
          </w:tcPr>
          <w:p>
            <w:pPr>
              <w:jc w:val="center"/>
            </w:pPr>
            <w:r>
              <w:rPr>
                <w:b/>
                <w:sz w:val="19"/>
              </w:rPr>
              <w:t>FY2024</w:t>
            </w:r>
          </w:p>
        </w:tc>
        <w:tc>
          <w:tcPr>
            <w:tcW w:type="dxa" w:w="1500"/>
            <w:shd w:fill="F2F4F7"/>
            <w:tcMar>
              <w:top w:w="80" w:type="dxa"/>
              <w:bottom w:w="80" w:type="dxa"/>
              <w:start w:w="120" w:type="dxa"/>
              <w:end w:w="120" w:type="dxa"/>
            </w:tcMar>
            <w:vAlign w:val="center"/>
          </w:tcPr>
          <w:p>
            <w:pPr>
              <w:jc w:val="center"/>
            </w:pPr>
            <w:r>
              <w:rPr>
                <w:b/>
                <w:sz w:val="19"/>
              </w:rPr>
              <w:t>FY2025</w:t>
            </w:r>
          </w:p>
        </w:tc>
        <w:tc>
          <w:tcPr>
            <w:tcW w:type="dxa" w:w="3360"/>
            <w:shd w:fill="F2F4F7"/>
            <w:tcMar>
              <w:top w:w="80" w:type="dxa"/>
              <w:bottom w:w="80" w:type="dxa"/>
              <w:start w:w="120" w:type="dxa"/>
              <w:end w:w="120" w:type="dxa"/>
            </w:tcMar>
            <w:vAlign w:val="center"/>
          </w:tcPr>
          <w:p>
            <w:pPr>
              <w:jc w:val="center"/>
            </w:pPr>
            <w:r>
              <w:rPr>
                <w:b/>
                <w:sz w:val="19"/>
              </w:rPr>
              <w:t>趋势解读</w:t>
            </w:r>
          </w:p>
        </w:tc>
      </w:tr>
      <w:tr>
        <w:tc>
          <w:tcPr>
            <w:tcW w:type="dxa" w:w="1500"/>
            <w:tcMar>
              <w:top w:w="80" w:type="dxa"/>
              <w:bottom w:w="80" w:type="dxa"/>
              <w:start w:w="120" w:type="dxa"/>
              <w:end w:w="120" w:type="dxa"/>
            </w:tcMar>
            <w:vAlign w:val="center"/>
          </w:tcPr>
          <w:p>
            <w:pPr>
              <w:jc w:val="center"/>
            </w:pPr>
            <w:r>
              <w:rPr>
                <w:sz w:val="19"/>
              </w:rPr>
              <w:t>收入</w:t>
            </w:r>
          </w:p>
        </w:tc>
        <w:tc>
          <w:tcPr>
            <w:tcW w:type="dxa" w:w="1500"/>
            <w:tcMar>
              <w:top w:w="80" w:type="dxa"/>
              <w:bottom w:w="80" w:type="dxa"/>
              <w:start w:w="120" w:type="dxa"/>
              <w:end w:w="120" w:type="dxa"/>
            </w:tcMar>
            <w:vAlign w:val="center"/>
          </w:tcPr>
          <w:p>
            <w:pPr>
              <w:jc w:val="left"/>
            </w:pPr>
            <w:r>
              <w:rPr>
                <w:sz w:val="19"/>
              </w:rPr>
              <w:t>71.24 亿美元</w:t>
            </w:r>
          </w:p>
        </w:tc>
        <w:tc>
          <w:tcPr>
            <w:tcW w:type="dxa" w:w="1500"/>
            <w:tcMar>
              <w:top w:w="80" w:type="dxa"/>
              <w:bottom w:w="80" w:type="dxa"/>
              <w:start w:w="120" w:type="dxa"/>
              <w:end w:w="120" w:type="dxa"/>
            </w:tcMar>
            <w:vAlign w:val="center"/>
          </w:tcPr>
          <w:p>
            <w:pPr>
              <w:jc w:val="left"/>
            </w:pPr>
            <w:r>
              <w:rPr>
                <w:sz w:val="19"/>
              </w:rPr>
              <w:t>83.52 亿美元</w:t>
            </w:r>
          </w:p>
        </w:tc>
        <w:tc>
          <w:tcPr>
            <w:tcW w:type="dxa" w:w="1500"/>
            <w:tcMar>
              <w:top w:w="80" w:type="dxa"/>
              <w:bottom w:w="80" w:type="dxa"/>
              <w:start w:w="120" w:type="dxa"/>
              <w:end w:w="120" w:type="dxa"/>
            </w:tcMar>
            <w:vAlign w:val="center"/>
          </w:tcPr>
          <w:p>
            <w:pPr>
              <w:jc w:val="left"/>
            </w:pPr>
            <w:r>
              <w:rPr>
                <w:sz w:val="19"/>
              </w:rPr>
              <w:t>100.65 亿美元</w:t>
            </w:r>
          </w:p>
        </w:tc>
        <w:tc>
          <w:tcPr>
            <w:tcW w:type="dxa" w:w="3360"/>
            <w:tcMar>
              <w:top w:w="80" w:type="dxa"/>
              <w:bottom w:w="80" w:type="dxa"/>
              <w:start w:w="120" w:type="dxa"/>
              <w:end w:w="120" w:type="dxa"/>
            </w:tcMar>
            <w:vAlign w:val="center"/>
          </w:tcPr>
          <w:p>
            <w:pPr>
              <w:jc w:val="left"/>
            </w:pPr>
            <w:r>
              <w:rPr>
                <w:sz w:val="19"/>
              </w:rPr>
              <w:t>三年连续增长，FY2025 首次突破百亿美元</w:t>
            </w:r>
          </w:p>
        </w:tc>
      </w:tr>
      <w:tr>
        <w:tc>
          <w:tcPr>
            <w:tcW w:type="dxa" w:w="1500"/>
            <w:tcMar>
              <w:top w:w="80" w:type="dxa"/>
              <w:bottom w:w="80" w:type="dxa"/>
              <w:start w:w="120" w:type="dxa"/>
              <w:end w:w="120" w:type="dxa"/>
            </w:tcMar>
            <w:vAlign w:val="center"/>
          </w:tcPr>
          <w:p>
            <w:pPr>
              <w:jc w:val="center"/>
            </w:pPr>
            <w:r>
              <w:rPr>
                <w:sz w:val="19"/>
              </w:rPr>
              <w:t>收入增速</w:t>
            </w:r>
          </w:p>
        </w:tc>
        <w:tc>
          <w:tcPr>
            <w:tcW w:type="dxa" w:w="1500"/>
            <w:tcMar>
              <w:top w:w="80" w:type="dxa"/>
              <w:bottom w:w="80" w:type="dxa"/>
              <w:start w:w="120" w:type="dxa"/>
              <w:end w:w="120" w:type="dxa"/>
            </w:tcMar>
            <w:vAlign w:val="center"/>
          </w:tcPr>
          <w:p>
            <w:pPr>
              <w:jc w:val="left"/>
            </w:pPr>
            <w:r>
              <w:rPr>
                <w:sz w:val="19"/>
              </w:rPr>
              <w:t>+14.5%</w:t>
            </w:r>
          </w:p>
        </w:tc>
        <w:tc>
          <w:tcPr>
            <w:tcW w:type="dxa" w:w="1500"/>
            <w:tcMar>
              <w:top w:w="80" w:type="dxa"/>
              <w:bottom w:w="80" w:type="dxa"/>
              <w:start w:w="120" w:type="dxa"/>
              <w:end w:w="120" w:type="dxa"/>
            </w:tcMar>
            <w:vAlign w:val="center"/>
          </w:tcPr>
          <w:p>
            <w:pPr>
              <w:jc w:val="left"/>
            </w:pPr>
            <w:r>
              <w:rPr>
                <w:sz w:val="19"/>
              </w:rPr>
              <w:t>+17.3%</w:t>
            </w:r>
          </w:p>
        </w:tc>
        <w:tc>
          <w:tcPr>
            <w:tcW w:type="dxa" w:w="1500"/>
            <w:tcMar>
              <w:top w:w="80" w:type="dxa"/>
              <w:bottom w:w="80" w:type="dxa"/>
              <w:start w:w="120" w:type="dxa"/>
              <w:end w:w="120" w:type="dxa"/>
            </w:tcMar>
            <w:vAlign w:val="center"/>
          </w:tcPr>
          <w:p>
            <w:pPr>
              <w:jc w:val="left"/>
            </w:pPr>
            <w:r>
              <w:rPr>
                <w:sz w:val="19"/>
              </w:rPr>
              <w:t>+20.5%</w:t>
            </w:r>
          </w:p>
        </w:tc>
        <w:tc>
          <w:tcPr>
            <w:tcW w:type="dxa" w:w="3360"/>
            <w:tcMar>
              <w:top w:w="80" w:type="dxa"/>
              <w:bottom w:w="80" w:type="dxa"/>
              <w:start w:w="120" w:type="dxa"/>
              <w:end w:w="120" w:type="dxa"/>
            </w:tcMar>
            <w:vAlign w:val="center"/>
          </w:tcPr>
          <w:p>
            <w:pPr>
              <w:jc w:val="left"/>
            </w:pPr>
            <w:r>
              <w:rPr>
                <w:sz w:val="19"/>
              </w:rPr>
              <w:t>达芬奇手术量和装机增长带动收入加速</w:t>
            </w:r>
          </w:p>
        </w:tc>
      </w:tr>
      <w:tr>
        <w:tc>
          <w:tcPr>
            <w:tcW w:type="dxa" w:w="1500"/>
            <w:tcMar>
              <w:top w:w="80" w:type="dxa"/>
              <w:bottom w:w="80" w:type="dxa"/>
              <w:start w:w="120" w:type="dxa"/>
              <w:end w:w="120" w:type="dxa"/>
            </w:tcMar>
            <w:vAlign w:val="center"/>
          </w:tcPr>
          <w:p>
            <w:pPr>
              <w:jc w:val="center"/>
            </w:pPr>
            <w:r>
              <w:rPr>
                <w:sz w:val="19"/>
              </w:rPr>
              <w:t>毛利率</w:t>
            </w:r>
          </w:p>
        </w:tc>
        <w:tc>
          <w:tcPr>
            <w:tcW w:type="dxa" w:w="1500"/>
            <w:tcMar>
              <w:top w:w="80" w:type="dxa"/>
              <w:bottom w:w="80" w:type="dxa"/>
              <w:start w:w="120" w:type="dxa"/>
              <w:end w:w="120" w:type="dxa"/>
            </w:tcMar>
            <w:vAlign w:val="center"/>
          </w:tcPr>
          <w:p>
            <w:pPr>
              <w:jc w:val="left"/>
            </w:pPr>
            <w:r>
              <w:rPr>
                <w:sz w:val="19"/>
              </w:rPr>
              <w:t>约 66%</w:t>
            </w:r>
          </w:p>
        </w:tc>
        <w:tc>
          <w:tcPr>
            <w:tcW w:type="dxa" w:w="1500"/>
            <w:tcMar>
              <w:top w:w="80" w:type="dxa"/>
              <w:bottom w:w="80" w:type="dxa"/>
              <w:start w:w="120" w:type="dxa"/>
              <w:end w:w="120" w:type="dxa"/>
            </w:tcMar>
            <w:vAlign w:val="center"/>
          </w:tcPr>
          <w:p>
            <w:pPr>
              <w:jc w:val="left"/>
            </w:pPr>
            <w:r>
              <w:rPr>
                <w:sz w:val="19"/>
              </w:rPr>
              <w:t>约 67%</w:t>
            </w:r>
          </w:p>
        </w:tc>
        <w:tc>
          <w:tcPr>
            <w:tcW w:type="dxa" w:w="1500"/>
            <w:tcMar>
              <w:top w:w="80" w:type="dxa"/>
              <w:bottom w:w="80" w:type="dxa"/>
              <w:start w:w="120" w:type="dxa"/>
              <w:end w:w="120" w:type="dxa"/>
            </w:tcMar>
            <w:vAlign w:val="center"/>
          </w:tcPr>
          <w:p>
            <w:pPr>
              <w:jc w:val="left"/>
            </w:pPr>
            <w:r>
              <w:rPr>
                <w:sz w:val="19"/>
              </w:rPr>
              <w:t>约 67%</w:t>
            </w:r>
          </w:p>
        </w:tc>
        <w:tc>
          <w:tcPr>
            <w:tcW w:type="dxa" w:w="3360"/>
            <w:tcMar>
              <w:top w:w="80" w:type="dxa"/>
              <w:bottom w:w="80" w:type="dxa"/>
              <w:start w:w="120" w:type="dxa"/>
              <w:end w:w="120" w:type="dxa"/>
            </w:tcMar>
            <w:vAlign w:val="center"/>
          </w:tcPr>
          <w:p>
            <w:pPr>
              <w:jc w:val="left"/>
            </w:pPr>
            <w:r>
              <w:rPr>
                <w:sz w:val="19"/>
              </w:rPr>
              <w:t>高毛利体现耗材服务占比和平台定价能力</w:t>
            </w:r>
          </w:p>
        </w:tc>
      </w:tr>
      <w:tr>
        <w:tc>
          <w:tcPr>
            <w:tcW w:type="dxa" w:w="1500"/>
            <w:tcMar>
              <w:top w:w="80" w:type="dxa"/>
              <w:bottom w:w="80" w:type="dxa"/>
              <w:start w:w="120" w:type="dxa"/>
              <w:end w:w="120" w:type="dxa"/>
            </w:tcMar>
            <w:vAlign w:val="center"/>
          </w:tcPr>
          <w:p>
            <w:pPr>
              <w:jc w:val="center"/>
            </w:pPr>
            <w:r>
              <w:rPr>
                <w:sz w:val="19"/>
              </w:rPr>
              <w:t>营业利润率</w:t>
            </w:r>
          </w:p>
        </w:tc>
        <w:tc>
          <w:tcPr>
            <w:tcW w:type="dxa" w:w="1500"/>
            <w:tcMar>
              <w:top w:w="80" w:type="dxa"/>
              <w:bottom w:w="80" w:type="dxa"/>
              <w:start w:w="120" w:type="dxa"/>
              <w:end w:w="120" w:type="dxa"/>
            </w:tcMar>
            <w:vAlign w:val="center"/>
          </w:tcPr>
          <w:p>
            <w:pPr>
              <w:jc w:val="left"/>
            </w:pPr>
            <w:r>
              <w:rPr>
                <w:sz w:val="19"/>
              </w:rPr>
              <w:t>约 25%</w:t>
            </w:r>
          </w:p>
        </w:tc>
        <w:tc>
          <w:tcPr>
            <w:tcW w:type="dxa" w:w="1500"/>
            <w:tcMar>
              <w:top w:w="80" w:type="dxa"/>
              <w:bottom w:w="80" w:type="dxa"/>
              <w:start w:w="120" w:type="dxa"/>
              <w:end w:w="120" w:type="dxa"/>
            </w:tcMar>
            <w:vAlign w:val="center"/>
          </w:tcPr>
          <w:p>
            <w:pPr>
              <w:jc w:val="left"/>
            </w:pPr>
            <w:r>
              <w:rPr>
                <w:sz w:val="19"/>
              </w:rPr>
              <w:t>约 28%</w:t>
            </w:r>
          </w:p>
        </w:tc>
        <w:tc>
          <w:tcPr>
            <w:tcW w:type="dxa" w:w="1500"/>
            <w:tcMar>
              <w:top w:w="80" w:type="dxa"/>
              <w:bottom w:w="80" w:type="dxa"/>
              <w:start w:w="120" w:type="dxa"/>
              <w:end w:w="120" w:type="dxa"/>
            </w:tcMar>
            <w:vAlign w:val="center"/>
          </w:tcPr>
          <w:p>
            <w:pPr>
              <w:jc w:val="left"/>
            </w:pPr>
            <w:r>
              <w:rPr>
                <w:sz w:val="19"/>
              </w:rPr>
              <w:t>约 30%</w:t>
            </w:r>
          </w:p>
        </w:tc>
        <w:tc>
          <w:tcPr>
            <w:tcW w:type="dxa" w:w="3360"/>
            <w:tcMar>
              <w:top w:w="80" w:type="dxa"/>
              <w:bottom w:w="80" w:type="dxa"/>
              <w:start w:w="120" w:type="dxa"/>
              <w:end w:w="120" w:type="dxa"/>
            </w:tcMar>
            <w:vAlign w:val="center"/>
          </w:tcPr>
          <w:p>
            <w:pPr>
              <w:jc w:val="left"/>
            </w:pPr>
            <w:r>
              <w:rPr>
                <w:sz w:val="19"/>
              </w:rPr>
              <w:t>规模效应抵消研发和商业投入</w:t>
            </w:r>
          </w:p>
        </w:tc>
      </w:tr>
      <w:tr>
        <w:tc>
          <w:tcPr>
            <w:tcW w:type="dxa" w:w="1500"/>
            <w:tcMar>
              <w:top w:w="80" w:type="dxa"/>
              <w:bottom w:w="80" w:type="dxa"/>
              <w:start w:w="120" w:type="dxa"/>
              <w:end w:w="120" w:type="dxa"/>
            </w:tcMar>
            <w:vAlign w:val="center"/>
          </w:tcPr>
          <w:p>
            <w:pPr>
              <w:jc w:val="center"/>
            </w:pPr>
            <w:r>
              <w:rPr>
                <w:sz w:val="19"/>
              </w:rPr>
              <w:t>净利润</w:t>
            </w:r>
          </w:p>
        </w:tc>
        <w:tc>
          <w:tcPr>
            <w:tcW w:type="dxa" w:w="1500"/>
            <w:tcMar>
              <w:top w:w="80" w:type="dxa"/>
              <w:bottom w:w="80" w:type="dxa"/>
              <w:start w:w="120" w:type="dxa"/>
              <w:end w:w="120" w:type="dxa"/>
            </w:tcMar>
            <w:vAlign w:val="center"/>
          </w:tcPr>
          <w:p>
            <w:pPr>
              <w:jc w:val="left"/>
            </w:pPr>
            <w:r>
              <w:rPr>
                <w:sz w:val="19"/>
              </w:rPr>
              <w:t>约 18.0 亿美元</w:t>
            </w:r>
          </w:p>
        </w:tc>
        <w:tc>
          <w:tcPr>
            <w:tcW w:type="dxa" w:w="1500"/>
            <w:tcMar>
              <w:top w:w="80" w:type="dxa"/>
              <w:bottom w:w="80" w:type="dxa"/>
              <w:start w:w="120" w:type="dxa"/>
              <w:end w:w="120" w:type="dxa"/>
            </w:tcMar>
            <w:vAlign w:val="center"/>
          </w:tcPr>
          <w:p>
            <w:pPr>
              <w:jc w:val="left"/>
            </w:pPr>
            <w:r>
              <w:rPr>
                <w:sz w:val="19"/>
              </w:rPr>
              <w:t>约 23.2 亿美元</w:t>
            </w:r>
          </w:p>
        </w:tc>
        <w:tc>
          <w:tcPr>
            <w:tcW w:type="dxa" w:w="1500"/>
            <w:tcMar>
              <w:top w:w="80" w:type="dxa"/>
              <w:bottom w:w="80" w:type="dxa"/>
              <w:start w:w="120" w:type="dxa"/>
              <w:end w:w="120" w:type="dxa"/>
            </w:tcMar>
            <w:vAlign w:val="center"/>
          </w:tcPr>
          <w:p>
            <w:pPr>
              <w:jc w:val="left"/>
            </w:pPr>
            <w:r>
              <w:rPr>
                <w:sz w:val="19"/>
              </w:rPr>
              <w:t>约 28.8 亿美元</w:t>
            </w:r>
          </w:p>
        </w:tc>
        <w:tc>
          <w:tcPr>
            <w:tcW w:type="dxa" w:w="3360"/>
            <w:tcMar>
              <w:top w:w="80" w:type="dxa"/>
              <w:bottom w:w="80" w:type="dxa"/>
              <w:start w:w="120" w:type="dxa"/>
              <w:end w:w="120" w:type="dxa"/>
            </w:tcMar>
            <w:vAlign w:val="center"/>
          </w:tcPr>
          <w:p>
            <w:pPr>
              <w:jc w:val="left"/>
            </w:pPr>
            <w:r>
              <w:rPr>
                <w:sz w:val="19"/>
              </w:rPr>
              <w:t>盈利增长快于收入，经营杠杆释放</w:t>
            </w:r>
          </w:p>
        </w:tc>
      </w:tr>
      <w:tr>
        <w:tc>
          <w:tcPr>
            <w:tcW w:type="dxa" w:w="1500"/>
            <w:tcMar>
              <w:top w:w="80" w:type="dxa"/>
              <w:bottom w:w="80" w:type="dxa"/>
              <w:start w:w="120" w:type="dxa"/>
              <w:end w:w="120" w:type="dxa"/>
            </w:tcMar>
            <w:vAlign w:val="center"/>
          </w:tcPr>
          <w:p>
            <w:pPr>
              <w:jc w:val="center"/>
            </w:pPr>
            <w:r>
              <w:rPr>
                <w:sz w:val="19"/>
              </w:rPr>
              <w:t>自由现金流</w:t>
            </w:r>
          </w:p>
        </w:tc>
        <w:tc>
          <w:tcPr>
            <w:tcW w:type="dxa" w:w="1500"/>
            <w:tcMar>
              <w:top w:w="80" w:type="dxa"/>
              <w:bottom w:w="80" w:type="dxa"/>
              <w:start w:w="120" w:type="dxa"/>
              <w:end w:w="120" w:type="dxa"/>
            </w:tcMar>
            <w:vAlign w:val="center"/>
          </w:tcPr>
          <w:p>
            <w:pPr>
              <w:jc w:val="left"/>
            </w:pPr>
            <w:r>
              <w:rPr>
                <w:sz w:val="19"/>
              </w:rPr>
              <w:t>约 18-20 亿美元</w:t>
            </w:r>
          </w:p>
        </w:tc>
        <w:tc>
          <w:tcPr>
            <w:tcW w:type="dxa" w:w="1500"/>
            <w:tcMar>
              <w:top w:w="80" w:type="dxa"/>
              <w:bottom w:w="80" w:type="dxa"/>
              <w:start w:w="120" w:type="dxa"/>
              <w:end w:w="120" w:type="dxa"/>
            </w:tcMar>
            <w:vAlign w:val="center"/>
          </w:tcPr>
          <w:p>
            <w:pPr>
              <w:jc w:val="left"/>
            </w:pPr>
            <w:r>
              <w:rPr>
                <w:sz w:val="19"/>
              </w:rPr>
              <w:t>约 22-24 亿美元</w:t>
            </w:r>
          </w:p>
        </w:tc>
        <w:tc>
          <w:tcPr>
            <w:tcW w:type="dxa" w:w="1500"/>
            <w:tcMar>
              <w:top w:w="80" w:type="dxa"/>
              <w:bottom w:w="80" w:type="dxa"/>
              <w:start w:w="120" w:type="dxa"/>
              <w:end w:w="120" w:type="dxa"/>
            </w:tcMar>
            <w:vAlign w:val="center"/>
          </w:tcPr>
          <w:p>
            <w:pPr>
              <w:jc w:val="left"/>
            </w:pPr>
            <w:r>
              <w:rPr>
                <w:sz w:val="19"/>
              </w:rPr>
              <w:t>约 25 亿美元</w:t>
            </w:r>
          </w:p>
        </w:tc>
        <w:tc>
          <w:tcPr>
            <w:tcW w:type="dxa" w:w="3360"/>
            <w:tcMar>
              <w:top w:w="80" w:type="dxa"/>
              <w:bottom w:w="80" w:type="dxa"/>
              <w:start w:w="120" w:type="dxa"/>
              <w:end w:w="120" w:type="dxa"/>
            </w:tcMar>
            <w:vAlign w:val="center"/>
          </w:tcPr>
          <w:p>
            <w:pPr>
              <w:jc w:val="left"/>
            </w:pPr>
            <w:r>
              <w:rPr>
                <w:sz w:val="19"/>
              </w:rPr>
              <w:t>现金转换良好，但资本开支随产能和平台投入提升</w:t>
            </w:r>
          </w:p>
        </w:tc>
      </w:tr>
    </w:tbl>
    <w:p/>
    <w:p>
      <w:pPr>
        <w:spacing w:after="80"/>
      </w:pPr>
      <w:r>
        <w:rPr>
          <w:color w:val="585858"/>
          <w:sz w:val="18"/>
        </w:rPr>
        <w:t>注：FY2023-FY2025 趋势表采用公司 2025 Form 10-K 与公开财务口径整理，部分利润率为研究口径四舍五入，用于趋势分析而非审计重述。</w:t>
      </w:r>
    </w:p>
    <w:p>
      <w:pPr>
        <w:pStyle w:val="Heading2"/>
      </w:pPr>
      <w:r>
        <w:t>8.3 收入结构质量</w:t>
      </w:r>
    </w:p>
    <w:tbl>
      <w:tblPr>
        <w:tblStyle w:val="TableGrid"/>
        <w:tblW w:type="dxa" w:w="9360"/>
        <w:jc w:val="center"/>
        <w:tblLook w:firstColumn="1" w:firstRow="1" w:lastColumn="0" w:lastRow="0" w:noHBand="0" w:noVBand="1" w:val="04A0"/>
        <w:tblInd w:w="120" w:type="dxa"/>
      </w:tblPr>
      <w:tblGrid>
        <w:gridCol w:w="1900"/>
        <w:gridCol w:w="3300"/>
        <w:gridCol w:w="1900"/>
        <w:gridCol w:w="2260"/>
      </w:tblGrid>
      <w:tr>
        <w:trPr>
          <w:tblHeader w:val="true"/>
        </w:trPr>
        <w:tc>
          <w:tcPr>
            <w:tcW w:type="dxa" w:w="1900"/>
            <w:shd w:fill="E8EEF5"/>
            <w:tcMar>
              <w:top w:w="80" w:type="dxa"/>
              <w:bottom w:w="80" w:type="dxa"/>
              <w:start w:w="120" w:type="dxa"/>
              <w:end w:w="120" w:type="dxa"/>
            </w:tcMar>
            <w:vAlign w:val="center"/>
          </w:tcPr>
          <w:p>
            <w:pPr>
              <w:jc w:val="center"/>
            </w:pPr>
            <w:r>
              <w:rPr>
                <w:b/>
                <w:sz w:val="19"/>
              </w:rPr>
              <w:t>收入来源</w:t>
            </w:r>
          </w:p>
        </w:tc>
        <w:tc>
          <w:tcPr>
            <w:tcW w:type="dxa" w:w="3300"/>
            <w:shd w:fill="E8EEF5"/>
            <w:tcMar>
              <w:top w:w="80" w:type="dxa"/>
              <w:bottom w:w="80" w:type="dxa"/>
              <w:start w:w="120" w:type="dxa"/>
              <w:end w:w="120" w:type="dxa"/>
            </w:tcMar>
            <w:vAlign w:val="center"/>
          </w:tcPr>
          <w:p>
            <w:pPr>
              <w:jc w:val="center"/>
            </w:pPr>
            <w:r>
              <w:rPr>
                <w:b/>
                <w:sz w:val="19"/>
              </w:rPr>
              <w:t>特点</w:t>
            </w:r>
          </w:p>
        </w:tc>
        <w:tc>
          <w:tcPr>
            <w:tcW w:type="dxa" w:w="1900"/>
            <w:shd w:fill="E8EEF5"/>
            <w:tcMar>
              <w:top w:w="80" w:type="dxa"/>
              <w:bottom w:w="80" w:type="dxa"/>
              <w:start w:w="120" w:type="dxa"/>
              <w:end w:w="120" w:type="dxa"/>
            </w:tcMar>
            <w:vAlign w:val="center"/>
          </w:tcPr>
          <w:p>
            <w:pPr>
              <w:jc w:val="center"/>
            </w:pPr>
            <w:r>
              <w:rPr>
                <w:b/>
                <w:sz w:val="19"/>
              </w:rPr>
              <w:t>财务质量</w:t>
            </w:r>
          </w:p>
        </w:tc>
        <w:tc>
          <w:tcPr>
            <w:tcW w:type="dxa" w:w="2260"/>
            <w:shd w:fill="E8EEF5"/>
            <w:tcMar>
              <w:top w:w="80" w:type="dxa"/>
              <w:bottom w:w="80" w:type="dxa"/>
              <w:start w:w="120" w:type="dxa"/>
              <w:end w:w="120" w:type="dxa"/>
            </w:tcMar>
            <w:vAlign w:val="center"/>
          </w:tcPr>
          <w:p>
            <w:pPr>
              <w:jc w:val="center"/>
            </w:pPr>
            <w:r>
              <w:rPr>
                <w:b/>
                <w:sz w:val="19"/>
              </w:rPr>
              <w:t>估值含义</w:t>
            </w:r>
          </w:p>
        </w:tc>
      </w:tr>
      <w:tr>
        <w:tc>
          <w:tcPr>
            <w:tcW w:type="dxa" w:w="1900"/>
            <w:tcMar>
              <w:top w:w="80" w:type="dxa"/>
              <w:bottom w:w="80" w:type="dxa"/>
              <w:start w:w="120" w:type="dxa"/>
              <w:end w:w="120" w:type="dxa"/>
            </w:tcMar>
            <w:vAlign w:val="center"/>
          </w:tcPr>
          <w:p>
            <w:pPr>
              <w:jc w:val="center"/>
            </w:pPr>
            <w:r>
              <w:rPr>
                <w:sz w:val="19"/>
              </w:rPr>
              <w:t>系统收入</w:t>
            </w:r>
          </w:p>
        </w:tc>
        <w:tc>
          <w:tcPr>
            <w:tcW w:type="dxa" w:w="3300"/>
            <w:tcMar>
              <w:top w:w="80" w:type="dxa"/>
              <w:bottom w:w="80" w:type="dxa"/>
              <w:start w:w="120" w:type="dxa"/>
              <w:end w:w="120" w:type="dxa"/>
            </w:tcMar>
            <w:vAlign w:val="center"/>
          </w:tcPr>
          <w:p>
            <w:pPr>
              <w:jc w:val="left"/>
            </w:pPr>
            <w:r>
              <w:rPr>
                <w:sz w:val="19"/>
              </w:rPr>
              <w:t>新装机、租赁和换机驱动，受医院资本开支影响</w:t>
            </w:r>
          </w:p>
        </w:tc>
        <w:tc>
          <w:tcPr>
            <w:tcW w:type="dxa" w:w="1900"/>
            <w:tcMar>
              <w:top w:w="80" w:type="dxa"/>
              <w:bottom w:w="80" w:type="dxa"/>
              <w:start w:w="120" w:type="dxa"/>
              <w:end w:w="120" w:type="dxa"/>
            </w:tcMar>
            <w:vAlign w:val="center"/>
          </w:tcPr>
          <w:p>
            <w:pPr>
              <w:jc w:val="left"/>
            </w:pPr>
            <w:r>
              <w:rPr>
                <w:sz w:val="19"/>
              </w:rPr>
              <w:t>周期性相对更强</w:t>
            </w:r>
          </w:p>
        </w:tc>
        <w:tc>
          <w:tcPr>
            <w:tcW w:type="dxa" w:w="2260"/>
            <w:tcMar>
              <w:top w:w="80" w:type="dxa"/>
              <w:bottom w:w="80" w:type="dxa"/>
              <w:start w:w="120" w:type="dxa"/>
              <w:end w:w="120" w:type="dxa"/>
            </w:tcMar>
            <w:vAlign w:val="center"/>
          </w:tcPr>
          <w:p>
            <w:pPr>
              <w:jc w:val="left"/>
            </w:pPr>
            <w:r>
              <w:rPr>
                <w:sz w:val="19"/>
              </w:rPr>
              <w:t>影响短期收入增速和市场情绪</w:t>
            </w:r>
          </w:p>
        </w:tc>
      </w:tr>
      <w:tr>
        <w:tc>
          <w:tcPr>
            <w:tcW w:type="dxa" w:w="1900"/>
            <w:tcMar>
              <w:top w:w="80" w:type="dxa"/>
              <w:bottom w:w="80" w:type="dxa"/>
              <w:start w:w="120" w:type="dxa"/>
              <w:end w:w="120" w:type="dxa"/>
            </w:tcMar>
            <w:vAlign w:val="center"/>
          </w:tcPr>
          <w:p>
            <w:pPr>
              <w:jc w:val="center"/>
            </w:pPr>
            <w:r>
              <w:rPr>
                <w:sz w:val="19"/>
              </w:rPr>
              <w:t>器械与附件</w:t>
            </w:r>
          </w:p>
        </w:tc>
        <w:tc>
          <w:tcPr>
            <w:tcW w:type="dxa" w:w="3300"/>
            <w:tcMar>
              <w:top w:w="80" w:type="dxa"/>
              <w:bottom w:w="80" w:type="dxa"/>
              <w:start w:w="120" w:type="dxa"/>
              <w:end w:w="120" w:type="dxa"/>
            </w:tcMar>
            <w:vAlign w:val="center"/>
          </w:tcPr>
          <w:p>
            <w:pPr>
              <w:jc w:val="left"/>
            </w:pPr>
            <w:r>
              <w:rPr>
                <w:sz w:val="19"/>
              </w:rPr>
              <w:t>与每台系统手术量直接相关，复购属性强</w:t>
            </w:r>
          </w:p>
        </w:tc>
        <w:tc>
          <w:tcPr>
            <w:tcW w:type="dxa" w:w="1900"/>
            <w:tcMar>
              <w:top w:w="80" w:type="dxa"/>
              <w:bottom w:w="80" w:type="dxa"/>
              <w:start w:w="120" w:type="dxa"/>
              <w:end w:w="120" w:type="dxa"/>
            </w:tcMar>
            <w:vAlign w:val="center"/>
          </w:tcPr>
          <w:p>
            <w:pPr>
              <w:jc w:val="left"/>
            </w:pPr>
            <w:r>
              <w:rPr>
                <w:sz w:val="19"/>
              </w:rPr>
              <w:t>毛利和可预测性高</w:t>
            </w:r>
          </w:p>
        </w:tc>
        <w:tc>
          <w:tcPr>
            <w:tcW w:type="dxa" w:w="2260"/>
            <w:tcMar>
              <w:top w:w="80" w:type="dxa"/>
              <w:bottom w:w="80" w:type="dxa"/>
              <w:start w:w="120" w:type="dxa"/>
              <w:end w:w="120" w:type="dxa"/>
            </w:tcMar>
            <w:vAlign w:val="center"/>
          </w:tcPr>
          <w:p>
            <w:pPr>
              <w:jc w:val="left"/>
            </w:pPr>
            <w:r>
              <w:rPr>
                <w:sz w:val="19"/>
              </w:rPr>
              <w:t>支撑平台估值溢价</w:t>
            </w:r>
          </w:p>
        </w:tc>
      </w:tr>
      <w:tr>
        <w:tc>
          <w:tcPr>
            <w:tcW w:type="dxa" w:w="1900"/>
            <w:tcMar>
              <w:top w:w="80" w:type="dxa"/>
              <w:bottom w:w="80" w:type="dxa"/>
              <w:start w:w="120" w:type="dxa"/>
              <w:end w:w="120" w:type="dxa"/>
            </w:tcMar>
            <w:vAlign w:val="center"/>
          </w:tcPr>
          <w:p>
            <w:pPr>
              <w:jc w:val="center"/>
            </w:pPr>
            <w:r>
              <w:rPr>
                <w:sz w:val="19"/>
              </w:rPr>
              <w:t>服务收入</w:t>
            </w:r>
          </w:p>
        </w:tc>
        <w:tc>
          <w:tcPr>
            <w:tcW w:type="dxa" w:w="3300"/>
            <w:tcMar>
              <w:top w:w="80" w:type="dxa"/>
              <w:bottom w:w="80" w:type="dxa"/>
              <w:start w:w="120" w:type="dxa"/>
              <w:end w:w="120" w:type="dxa"/>
            </w:tcMar>
            <w:vAlign w:val="center"/>
          </w:tcPr>
          <w:p>
            <w:pPr>
              <w:jc w:val="left"/>
            </w:pPr>
            <w:r>
              <w:rPr>
                <w:sz w:val="19"/>
              </w:rPr>
              <w:t>随装机基数扩大自然增长</w:t>
            </w:r>
          </w:p>
        </w:tc>
        <w:tc>
          <w:tcPr>
            <w:tcW w:type="dxa" w:w="1900"/>
            <w:tcMar>
              <w:top w:w="80" w:type="dxa"/>
              <w:bottom w:w="80" w:type="dxa"/>
              <w:start w:w="120" w:type="dxa"/>
              <w:end w:w="120" w:type="dxa"/>
            </w:tcMar>
            <w:vAlign w:val="center"/>
          </w:tcPr>
          <w:p>
            <w:pPr>
              <w:jc w:val="left"/>
            </w:pPr>
            <w:r>
              <w:rPr>
                <w:sz w:val="19"/>
              </w:rPr>
              <w:t>稳定性强</w:t>
            </w:r>
          </w:p>
        </w:tc>
        <w:tc>
          <w:tcPr>
            <w:tcW w:type="dxa" w:w="2260"/>
            <w:tcMar>
              <w:top w:w="80" w:type="dxa"/>
              <w:bottom w:w="80" w:type="dxa"/>
              <w:start w:w="120" w:type="dxa"/>
              <w:end w:w="120" w:type="dxa"/>
            </w:tcMar>
            <w:vAlign w:val="center"/>
          </w:tcPr>
          <w:p>
            <w:pPr>
              <w:jc w:val="left"/>
            </w:pPr>
            <w:r>
              <w:rPr>
                <w:sz w:val="19"/>
              </w:rPr>
              <w:t>类似设备维护的经常性现金流</w:t>
            </w:r>
          </w:p>
        </w:tc>
      </w:tr>
      <w:tr>
        <w:tc>
          <w:tcPr>
            <w:tcW w:type="dxa" w:w="1900"/>
            <w:tcMar>
              <w:top w:w="80" w:type="dxa"/>
              <w:bottom w:w="80" w:type="dxa"/>
              <w:start w:w="120" w:type="dxa"/>
              <w:end w:w="120" w:type="dxa"/>
            </w:tcMar>
            <w:vAlign w:val="center"/>
          </w:tcPr>
          <w:p>
            <w:pPr>
              <w:jc w:val="center"/>
            </w:pPr>
            <w:r>
              <w:rPr>
                <w:sz w:val="19"/>
              </w:rPr>
              <w:t>租赁安排</w:t>
            </w:r>
          </w:p>
        </w:tc>
        <w:tc>
          <w:tcPr>
            <w:tcW w:type="dxa" w:w="3300"/>
            <w:tcMar>
              <w:top w:w="80" w:type="dxa"/>
              <w:bottom w:w="80" w:type="dxa"/>
              <w:start w:w="120" w:type="dxa"/>
              <w:end w:w="120" w:type="dxa"/>
            </w:tcMar>
            <w:vAlign w:val="center"/>
          </w:tcPr>
          <w:p>
            <w:pPr>
              <w:jc w:val="left"/>
            </w:pPr>
            <w:r>
              <w:rPr>
                <w:sz w:val="19"/>
              </w:rPr>
              <w:t>降低医院一次性购买门槛</w:t>
            </w:r>
          </w:p>
        </w:tc>
        <w:tc>
          <w:tcPr>
            <w:tcW w:type="dxa" w:w="1900"/>
            <w:tcMar>
              <w:top w:w="80" w:type="dxa"/>
              <w:bottom w:w="80" w:type="dxa"/>
              <w:start w:w="120" w:type="dxa"/>
              <w:end w:w="120" w:type="dxa"/>
            </w:tcMar>
            <w:vAlign w:val="center"/>
          </w:tcPr>
          <w:p>
            <w:pPr>
              <w:jc w:val="left"/>
            </w:pPr>
            <w:r>
              <w:rPr>
                <w:sz w:val="19"/>
              </w:rPr>
              <w:t>短期压低系统确认收入，但提高客户渗透</w:t>
            </w:r>
          </w:p>
        </w:tc>
        <w:tc>
          <w:tcPr>
            <w:tcW w:type="dxa" w:w="2260"/>
            <w:tcMar>
              <w:top w:w="80" w:type="dxa"/>
              <w:bottom w:w="80" w:type="dxa"/>
              <w:start w:w="120" w:type="dxa"/>
              <w:end w:w="120" w:type="dxa"/>
            </w:tcMar>
            <w:vAlign w:val="center"/>
          </w:tcPr>
          <w:p>
            <w:pPr>
              <w:jc w:val="left"/>
            </w:pPr>
            <w:r>
              <w:rPr>
                <w:sz w:val="19"/>
              </w:rPr>
              <w:t>提升长期装机和耗材收入</w:t>
            </w:r>
          </w:p>
        </w:tc>
      </w:tr>
    </w:tbl>
    <w:p/>
    <w:p>
      <w:pPr>
        <w:pStyle w:val="Heading2"/>
      </w:pPr>
      <w:r>
        <w:t>8.4 现金流与资产负债表</w:t>
      </w:r>
    </w:p>
    <w:tbl>
      <w:tblPr>
        <w:tblStyle w:val="TableGrid"/>
        <w:tblW w:type="dxa" w:w="9360"/>
        <w:jc w:val="center"/>
        <w:tblLook w:firstColumn="1" w:firstRow="1" w:lastColumn="0" w:lastRow="0" w:noHBand="0" w:noVBand="1" w:val="04A0"/>
        <w:tblInd w:w="120" w:type="dxa"/>
      </w:tblPr>
      <w:tblGrid>
        <w:gridCol w:w="2200"/>
        <w:gridCol w:w="2200"/>
        <w:gridCol w:w="4960"/>
      </w:tblGrid>
      <w:tr>
        <w:trPr>
          <w:tblHeader w:val="true"/>
        </w:trPr>
        <w:tc>
          <w:tcPr>
            <w:tcW w:type="dxa" w:w="2200"/>
            <w:shd w:fill="F2F4F7"/>
            <w:tcMar>
              <w:top w:w="80" w:type="dxa"/>
              <w:bottom w:w="80" w:type="dxa"/>
              <w:start w:w="120" w:type="dxa"/>
              <w:end w:w="120" w:type="dxa"/>
            </w:tcMar>
            <w:vAlign w:val="center"/>
          </w:tcPr>
          <w:p>
            <w:pPr>
              <w:jc w:val="center"/>
            </w:pPr>
            <w:r>
              <w:rPr>
                <w:b/>
                <w:sz w:val="19"/>
              </w:rPr>
              <w:t>项目</w:t>
            </w:r>
          </w:p>
        </w:tc>
        <w:tc>
          <w:tcPr>
            <w:tcW w:type="dxa" w:w="2200"/>
            <w:shd w:fill="F2F4F7"/>
            <w:tcMar>
              <w:top w:w="80" w:type="dxa"/>
              <w:bottom w:w="80" w:type="dxa"/>
              <w:start w:w="120" w:type="dxa"/>
              <w:end w:w="120" w:type="dxa"/>
            </w:tcMar>
            <w:vAlign w:val="center"/>
          </w:tcPr>
          <w:p>
            <w:pPr>
              <w:jc w:val="center"/>
            </w:pPr>
            <w:r>
              <w:rPr>
                <w:b/>
                <w:sz w:val="19"/>
              </w:rPr>
              <w:t>研究口径</w:t>
            </w:r>
          </w:p>
        </w:tc>
        <w:tc>
          <w:tcPr>
            <w:tcW w:type="dxa" w:w="4960"/>
            <w:shd w:fill="F2F4F7"/>
            <w:tcMar>
              <w:top w:w="80" w:type="dxa"/>
              <w:bottom w:w="80" w:type="dxa"/>
              <w:start w:w="120" w:type="dxa"/>
              <w:end w:w="120" w:type="dxa"/>
            </w:tcMar>
            <w:vAlign w:val="center"/>
          </w:tcPr>
          <w:p>
            <w:pPr>
              <w:jc w:val="center"/>
            </w:pPr>
            <w:r>
              <w:rPr>
                <w:b/>
                <w:sz w:val="19"/>
              </w:rPr>
              <w:t>解读</w:t>
            </w:r>
          </w:p>
        </w:tc>
      </w:tr>
      <w:tr>
        <w:tc>
          <w:tcPr>
            <w:tcW w:type="dxa" w:w="2200"/>
            <w:tcMar>
              <w:top w:w="80" w:type="dxa"/>
              <w:bottom w:w="80" w:type="dxa"/>
              <w:start w:w="120" w:type="dxa"/>
              <w:end w:w="120" w:type="dxa"/>
            </w:tcMar>
            <w:vAlign w:val="center"/>
          </w:tcPr>
          <w:p>
            <w:pPr>
              <w:jc w:val="center"/>
            </w:pPr>
            <w:r>
              <w:rPr>
                <w:sz w:val="19"/>
              </w:rPr>
              <w:t>现金及投资</w:t>
            </w:r>
          </w:p>
        </w:tc>
        <w:tc>
          <w:tcPr>
            <w:tcW w:type="dxa" w:w="2200"/>
            <w:tcMar>
              <w:top w:w="80" w:type="dxa"/>
              <w:bottom w:w="80" w:type="dxa"/>
              <w:start w:w="120" w:type="dxa"/>
              <w:end w:w="120" w:type="dxa"/>
            </w:tcMar>
            <w:vAlign w:val="center"/>
          </w:tcPr>
          <w:p>
            <w:pPr>
              <w:jc w:val="left"/>
            </w:pPr>
            <w:r>
              <w:rPr>
                <w:sz w:val="19"/>
              </w:rPr>
              <w:t>2026 Q1 约 79.8 亿美元</w:t>
            </w:r>
          </w:p>
        </w:tc>
        <w:tc>
          <w:tcPr>
            <w:tcW w:type="dxa" w:w="4960"/>
            <w:tcMar>
              <w:top w:w="80" w:type="dxa"/>
              <w:bottom w:w="80" w:type="dxa"/>
              <w:start w:w="120" w:type="dxa"/>
              <w:end w:w="120" w:type="dxa"/>
            </w:tcMar>
            <w:vAlign w:val="center"/>
          </w:tcPr>
          <w:p>
            <w:pPr>
              <w:jc w:val="left"/>
            </w:pPr>
            <w:r>
              <w:rPr>
                <w:sz w:val="19"/>
              </w:rPr>
              <w:t>几乎无财务杠杆压力，可支撑研发、产能和全球服务网络</w:t>
            </w:r>
          </w:p>
        </w:tc>
      </w:tr>
      <w:tr>
        <w:tc>
          <w:tcPr>
            <w:tcW w:type="dxa" w:w="2200"/>
            <w:tcMar>
              <w:top w:w="80" w:type="dxa"/>
              <w:bottom w:w="80" w:type="dxa"/>
              <w:start w:w="120" w:type="dxa"/>
              <w:end w:w="120" w:type="dxa"/>
            </w:tcMar>
            <w:vAlign w:val="center"/>
          </w:tcPr>
          <w:p>
            <w:pPr>
              <w:jc w:val="center"/>
            </w:pPr>
            <w:r>
              <w:rPr>
                <w:sz w:val="19"/>
              </w:rPr>
              <w:t>经营现金流</w:t>
            </w:r>
          </w:p>
        </w:tc>
        <w:tc>
          <w:tcPr>
            <w:tcW w:type="dxa" w:w="2200"/>
            <w:tcMar>
              <w:top w:w="80" w:type="dxa"/>
              <w:bottom w:w="80" w:type="dxa"/>
              <w:start w:w="120" w:type="dxa"/>
              <w:end w:w="120" w:type="dxa"/>
            </w:tcMar>
            <w:vAlign w:val="center"/>
          </w:tcPr>
          <w:p>
            <w:pPr>
              <w:jc w:val="left"/>
            </w:pPr>
            <w:r>
              <w:rPr>
                <w:sz w:val="19"/>
              </w:rPr>
              <w:t>FY2025 约 30 亿美元以上</w:t>
            </w:r>
          </w:p>
        </w:tc>
        <w:tc>
          <w:tcPr>
            <w:tcW w:type="dxa" w:w="4960"/>
            <w:tcMar>
              <w:top w:w="80" w:type="dxa"/>
              <w:bottom w:w="80" w:type="dxa"/>
              <w:start w:w="120" w:type="dxa"/>
              <w:end w:w="120" w:type="dxa"/>
            </w:tcMar>
            <w:vAlign w:val="center"/>
          </w:tcPr>
          <w:p>
            <w:pPr>
              <w:jc w:val="left"/>
            </w:pPr>
            <w:r>
              <w:rPr>
                <w:sz w:val="19"/>
              </w:rPr>
              <w:t>利润现金含量较高，客户回款和耗材复购质量良好</w:t>
            </w:r>
          </w:p>
        </w:tc>
      </w:tr>
      <w:tr>
        <w:tc>
          <w:tcPr>
            <w:tcW w:type="dxa" w:w="2200"/>
            <w:tcMar>
              <w:top w:w="80" w:type="dxa"/>
              <w:bottom w:w="80" w:type="dxa"/>
              <w:start w:w="120" w:type="dxa"/>
              <w:end w:w="120" w:type="dxa"/>
            </w:tcMar>
            <w:vAlign w:val="center"/>
          </w:tcPr>
          <w:p>
            <w:pPr>
              <w:jc w:val="center"/>
            </w:pPr>
            <w:r>
              <w:rPr>
                <w:sz w:val="19"/>
              </w:rPr>
              <w:t>自由现金流</w:t>
            </w:r>
          </w:p>
        </w:tc>
        <w:tc>
          <w:tcPr>
            <w:tcW w:type="dxa" w:w="2200"/>
            <w:tcMar>
              <w:top w:w="80" w:type="dxa"/>
              <w:bottom w:w="80" w:type="dxa"/>
              <w:start w:w="120" w:type="dxa"/>
              <w:end w:w="120" w:type="dxa"/>
            </w:tcMar>
            <w:vAlign w:val="center"/>
          </w:tcPr>
          <w:p>
            <w:pPr>
              <w:jc w:val="left"/>
            </w:pPr>
            <w:r>
              <w:rPr>
                <w:sz w:val="19"/>
              </w:rPr>
              <w:t>FY2025 约 25 亿美元</w:t>
            </w:r>
          </w:p>
        </w:tc>
        <w:tc>
          <w:tcPr>
            <w:tcW w:type="dxa" w:w="4960"/>
            <w:tcMar>
              <w:top w:w="80" w:type="dxa"/>
              <w:bottom w:w="80" w:type="dxa"/>
              <w:start w:w="120" w:type="dxa"/>
              <w:end w:w="120" w:type="dxa"/>
            </w:tcMar>
            <w:vAlign w:val="center"/>
          </w:tcPr>
          <w:p>
            <w:pPr>
              <w:jc w:val="left"/>
            </w:pPr>
            <w:r>
              <w:rPr>
                <w:sz w:val="19"/>
              </w:rPr>
              <w:t>高质量但相对市值仍不便宜，P/FCF 是估值压力来源</w:t>
            </w:r>
          </w:p>
        </w:tc>
      </w:tr>
      <w:tr>
        <w:tc>
          <w:tcPr>
            <w:tcW w:type="dxa" w:w="2200"/>
            <w:tcMar>
              <w:top w:w="80" w:type="dxa"/>
              <w:bottom w:w="80" w:type="dxa"/>
              <w:start w:w="120" w:type="dxa"/>
              <w:end w:w="120" w:type="dxa"/>
            </w:tcMar>
            <w:vAlign w:val="center"/>
          </w:tcPr>
          <w:p>
            <w:pPr>
              <w:jc w:val="center"/>
            </w:pPr>
            <w:r>
              <w:rPr>
                <w:sz w:val="19"/>
              </w:rPr>
              <w:t>资本开支</w:t>
            </w:r>
          </w:p>
        </w:tc>
        <w:tc>
          <w:tcPr>
            <w:tcW w:type="dxa" w:w="2200"/>
            <w:tcMar>
              <w:top w:w="80" w:type="dxa"/>
              <w:bottom w:w="80" w:type="dxa"/>
              <w:start w:w="120" w:type="dxa"/>
              <w:end w:w="120" w:type="dxa"/>
            </w:tcMar>
            <w:vAlign w:val="center"/>
          </w:tcPr>
          <w:p>
            <w:pPr>
              <w:jc w:val="left"/>
            </w:pPr>
            <w:r>
              <w:rPr>
                <w:sz w:val="19"/>
              </w:rPr>
              <w:t>随产能、设施和产品换代增加</w:t>
            </w:r>
          </w:p>
        </w:tc>
        <w:tc>
          <w:tcPr>
            <w:tcW w:type="dxa" w:w="4960"/>
            <w:tcMar>
              <w:top w:w="80" w:type="dxa"/>
              <w:bottom w:w="80" w:type="dxa"/>
              <w:start w:w="120" w:type="dxa"/>
              <w:end w:w="120" w:type="dxa"/>
            </w:tcMar>
            <w:vAlign w:val="center"/>
          </w:tcPr>
          <w:p>
            <w:pPr>
              <w:jc w:val="left"/>
            </w:pPr>
            <w:r>
              <w:rPr>
                <w:sz w:val="19"/>
              </w:rPr>
              <w:t>短期压低 FCF，但有助于长期交付和平台扩张</w:t>
            </w:r>
          </w:p>
        </w:tc>
      </w:tr>
      <w:tr>
        <w:tc>
          <w:tcPr>
            <w:tcW w:type="dxa" w:w="2200"/>
            <w:tcMar>
              <w:top w:w="80" w:type="dxa"/>
              <w:bottom w:w="80" w:type="dxa"/>
              <w:start w:w="120" w:type="dxa"/>
              <w:end w:w="120" w:type="dxa"/>
            </w:tcMar>
            <w:vAlign w:val="center"/>
          </w:tcPr>
          <w:p>
            <w:pPr>
              <w:jc w:val="center"/>
            </w:pPr>
            <w:r>
              <w:rPr>
                <w:sz w:val="19"/>
              </w:rPr>
              <w:t>债务压力</w:t>
            </w:r>
          </w:p>
        </w:tc>
        <w:tc>
          <w:tcPr>
            <w:tcW w:type="dxa" w:w="2200"/>
            <w:tcMar>
              <w:top w:w="80" w:type="dxa"/>
              <w:bottom w:w="80" w:type="dxa"/>
              <w:start w:w="120" w:type="dxa"/>
              <w:end w:w="120" w:type="dxa"/>
            </w:tcMar>
            <w:vAlign w:val="center"/>
          </w:tcPr>
          <w:p>
            <w:pPr>
              <w:jc w:val="left"/>
            </w:pPr>
            <w:r>
              <w:rPr>
                <w:sz w:val="19"/>
              </w:rPr>
              <w:t>无重大有息债务压力</w:t>
            </w:r>
          </w:p>
        </w:tc>
        <w:tc>
          <w:tcPr>
            <w:tcW w:type="dxa" w:w="4960"/>
            <w:tcMar>
              <w:top w:w="80" w:type="dxa"/>
              <w:bottom w:w="80" w:type="dxa"/>
              <w:start w:w="120" w:type="dxa"/>
              <w:end w:w="120" w:type="dxa"/>
            </w:tcMar>
            <w:vAlign w:val="center"/>
          </w:tcPr>
          <w:p>
            <w:pPr>
              <w:jc w:val="left"/>
            </w:pPr>
            <w:r>
              <w:rPr>
                <w:sz w:val="19"/>
              </w:rPr>
              <w:t>利率上行对公司经营现金流影响有限，但会影响估值折现率</w:t>
            </w:r>
          </w:p>
        </w:tc>
      </w:tr>
    </w:tbl>
    <w:p/>
    <w:p>
      <w:pPr>
        <w:pStyle w:val="Heading2"/>
      </w:pPr>
      <w:r>
        <w:t>8.5 财务质量判断</w:t>
      </w:r>
    </w:p>
    <w:p>
      <w:pPr>
        <w:spacing w:after="120" w:line="264" w:lineRule="auto"/>
      </w:pPr>
      <w:r>
        <w:rPr>
          <w:sz w:val="22"/>
        </w:rPr>
        <w:t>ISRG 的财务质量在机器人公司中非常罕见：收入已超过百亿美元、毛利率约 67%、营业利润率约 30%、经常性收入占比高、净现金资产负债表，并且仍保持双位数手术量增长。这使它区别于多数仍在烧钱的物流机器人、服务机器人和人形机器人公司。</w:t>
      </w:r>
    </w:p>
    <w:p>
      <w:pPr>
        <w:spacing w:after="120" w:line="264" w:lineRule="auto"/>
      </w:pPr>
      <w:r>
        <w:rPr>
          <w:sz w:val="22"/>
        </w:rPr>
        <w:t>需要警惕的是，高质量并不自动等于高预期收益。若按当前市值计算，ISRG 的 P/FCF 仍处在较高区间，市场已经给了“医疗机器人平台龙头 + 长期高增长 + 强护城河”的充分溢价。投资回报更多取决于买入价格与未来五年增速能否继续超预期。</w:t>
      </w:r>
    </w:p>
    <w:p>
      <w:pPr>
        <w:pStyle w:val="Heading1"/>
      </w:pPr>
      <w:r>
        <w:t>九、估值框架与研究评级</w:t>
      </w:r>
    </w:p>
    <w:p>
      <w:pPr>
        <w:pStyle w:val="Heading2"/>
      </w:pPr>
      <w:r>
        <w:t>9.1 估值方法</w:t>
      </w:r>
    </w:p>
    <w:p>
      <w:pPr>
        <w:spacing w:after="120" w:line="264" w:lineRule="auto"/>
      </w:pPr>
      <w:r>
        <w:rPr>
          <w:sz w:val="22"/>
        </w:rPr>
        <w:t>ISRG 不宜按普通医疗设备公司估值，也不宜按早期机器人概念股估值。更合适的框架是“高装机基数医疗机器人平台 + 高经常性收入 + 强现金流 + 长期手术渗透率提升 + 高估值溢价”。</w:t>
      </w:r>
    </w:p>
    <w:tbl>
      <w:tblPr>
        <w:tblStyle w:val="TableGrid"/>
        <w:tblW w:type="dxa" w:w="9360"/>
        <w:jc w:val="center"/>
        <w:tblLook w:firstColumn="1" w:firstRow="1" w:lastColumn="0" w:lastRow="0" w:noHBand="0" w:noVBand="1" w:val="04A0"/>
        <w:tblInd w:w="120" w:type="dxa"/>
      </w:tblPr>
      <w:tblGrid>
        <w:gridCol w:w="1900"/>
        <w:gridCol w:w="3100"/>
        <w:gridCol w:w="4360"/>
      </w:tblGrid>
      <w:tr>
        <w:trPr>
          <w:tblHeader w:val="true"/>
        </w:trPr>
        <w:tc>
          <w:tcPr>
            <w:tcW w:type="dxa" w:w="1900"/>
            <w:shd w:fill="E8EEF5"/>
            <w:tcMar>
              <w:top w:w="80" w:type="dxa"/>
              <w:bottom w:w="80" w:type="dxa"/>
              <w:start w:w="120" w:type="dxa"/>
              <w:end w:w="120" w:type="dxa"/>
            </w:tcMar>
            <w:vAlign w:val="center"/>
          </w:tcPr>
          <w:p>
            <w:pPr>
              <w:jc w:val="center"/>
            </w:pPr>
            <w:r>
              <w:rPr>
                <w:b/>
                <w:sz w:val="19"/>
              </w:rPr>
              <w:t>估值方法</w:t>
            </w:r>
          </w:p>
        </w:tc>
        <w:tc>
          <w:tcPr>
            <w:tcW w:type="dxa" w:w="3100"/>
            <w:shd w:fill="E8EEF5"/>
            <w:tcMar>
              <w:top w:w="80" w:type="dxa"/>
              <w:bottom w:w="80" w:type="dxa"/>
              <w:start w:w="120" w:type="dxa"/>
              <w:end w:w="120" w:type="dxa"/>
            </w:tcMar>
            <w:vAlign w:val="center"/>
          </w:tcPr>
          <w:p>
            <w:pPr>
              <w:jc w:val="center"/>
            </w:pPr>
            <w:r>
              <w:rPr>
                <w:b/>
                <w:sz w:val="19"/>
              </w:rPr>
              <w:t>适用性</w:t>
            </w:r>
          </w:p>
        </w:tc>
        <w:tc>
          <w:tcPr>
            <w:tcW w:type="dxa" w:w="4360"/>
            <w:shd w:fill="E8EEF5"/>
            <w:tcMar>
              <w:top w:w="80" w:type="dxa"/>
              <w:bottom w:w="80" w:type="dxa"/>
              <w:start w:w="120" w:type="dxa"/>
              <w:end w:w="120" w:type="dxa"/>
            </w:tcMar>
            <w:vAlign w:val="center"/>
          </w:tcPr>
          <w:p>
            <w:pPr>
              <w:jc w:val="center"/>
            </w:pPr>
            <w:r>
              <w:rPr>
                <w:b/>
                <w:sz w:val="19"/>
              </w:rPr>
              <w:t>核心结论</w:t>
            </w:r>
          </w:p>
        </w:tc>
      </w:tr>
      <w:tr>
        <w:tc>
          <w:tcPr>
            <w:tcW w:type="dxa" w:w="1900"/>
            <w:tcMar>
              <w:top w:w="80" w:type="dxa"/>
              <w:bottom w:w="80" w:type="dxa"/>
              <w:start w:w="120" w:type="dxa"/>
              <w:end w:w="120" w:type="dxa"/>
            </w:tcMar>
            <w:vAlign w:val="center"/>
          </w:tcPr>
          <w:p>
            <w:pPr>
              <w:jc w:val="center"/>
            </w:pPr>
            <w:r>
              <w:rPr>
                <w:sz w:val="19"/>
              </w:rPr>
              <w:t>EV/S</w:t>
            </w:r>
          </w:p>
        </w:tc>
        <w:tc>
          <w:tcPr>
            <w:tcW w:type="dxa" w:w="3100"/>
            <w:tcMar>
              <w:top w:w="80" w:type="dxa"/>
              <w:bottom w:w="80" w:type="dxa"/>
              <w:start w:w="120" w:type="dxa"/>
              <w:end w:w="120" w:type="dxa"/>
            </w:tcMar>
            <w:vAlign w:val="center"/>
          </w:tcPr>
          <w:p>
            <w:pPr>
              <w:jc w:val="left"/>
            </w:pPr>
            <w:r>
              <w:rPr>
                <w:sz w:val="19"/>
              </w:rPr>
              <w:t>适合衡量平台收入溢价</w:t>
            </w:r>
          </w:p>
        </w:tc>
        <w:tc>
          <w:tcPr>
            <w:tcW w:type="dxa" w:w="4360"/>
            <w:tcMar>
              <w:top w:w="80" w:type="dxa"/>
              <w:bottom w:w="80" w:type="dxa"/>
              <w:start w:w="120" w:type="dxa"/>
              <w:end w:w="120" w:type="dxa"/>
            </w:tcMar>
            <w:vAlign w:val="center"/>
          </w:tcPr>
          <w:p>
            <w:pPr>
              <w:jc w:val="left"/>
            </w:pPr>
            <w:r>
              <w:rPr>
                <w:sz w:val="19"/>
              </w:rPr>
              <w:t>ISRG 收入质量高，EV/S 高于普通医疗设备公司有合理性</w:t>
            </w:r>
          </w:p>
        </w:tc>
      </w:tr>
      <w:tr>
        <w:tc>
          <w:tcPr>
            <w:tcW w:type="dxa" w:w="1900"/>
            <w:tcMar>
              <w:top w:w="80" w:type="dxa"/>
              <w:bottom w:w="80" w:type="dxa"/>
              <w:start w:w="120" w:type="dxa"/>
              <w:end w:w="120" w:type="dxa"/>
            </w:tcMar>
            <w:vAlign w:val="center"/>
          </w:tcPr>
          <w:p>
            <w:pPr>
              <w:jc w:val="center"/>
            </w:pPr>
            <w:r>
              <w:rPr>
                <w:sz w:val="19"/>
              </w:rPr>
              <w:t>P/E</w:t>
            </w:r>
          </w:p>
        </w:tc>
        <w:tc>
          <w:tcPr>
            <w:tcW w:type="dxa" w:w="3100"/>
            <w:tcMar>
              <w:top w:w="80" w:type="dxa"/>
              <w:bottom w:w="80" w:type="dxa"/>
              <w:start w:w="120" w:type="dxa"/>
              <w:end w:w="120" w:type="dxa"/>
            </w:tcMar>
            <w:vAlign w:val="center"/>
          </w:tcPr>
          <w:p>
            <w:pPr>
              <w:jc w:val="left"/>
            </w:pPr>
            <w:r>
              <w:rPr>
                <w:sz w:val="19"/>
              </w:rPr>
              <w:t>适合成熟盈利公司</w:t>
            </w:r>
          </w:p>
        </w:tc>
        <w:tc>
          <w:tcPr>
            <w:tcW w:type="dxa" w:w="4360"/>
            <w:tcMar>
              <w:top w:w="80" w:type="dxa"/>
              <w:bottom w:w="80" w:type="dxa"/>
              <w:start w:w="120" w:type="dxa"/>
              <w:end w:w="120" w:type="dxa"/>
            </w:tcMar>
            <w:vAlign w:val="center"/>
          </w:tcPr>
          <w:p>
            <w:pPr>
              <w:jc w:val="left"/>
            </w:pPr>
            <w:r>
              <w:rPr>
                <w:sz w:val="19"/>
              </w:rPr>
              <w:t>净利润真实且稳定，但高 P/E 要求持续双位数增长</w:t>
            </w:r>
          </w:p>
        </w:tc>
      </w:tr>
      <w:tr>
        <w:tc>
          <w:tcPr>
            <w:tcW w:type="dxa" w:w="1900"/>
            <w:tcMar>
              <w:top w:w="80" w:type="dxa"/>
              <w:bottom w:w="80" w:type="dxa"/>
              <w:start w:w="120" w:type="dxa"/>
              <w:end w:w="120" w:type="dxa"/>
            </w:tcMar>
            <w:vAlign w:val="center"/>
          </w:tcPr>
          <w:p>
            <w:pPr>
              <w:jc w:val="center"/>
            </w:pPr>
            <w:r>
              <w:rPr>
                <w:sz w:val="19"/>
              </w:rPr>
              <w:t>P/FCF</w:t>
            </w:r>
          </w:p>
        </w:tc>
        <w:tc>
          <w:tcPr>
            <w:tcW w:type="dxa" w:w="3100"/>
            <w:tcMar>
              <w:top w:w="80" w:type="dxa"/>
              <w:bottom w:w="80" w:type="dxa"/>
              <w:start w:w="120" w:type="dxa"/>
              <w:end w:w="120" w:type="dxa"/>
            </w:tcMar>
            <w:vAlign w:val="center"/>
          </w:tcPr>
          <w:p>
            <w:pPr>
              <w:jc w:val="left"/>
            </w:pPr>
            <w:r>
              <w:rPr>
                <w:sz w:val="19"/>
              </w:rPr>
              <w:t>适合检验现金回报</w:t>
            </w:r>
          </w:p>
        </w:tc>
        <w:tc>
          <w:tcPr>
            <w:tcW w:type="dxa" w:w="4360"/>
            <w:tcMar>
              <w:top w:w="80" w:type="dxa"/>
              <w:bottom w:w="80" w:type="dxa"/>
              <w:start w:w="120" w:type="dxa"/>
              <w:end w:w="120" w:type="dxa"/>
            </w:tcMar>
            <w:vAlign w:val="center"/>
          </w:tcPr>
          <w:p>
            <w:pPr>
              <w:jc w:val="left"/>
            </w:pPr>
            <w:r>
              <w:rPr>
                <w:sz w:val="19"/>
              </w:rPr>
              <w:t>当前 P/FCF 显示安全边际不厚</w:t>
            </w:r>
          </w:p>
        </w:tc>
      </w:tr>
      <w:tr>
        <w:tc>
          <w:tcPr>
            <w:tcW w:type="dxa" w:w="1900"/>
            <w:tcMar>
              <w:top w:w="80" w:type="dxa"/>
              <w:bottom w:w="80" w:type="dxa"/>
              <w:start w:w="120" w:type="dxa"/>
              <w:end w:w="120" w:type="dxa"/>
            </w:tcMar>
            <w:vAlign w:val="center"/>
          </w:tcPr>
          <w:p>
            <w:pPr>
              <w:jc w:val="center"/>
            </w:pPr>
            <w:r>
              <w:rPr>
                <w:sz w:val="19"/>
              </w:rPr>
              <w:t>DCF</w:t>
            </w:r>
          </w:p>
        </w:tc>
        <w:tc>
          <w:tcPr>
            <w:tcW w:type="dxa" w:w="3100"/>
            <w:tcMar>
              <w:top w:w="80" w:type="dxa"/>
              <w:bottom w:w="80" w:type="dxa"/>
              <w:start w:w="120" w:type="dxa"/>
              <w:end w:w="120" w:type="dxa"/>
            </w:tcMar>
            <w:vAlign w:val="center"/>
          </w:tcPr>
          <w:p>
            <w:pPr>
              <w:jc w:val="left"/>
            </w:pPr>
            <w:r>
              <w:rPr>
                <w:sz w:val="19"/>
              </w:rPr>
              <w:t>适合约束过高预期</w:t>
            </w:r>
          </w:p>
        </w:tc>
        <w:tc>
          <w:tcPr>
            <w:tcW w:type="dxa" w:w="4360"/>
            <w:tcMar>
              <w:top w:w="80" w:type="dxa"/>
              <w:bottom w:w="80" w:type="dxa"/>
              <w:start w:w="120" w:type="dxa"/>
              <w:end w:w="120" w:type="dxa"/>
            </w:tcMar>
            <w:vAlign w:val="center"/>
          </w:tcPr>
          <w:p>
            <w:pPr>
              <w:jc w:val="left"/>
            </w:pPr>
            <w:r>
              <w:rPr>
                <w:sz w:val="19"/>
              </w:rPr>
              <w:t>传统 DCF 对 ISRG 较苛刻，只有在低折现率和较高长期增长假设下才接近当前价格</w:t>
            </w:r>
          </w:p>
        </w:tc>
      </w:tr>
      <w:tr>
        <w:tc>
          <w:tcPr>
            <w:tcW w:type="dxa" w:w="1900"/>
            <w:tcMar>
              <w:top w:w="80" w:type="dxa"/>
              <w:bottom w:w="80" w:type="dxa"/>
              <w:start w:w="120" w:type="dxa"/>
              <w:end w:w="120" w:type="dxa"/>
            </w:tcMar>
            <w:vAlign w:val="center"/>
          </w:tcPr>
          <w:p>
            <w:pPr>
              <w:jc w:val="center"/>
            </w:pPr>
            <w:r>
              <w:rPr>
                <w:sz w:val="19"/>
              </w:rPr>
              <w:t>相对估值</w:t>
            </w:r>
          </w:p>
        </w:tc>
        <w:tc>
          <w:tcPr>
            <w:tcW w:type="dxa" w:w="3100"/>
            <w:tcMar>
              <w:top w:w="80" w:type="dxa"/>
              <w:bottom w:w="80" w:type="dxa"/>
              <w:start w:w="120" w:type="dxa"/>
              <w:end w:w="120" w:type="dxa"/>
            </w:tcMar>
            <w:vAlign w:val="center"/>
          </w:tcPr>
          <w:p>
            <w:pPr>
              <w:jc w:val="left"/>
            </w:pPr>
            <w:r>
              <w:rPr>
                <w:sz w:val="19"/>
              </w:rPr>
              <w:t>适合与医疗设备和机器人股对比</w:t>
            </w:r>
          </w:p>
        </w:tc>
        <w:tc>
          <w:tcPr>
            <w:tcW w:type="dxa" w:w="4360"/>
            <w:tcMar>
              <w:top w:w="80" w:type="dxa"/>
              <w:bottom w:w="80" w:type="dxa"/>
              <w:start w:w="120" w:type="dxa"/>
              <w:end w:w="120" w:type="dxa"/>
            </w:tcMar>
            <w:vAlign w:val="center"/>
          </w:tcPr>
          <w:p>
            <w:pPr>
              <w:jc w:val="left"/>
            </w:pPr>
            <w:r>
              <w:rPr>
                <w:sz w:val="19"/>
              </w:rPr>
              <w:t>ISRG 应享受溢价，但溢价过高时回报会被估值压缩吞噬</w:t>
            </w:r>
          </w:p>
        </w:tc>
      </w:tr>
    </w:tbl>
    <w:p/>
    <w:p>
      <w:pPr>
        <w:pStyle w:val="Heading2"/>
      </w:pPr>
      <w:r>
        <w:t>9.2 相对估值测算</w:t>
      </w:r>
    </w:p>
    <w:tbl>
      <w:tblPr>
        <w:tblStyle w:val="TableGrid"/>
        <w:tblW w:type="dxa" w:w="9360"/>
        <w:jc w:val="center"/>
        <w:tblLook w:firstColumn="1" w:firstRow="1" w:lastColumn="0" w:lastRow="0" w:noHBand="0" w:noVBand="1" w:val="04A0"/>
        <w:tblInd w:w="120" w:type="dxa"/>
      </w:tblPr>
      <w:tblGrid>
        <w:gridCol w:w="1600"/>
        <w:gridCol w:w="1700"/>
        <w:gridCol w:w="3000"/>
        <w:gridCol w:w="3060"/>
      </w:tblGrid>
      <w:tr>
        <w:trPr>
          <w:tblHeader w:val="true"/>
        </w:trPr>
        <w:tc>
          <w:tcPr>
            <w:tcW w:type="dxa" w:w="1600"/>
            <w:shd w:fill="F2F4F7"/>
            <w:tcMar>
              <w:top w:w="80" w:type="dxa"/>
              <w:bottom w:w="80" w:type="dxa"/>
              <w:start w:w="120" w:type="dxa"/>
              <w:end w:w="120" w:type="dxa"/>
            </w:tcMar>
            <w:vAlign w:val="center"/>
          </w:tcPr>
          <w:p>
            <w:pPr>
              <w:jc w:val="center"/>
            </w:pPr>
            <w:r>
              <w:rPr>
                <w:b/>
                <w:sz w:val="19"/>
              </w:rPr>
              <w:t>口径</w:t>
            </w:r>
          </w:p>
        </w:tc>
        <w:tc>
          <w:tcPr>
            <w:tcW w:type="dxa" w:w="1700"/>
            <w:shd w:fill="F2F4F7"/>
            <w:tcMar>
              <w:top w:w="80" w:type="dxa"/>
              <w:bottom w:w="80" w:type="dxa"/>
              <w:start w:w="120" w:type="dxa"/>
              <w:end w:w="120" w:type="dxa"/>
            </w:tcMar>
            <w:vAlign w:val="center"/>
          </w:tcPr>
          <w:p>
            <w:pPr>
              <w:jc w:val="center"/>
            </w:pPr>
            <w:r>
              <w:rPr>
                <w:b/>
                <w:sz w:val="19"/>
              </w:rPr>
              <w:t>估算值</w:t>
            </w:r>
          </w:p>
        </w:tc>
        <w:tc>
          <w:tcPr>
            <w:tcW w:type="dxa" w:w="3000"/>
            <w:shd w:fill="F2F4F7"/>
            <w:tcMar>
              <w:top w:w="80" w:type="dxa"/>
              <w:bottom w:w="80" w:type="dxa"/>
              <w:start w:w="120" w:type="dxa"/>
              <w:end w:w="120" w:type="dxa"/>
            </w:tcMar>
            <w:vAlign w:val="center"/>
          </w:tcPr>
          <w:p>
            <w:pPr>
              <w:jc w:val="center"/>
            </w:pPr>
            <w:r>
              <w:rPr>
                <w:b/>
                <w:sz w:val="19"/>
              </w:rPr>
              <w:t>计算逻辑</w:t>
            </w:r>
          </w:p>
        </w:tc>
        <w:tc>
          <w:tcPr>
            <w:tcW w:type="dxa" w:w="3060"/>
            <w:shd w:fill="F2F4F7"/>
            <w:tcMar>
              <w:top w:w="80" w:type="dxa"/>
              <w:bottom w:w="80" w:type="dxa"/>
              <w:start w:w="120" w:type="dxa"/>
              <w:end w:w="120" w:type="dxa"/>
            </w:tcMar>
            <w:vAlign w:val="center"/>
          </w:tcPr>
          <w:p>
            <w:pPr>
              <w:jc w:val="center"/>
            </w:pPr>
            <w:r>
              <w:rPr>
                <w:b/>
                <w:sz w:val="19"/>
              </w:rPr>
              <w:t>研究含义</w:t>
            </w:r>
          </w:p>
        </w:tc>
      </w:tr>
      <w:tr>
        <w:tc>
          <w:tcPr>
            <w:tcW w:type="dxa" w:w="1600"/>
            <w:tcMar>
              <w:top w:w="80" w:type="dxa"/>
              <w:bottom w:w="80" w:type="dxa"/>
              <w:start w:w="120" w:type="dxa"/>
              <w:end w:w="120" w:type="dxa"/>
            </w:tcMar>
            <w:vAlign w:val="center"/>
          </w:tcPr>
          <w:p>
            <w:pPr>
              <w:jc w:val="center"/>
            </w:pPr>
            <w:r>
              <w:rPr>
                <w:sz w:val="19"/>
              </w:rPr>
              <w:t>市值</w:t>
            </w:r>
          </w:p>
        </w:tc>
        <w:tc>
          <w:tcPr>
            <w:tcW w:type="dxa" w:w="1700"/>
            <w:tcMar>
              <w:top w:w="80" w:type="dxa"/>
              <w:bottom w:w="80" w:type="dxa"/>
              <w:start w:w="120" w:type="dxa"/>
              <w:end w:w="120" w:type="dxa"/>
            </w:tcMar>
            <w:vAlign w:val="center"/>
          </w:tcPr>
          <w:p>
            <w:pPr>
              <w:jc w:val="left"/>
            </w:pPr>
            <w:r>
              <w:rPr>
                <w:sz w:val="19"/>
              </w:rPr>
              <w:t>约 1,440-1,560 亿美元</w:t>
            </w:r>
          </w:p>
        </w:tc>
        <w:tc>
          <w:tcPr>
            <w:tcW w:type="dxa" w:w="3000"/>
            <w:tcMar>
              <w:top w:w="80" w:type="dxa"/>
              <w:bottom w:w="80" w:type="dxa"/>
              <w:start w:w="120" w:type="dxa"/>
              <w:end w:w="120" w:type="dxa"/>
            </w:tcMar>
            <w:vAlign w:val="center"/>
          </w:tcPr>
          <w:p>
            <w:pPr>
              <w:jc w:val="left"/>
            </w:pPr>
            <w:r>
              <w:rPr>
                <w:sz w:val="19"/>
              </w:rPr>
              <w:t>2026-06-04 前后第三方行情区间</w:t>
            </w:r>
          </w:p>
        </w:tc>
        <w:tc>
          <w:tcPr>
            <w:tcW w:type="dxa" w:w="3060"/>
            <w:tcMar>
              <w:top w:w="80" w:type="dxa"/>
              <w:bottom w:w="80" w:type="dxa"/>
              <w:start w:w="120" w:type="dxa"/>
              <w:end w:w="120" w:type="dxa"/>
            </w:tcMar>
            <w:vAlign w:val="center"/>
          </w:tcPr>
          <w:p>
            <w:pPr>
              <w:jc w:val="left"/>
            </w:pPr>
            <w:r>
              <w:rPr>
                <w:sz w:val="19"/>
              </w:rPr>
              <w:t>价格波动会显著改变估值结论</w:t>
            </w:r>
          </w:p>
        </w:tc>
      </w:tr>
      <w:tr>
        <w:tc>
          <w:tcPr>
            <w:tcW w:type="dxa" w:w="1600"/>
            <w:tcMar>
              <w:top w:w="80" w:type="dxa"/>
              <w:bottom w:w="80" w:type="dxa"/>
              <w:start w:w="120" w:type="dxa"/>
              <w:end w:w="120" w:type="dxa"/>
            </w:tcMar>
            <w:vAlign w:val="center"/>
          </w:tcPr>
          <w:p>
            <w:pPr>
              <w:jc w:val="center"/>
            </w:pPr>
            <w:r>
              <w:rPr>
                <w:sz w:val="19"/>
              </w:rPr>
              <w:t>EV</w:t>
            </w:r>
          </w:p>
        </w:tc>
        <w:tc>
          <w:tcPr>
            <w:tcW w:type="dxa" w:w="1700"/>
            <w:tcMar>
              <w:top w:w="80" w:type="dxa"/>
              <w:bottom w:w="80" w:type="dxa"/>
              <w:start w:w="120" w:type="dxa"/>
              <w:end w:w="120" w:type="dxa"/>
            </w:tcMar>
            <w:vAlign w:val="center"/>
          </w:tcPr>
          <w:p>
            <w:pPr>
              <w:jc w:val="left"/>
            </w:pPr>
            <w:r>
              <w:rPr>
                <w:sz w:val="19"/>
              </w:rPr>
              <w:t>约 1,360-1,480 亿美元</w:t>
            </w:r>
          </w:p>
        </w:tc>
        <w:tc>
          <w:tcPr>
            <w:tcW w:type="dxa" w:w="3000"/>
            <w:tcMar>
              <w:top w:w="80" w:type="dxa"/>
              <w:bottom w:w="80" w:type="dxa"/>
              <w:start w:w="120" w:type="dxa"/>
              <w:end w:w="120" w:type="dxa"/>
            </w:tcMar>
            <w:vAlign w:val="center"/>
          </w:tcPr>
          <w:p>
            <w:pPr>
              <w:jc w:val="left"/>
            </w:pPr>
            <w:r>
              <w:rPr>
                <w:sz w:val="19"/>
              </w:rPr>
              <w:t>市值减现金及投资，假设无重大有息债务</w:t>
            </w:r>
          </w:p>
        </w:tc>
        <w:tc>
          <w:tcPr>
            <w:tcW w:type="dxa" w:w="3060"/>
            <w:tcMar>
              <w:top w:w="80" w:type="dxa"/>
              <w:bottom w:w="80" w:type="dxa"/>
              <w:start w:w="120" w:type="dxa"/>
              <w:end w:w="120" w:type="dxa"/>
            </w:tcMar>
            <w:vAlign w:val="center"/>
          </w:tcPr>
          <w:p>
            <w:pPr>
              <w:jc w:val="left"/>
            </w:pPr>
            <w:r>
              <w:rPr>
                <w:sz w:val="19"/>
              </w:rPr>
              <w:t>净现金降低企业价值但影响有限</w:t>
            </w:r>
          </w:p>
        </w:tc>
      </w:tr>
      <w:tr>
        <w:tc>
          <w:tcPr>
            <w:tcW w:type="dxa" w:w="1600"/>
            <w:tcMar>
              <w:top w:w="80" w:type="dxa"/>
              <w:bottom w:w="80" w:type="dxa"/>
              <w:start w:w="120" w:type="dxa"/>
              <w:end w:w="120" w:type="dxa"/>
            </w:tcMar>
            <w:vAlign w:val="center"/>
          </w:tcPr>
          <w:p>
            <w:pPr>
              <w:jc w:val="center"/>
            </w:pPr>
            <w:r>
              <w:rPr>
                <w:sz w:val="19"/>
              </w:rPr>
              <w:t>EV/S</w:t>
            </w:r>
          </w:p>
        </w:tc>
        <w:tc>
          <w:tcPr>
            <w:tcW w:type="dxa" w:w="1700"/>
            <w:tcMar>
              <w:top w:w="80" w:type="dxa"/>
              <w:bottom w:w="80" w:type="dxa"/>
              <w:start w:w="120" w:type="dxa"/>
              <w:end w:w="120" w:type="dxa"/>
            </w:tcMar>
            <w:vAlign w:val="center"/>
          </w:tcPr>
          <w:p>
            <w:pPr>
              <w:jc w:val="left"/>
            </w:pPr>
            <w:r>
              <w:rPr>
                <w:sz w:val="19"/>
              </w:rPr>
              <w:t>约 13-14 倍</w:t>
            </w:r>
          </w:p>
        </w:tc>
        <w:tc>
          <w:tcPr>
            <w:tcW w:type="dxa" w:w="3000"/>
            <w:tcMar>
              <w:top w:w="80" w:type="dxa"/>
              <w:bottom w:w="80" w:type="dxa"/>
              <w:start w:w="120" w:type="dxa"/>
              <w:end w:w="120" w:type="dxa"/>
            </w:tcMar>
            <w:vAlign w:val="center"/>
          </w:tcPr>
          <w:p>
            <w:pPr>
              <w:jc w:val="left"/>
            </w:pPr>
            <w:r>
              <w:rPr>
                <w:sz w:val="19"/>
              </w:rPr>
              <w:t>按 FY2025 收入 100.65 亿美元或 TTM 收入估算</w:t>
            </w:r>
          </w:p>
        </w:tc>
        <w:tc>
          <w:tcPr>
            <w:tcW w:type="dxa" w:w="3060"/>
            <w:tcMar>
              <w:top w:w="80" w:type="dxa"/>
              <w:bottom w:w="80" w:type="dxa"/>
              <w:start w:w="120" w:type="dxa"/>
              <w:end w:w="120" w:type="dxa"/>
            </w:tcMar>
            <w:vAlign w:val="center"/>
          </w:tcPr>
          <w:p>
            <w:pPr>
              <w:jc w:val="left"/>
            </w:pPr>
            <w:r>
              <w:rPr>
                <w:sz w:val="19"/>
              </w:rPr>
              <w:t>明显高于传统医疗设备公司</w:t>
            </w:r>
          </w:p>
        </w:tc>
      </w:tr>
      <w:tr>
        <w:tc>
          <w:tcPr>
            <w:tcW w:type="dxa" w:w="1600"/>
            <w:tcMar>
              <w:top w:w="80" w:type="dxa"/>
              <w:bottom w:w="80" w:type="dxa"/>
              <w:start w:w="120" w:type="dxa"/>
              <w:end w:w="120" w:type="dxa"/>
            </w:tcMar>
            <w:vAlign w:val="center"/>
          </w:tcPr>
          <w:p>
            <w:pPr>
              <w:jc w:val="center"/>
            </w:pPr>
            <w:r>
              <w:rPr>
                <w:sz w:val="19"/>
              </w:rPr>
              <w:t>P/E</w:t>
            </w:r>
          </w:p>
        </w:tc>
        <w:tc>
          <w:tcPr>
            <w:tcW w:type="dxa" w:w="1700"/>
            <w:tcMar>
              <w:top w:w="80" w:type="dxa"/>
              <w:bottom w:w="80" w:type="dxa"/>
              <w:start w:w="120" w:type="dxa"/>
              <w:end w:w="120" w:type="dxa"/>
            </w:tcMar>
            <w:vAlign w:val="center"/>
          </w:tcPr>
          <w:p>
            <w:pPr>
              <w:jc w:val="left"/>
            </w:pPr>
            <w:r>
              <w:rPr>
                <w:sz w:val="19"/>
              </w:rPr>
              <w:t>约 50 倍上下</w:t>
            </w:r>
          </w:p>
        </w:tc>
        <w:tc>
          <w:tcPr>
            <w:tcW w:type="dxa" w:w="3000"/>
            <w:tcMar>
              <w:top w:w="80" w:type="dxa"/>
              <w:bottom w:w="80" w:type="dxa"/>
              <w:start w:w="120" w:type="dxa"/>
              <w:end w:w="120" w:type="dxa"/>
            </w:tcMar>
            <w:vAlign w:val="center"/>
          </w:tcPr>
          <w:p>
            <w:pPr>
              <w:jc w:val="left"/>
            </w:pPr>
            <w:r>
              <w:rPr>
                <w:sz w:val="19"/>
              </w:rPr>
              <w:t>按 FY2025 净利润约 28.8 亿美元估算</w:t>
            </w:r>
          </w:p>
        </w:tc>
        <w:tc>
          <w:tcPr>
            <w:tcW w:type="dxa" w:w="3060"/>
            <w:tcMar>
              <w:top w:w="80" w:type="dxa"/>
              <w:bottom w:w="80" w:type="dxa"/>
              <w:start w:w="120" w:type="dxa"/>
              <w:end w:w="120" w:type="dxa"/>
            </w:tcMar>
            <w:vAlign w:val="center"/>
          </w:tcPr>
          <w:p>
            <w:pPr>
              <w:jc w:val="left"/>
            </w:pPr>
            <w:r>
              <w:rPr>
                <w:sz w:val="19"/>
              </w:rPr>
              <w:t>隐含长期高质量增长</w:t>
            </w:r>
          </w:p>
        </w:tc>
      </w:tr>
      <w:tr>
        <w:tc>
          <w:tcPr>
            <w:tcW w:type="dxa" w:w="1600"/>
            <w:tcMar>
              <w:top w:w="80" w:type="dxa"/>
              <w:bottom w:w="80" w:type="dxa"/>
              <w:start w:w="120" w:type="dxa"/>
              <w:end w:w="120" w:type="dxa"/>
            </w:tcMar>
            <w:vAlign w:val="center"/>
          </w:tcPr>
          <w:p>
            <w:pPr>
              <w:jc w:val="center"/>
            </w:pPr>
            <w:r>
              <w:rPr>
                <w:sz w:val="19"/>
              </w:rPr>
              <w:t>P/FCF</w:t>
            </w:r>
          </w:p>
        </w:tc>
        <w:tc>
          <w:tcPr>
            <w:tcW w:type="dxa" w:w="1700"/>
            <w:tcMar>
              <w:top w:w="80" w:type="dxa"/>
              <w:bottom w:w="80" w:type="dxa"/>
              <w:start w:w="120" w:type="dxa"/>
              <w:end w:w="120" w:type="dxa"/>
            </w:tcMar>
            <w:vAlign w:val="center"/>
          </w:tcPr>
          <w:p>
            <w:pPr>
              <w:jc w:val="left"/>
            </w:pPr>
            <w:r>
              <w:rPr>
                <w:sz w:val="19"/>
              </w:rPr>
              <w:t>约 58-63 倍</w:t>
            </w:r>
          </w:p>
        </w:tc>
        <w:tc>
          <w:tcPr>
            <w:tcW w:type="dxa" w:w="3000"/>
            <w:tcMar>
              <w:top w:w="80" w:type="dxa"/>
              <w:bottom w:w="80" w:type="dxa"/>
              <w:start w:w="120" w:type="dxa"/>
              <w:end w:w="120" w:type="dxa"/>
            </w:tcMar>
            <w:vAlign w:val="center"/>
          </w:tcPr>
          <w:p>
            <w:pPr>
              <w:jc w:val="left"/>
            </w:pPr>
            <w:r>
              <w:rPr>
                <w:sz w:val="19"/>
              </w:rPr>
              <w:t>按 FY2025 FCF 约 25 亿美元估算</w:t>
            </w:r>
          </w:p>
        </w:tc>
        <w:tc>
          <w:tcPr>
            <w:tcW w:type="dxa" w:w="3060"/>
            <w:tcMar>
              <w:top w:w="80" w:type="dxa"/>
              <w:bottom w:w="80" w:type="dxa"/>
              <w:start w:w="120" w:type="dxa"/>
              <w:end w:w="120" w:type="dxa"/>
            </w:tcMar>
            <w:vAlign w:val="center"/>
          </w:tcPr>
          <w:p>
            <w:pPr>
              <w:jc w:val="left"/>
            </w:pPr>
            <w:r>
              <w:rPr>
                <w:sz w:val="19"/>
              </w:rPr>
              <w:t>现金流角度安全边际偏薄</w:t>
            </w:r>
          </w:p>
        </w:tc>
      </w:tr>
      <w:tr>
        <w:tc>
          <w:tcPr>
            <w:tcW w:type="dxa" w:w="1600"/>
            <w:tcMar>
              <w:top w:w="80" w:type="dxa"/>
              <w:bottom w:w="80" w:type="dxa"/>
              <w:start w:w="120" w:type="dxa"/>
              <w:end w:w="120" w:type="dxa"/>
            </w:tcMar>
            <w:vAlign w:val="center"/>
          </w:tcPr>
          <w:p>
            <w:pPr>
              <w:jc w:val="center"/>
            </w:pPr>
            <w:r>
              <w:rPr>
                <w:sz w:val="19"/>
              </w:rPr>
              <w:t>收入复合预期</w:t>
            </w:r>
          </w:p>
        </w:tc>
        <w:tc>
          <w:tcPr>
            <w:tcW w:type="dxa" w:w="1700"/>
            <w:tcMar>
              <w:top w:w="80" w:type="dxa"/>
              <w:bottom w:w="80" w:type="dxa"/>
              <w:start w:w="120" w:type="dxa"/>
              <w:end w:w="120" w:type="dxa"/>
            </w:tcMar>
            <w:vAlign w:val="center"/>
          </w:tcPr>
          <w:p>
            <w:pPr>
              <w:jc w:val="left"/>
            </w:pPr>
            <w:r>
              <w:rPr>
                <w:sz w:val="19"/>
              </w:rPr>
              <w:t>未来 5 年需维持中高双位数</w:t>
            </w:r>
          </w:p>
        </w:tc>
        <w:tc>
          <w:tcPr>
            <w:tcW w:type="dxa" w:w="3000"/>
            <w:tcMar>
              <w:top w:w="80" w:type="dxa"/>
              <w:bottom w:w="80" w:type="dxa"/>
              <w:start w:w="120" w:type="dxa"/>
              <w:end w:w="120" w:type="dxa"/>
            </w:tcMar>
            <w:vAlign w:val="center"/>
          </w:tcPr>
          <w:p>
            <w:pPr>
              <w:jc w:val="left"/>
            </w:pPr>
            <w:r>
              <w:rPr>
                <w:sz w:val="19"/>
              </w:rPr>
              <w:t>否则估值难以自然消化</w:t>
            </w:r>
          </w:p>
        </w:tc>
        <w:tc>
          <w:tcPr>
            <w:tcW w:type="dxa" w:w="3060"/>
            <w:tcMar>
              <w:top w:w="80" w:type="dxa"/>
              <w:bottom w:w="80" w:type="dxa"/>
              <w:start w:w="120" w:type="dxa"/>
              <w:end w:w="120" w:type="dxa"/>
            </w:tcMar>
            <w:vAlign w:val="center"/>
          </w:tcPr>
          <w:p>
            <w:pPr>
              <w:jc w:val="left"/>
            </w:pPr>
            <w:r>
              <w:rPr>
                <w:sz w:val="19"/>
              </w:rPr>
              <w:t>核心变量是手术量、da Vinci 5 和 Ion</w:t>
            </w:r>
          </w:p>
        </w:tc>
      </w:tr>
    </w:tbl>
    <w:p/>
    <w:p>
      <w:pPr>
        <w:spacing w:after="80"/>
      </w:pPr>
      <w:r>
        <w:rPr>
          <w:color w:val="585858"/>
          <w:sz w:val="18"/>
        </w:rPr>
        <w:t>注：估值倍数为研究测算，市场价格按 2026-06-04 前后公开行情区间估算；若股价显著变化，应重新计算 EV/S、P/E 和 P/FCF。</w:t>
      </w:r>
    </w:p>
    <w:p>
      <w:pPr>
        <w:pStyle w:val="Heading2"/>
      </w:pPr>
      <w:r>
        <w:t>9.3 DCF 情景估值</w:t>
      </w:r>
    </w:p>
    <w:tbl>
      <w:tblPr>
        <w:tblStyle w:val="TableGrid"/>
        <w:tblW w:type="dxa" w:w="9360"/>
        <w:jc w:val="center"/>
        <w:tblLook w:firstColumn="1" w:firstRow="1" w:lastColumn="0" w:lastRow="0" w:noHBand="0" w:noVBand="1" w:val="04A0"/>
        <w:tblInd w:w="120" w:type="dxa"/>
      </w:tblPr>
      <w:tblGrid>
        <w:gridCol w:w="1200"/>
        <w:gridCol w:w="3100"/>
        <w:gridCol w:w="1500"/>
        <w:gridCol w:w="1500"/>
        <w:gridCol w:w="2060"/>
      </w:tblGrid>
      <w:tr>
        <w:trPr>
          <w:tblHeader w:val="true"/>
        </w:trPr>
        <w:tc>
          <w:tcPr>
            <w:tcW w:type="dxa" w:w="1200"/>
            <w:shd w:fill="E8EEF5"/>
            <w:tcMar>
              <w:top w:w="80" w:type="dxa"/>
              <w:bottom w:w="80" w:type="dxa"/>
              <w:start w:w="120" w:type="dxa"/>
              <w:end w:w="120" w:type="dxa"/>
            </w:tcMar>
            <w:vAlign w:val="center"/>
          </w:tcPr>
          <w:p>
            <w:pPr>
              <w:jc w:val="center"/>
            </w:pPr>
            <w:r>
              <w:rPr>
                <w:b/>
                <w:sz w:val="19"/>
              </w:rPr>
              <w:t>情景</w:t>
            </w:r>
          </w:p>
        </w:tc>
        <w:tc>
          <w:tcPr>
            <w:tcW w:type="dxa" w:w="3100"/>
            <w:shd w:fill="E8EEF5"/>
            <w:tcMar>
              <w:top w:w="80" w:type="dxa"/>
              <w:bottom w:w="80" w:type="dxa"/>
              <w:start w:w="120" w:type="dxa"/>
              <w:end w:w="120" w:type="dxa"/>
            </w:tcMar>
            <w:vAlign w:val="center"/>
          </w:tcPr>
          <w:p>
            <w:pPr>
              <w:jc w:val="center"/>
            </w:pPr>
            <w:r>
              <w:rPr>
                <w:b/>
                <w:sz w:val="19"/>
              </w:rPr>
              <w:t>核心假设</w:t>
            </w:r>
          </w:p>
        </w:tc>
        <w:tc>
          <w:tcPr>
            <w:tcW w:type="dxa" w:w="1500"/>
            <w:shd w:fill="E8EEF5"/>
            <w:tcMar>
              <w:top w:w="80" w:type="dxa"/>
              <w:bottom w:w="80" w:type="dxa"/>
              <w:start w:w="120" w:type="dxa"/>
              <w:end w:w="120" w:type="dxa"/>
            </w:tcMar>
            <w:vAlign w:val="center"/>
          </w:tcPr>
          <w:p>
            <w:pPr>
              <w:jc w:val="center"/>
            </w:pPr>
            <w:r>
              <w:rPr>
                <w:b/>
                <w:sz w:val="19"/>
              </w:rPr>
              <w:t>企业价值</w:t>
            </w:r>
          </w:p>
        </w:tc>
        <w:tc>
          <w:tcPr>
            <w:tcW w:type="dxa" w:w="1500"/>
            <w:shd w:fill="E8EEF5"/>
            <w:tcMar>
              <w:top w:w="80" w:type="dxa"/>
              <w:bottom w:w="80" w:type="dxa"/>
              <w:start w:w="120" w:type="dxa"/>
              <w:end w:w="120" w:type="dxa"/>
            </w:tcMar>
            <w:vAlign w:val="center"/>
          </w:tcPr>
          <w:p>
            <w:pPr>
              <w:jc w:val="center"/>
            </w:pPr>
            <w:r>
              <w:rPr>
                <w:b/>
                <w:sz w:val="19"/>
              </w:rPr>
              <w:t>每股权益价值</w:t>
            </w:r>
          </w:p>
        </w:tc>
        <w:tc>
          <w:tcPr>
            <w:tcW w:type="dxa" w:w="2060"/>
            <w:shd w:fill="E8EEF5"/>
            <w:tcMar>
              <w:top w:w="80" w:type="dxa"/>
              <w:bottom w:w="80" w:type="dxa"/>
              <w:start w:w="120" w:type="dxa"/>
              <w:end w:w="120" w:type="dxa"/>
            </w:tcMar>
            <w:vAlign w:val="center"/>
          </w:tcPr>
          <w:p>
            <w:pPr>
              <w:jc w:val="center"/>
            </w:pPr>
            <w:r>
              <w:rPr>
                <w:b/>
                <w:sz w:val="19"/>
              </w:rPr>
              <w:t>解读</w:t>
            </w:r>
          </w:p>
        </w:tc>
      </w:tr>
      <w:tr>
        <w:tc>
          <w:tcPr>
            <w:tcW w:type="dxa" w:w="1200"/>
            <w:tcMar>
              <w:top w:w="80" w:type="dxa"/>
              <w:bottom w:w="80" w:type="dxa"/>
              <w:start w:w="120" w:type="dxa"/>
              <w:end w:w="120" w:type="dxa"/>
            </w:tcMar>
            <w:vAlign w:val="center"/>
          </w:tcPr>
          <w:p>
            <w:pPr>
              <w:jc w:val="center"/>
            </w:pPr>
            <w:r>
              <w:rPr>
                <w:sz w:val="19"/>
              </w:rPr>
              <w:t>谨慎</w:t>
            </w:r>
          </w:p>
        </w:tc>
        <w:tc>
          <w:tcPr>
            <w:tcW w:type="dxa" w:w="3100"/>
            <w:tcMar>
              <w:top w:w="80" w:type="dxa"/>
              <w:bottom w:w="80" w:type="dxa"/>
              <w:start w:w="120" w:type="dxa"/>
              <w:end w:w="120" w:type="dxa"/>
            </w:tcMar>
            <w:vAlign w:val="center"/>
          </w:tcPr>
          <w:p>
            <w:pPr>
              <w:jc w:val="left"/>
            </w:pPr>
            <w:r>
              <w:rPr>
                <w:sz w:val="19"/>
              </w:rPr>
              <w:t>起始 FCF 25 亿美元，5 年 CAGR 10%，WACC 10%，永续 2.5%</w:t>
            </w:r>
          </w:p>
        </w:tc>
        <w:tc>
          <w:tcPr>
            <w:tcW w:type="dxa" w:w="1500"/>
            <w:tcMar>
              <w:top w:w="80" w:type="dxa"/>
              <w:bottom w:w="80" w:type="dxa"/>
              <w:start w:w="120" w:type="dxa"/>
              <w:end w:w="120" w:type="dxa"/>
            </w:tcMar>
            <w:vAlign w:val="center"/>
          </w:tcPr>
          <w:p>
            <w:pPr>
              <w:jc w:val="left"/>
            </w:pPr>
            <w:r>
              <w:rPr>
                <w:sz w:val="19"/>
              </w:rPr>
              <w:t>约 467 亿美元</w:t>
            </w:r>
          </w:p>
        </w:tc>
        <w:tc>
          <w:tcPr>
            <w:tcW w:type="dxa" w:w="1500"/>
            <w:tcMar>
              <w:top w:w="80" w:type="dxa"/>
              <w:bottom w:w="80" w:type="dxa"/>
              <w:start w:w="120" w:type="dxa"/>
              <w:end w:w="120" w:type="dxa"/>
            </w:tcMar>
            <w:vAlign w:val="center"/>
          </w:tcPr>
          <w:p>
            <w:pPr>
              <w:jc w:val="left"/>
            </w:pPr>
            <w:r>
              <w:rPr>
                <w:sz w:val="19"/>
              </w:rPr>
              <w:t>约 154 美元</w:t>
            </w:r>
          </w:p>
        </w:tc>
        <w:tc>
          <w:tcPr>
            <w:tcW w:type="dxa" w:w="2060"/>
            <w:tcMar>
              <w:top w:w="80" w:type="dxa"/>
              <w:bottom w:w="80" w:type="dxa"/>
              <w:start w:w="120" w:type="dxa"/>
              <w:end w:w="120" w:type="dxa"/>
            </w:tcMar>
            <w:vAlign w:val="center"/>
          </w:tcPr>
          <w:p>
            <w:pPr>
              <w:jc w:val="left"/>
            </w:pPr>
            <w:r>
              <w:rPr>
                <w:sz w:val="19"/>
              </w:rPr>
              <w:t>若增长降至普通医疗设备水平，当前估值明显偏高</w:t>
            </w:r>
          </w:p>
        </w:tc>
      </w:tr>
      <w:tr>
        <w:tc>
          <w:tcPr>
            <w:tcW w:type="dxa" w:w="1200"/>
            <w:tcMar>
              <w:top w:w="80" w:type="dxa"/>
              <w:bottom w:w="80" w:type="dxa"/>
              <w:start w:w="120" w:type="dxa"/>
              <w:end w:w="120" w:type="dxa"/>
            </w:tcMar>
            <w:vAlign w:val="center"/>
          </w:tcPr>
          <w:p>
            <w:pPr>
              <w:jc w:val="center"/>
            </w:pPr>
            <w:r>
              <w:rPr>
                <w:sz w:val="19"/>
              </w:rPr>
              <w:t>基准</w:t>
            </w:r>
          </w:p>
        </w:tc>
        <w:tc>
          <w:tcPr>
            <w:tcW w:type="dxa" w:w="3100"/>
            <w:tcMar>
              <w:top w:w="80" w:type="dxa"/>
              <w:bottom w:w="80" w:type="dxa"/>
              <w:start w:w="120" w:type="dxa"/>
              <w:end w:w="120" w:type="dxa"/>
            </w:tcMar>
            <w:vAlign w:val="center"/>
          </w:tcPr>
          <w:p>
            <w:pPr>
              <w:jc w:val="left"/>
            </w:pPr>
            <w:r>
              <w:rPr>
                <w:sz w:val="19"/>
              </w:rPr>
              <w:t>起始 FCF 28 亿美元，5 年 CAGR 15%，WACC 9.5%，永续 3.0%</w:t>
            </w:r>
          </w:p>
        </w:tc>
        <w:tc>
          <w:tcPr>
            <w:tcW w:type="dxa" w:w="1500"/>
            <w:tcMar>
              <w:top w:w="80" w:type="dxa"/>
              <w:bottom w:w="80" w:type="dxa"/>
              <w:start w:w="120" w:type="dxa"/>
              <w:end w:w="120" w:type="dxa"/>
            </w:tcMar>
            <w:vAlign w:val="center"/>
          </w:tcPr>
          <w:p>
            <w:pPr>
              <w:jc w:val="left"/>
            </w:pPr>
            <w:r>
              <w:rPr>
                <w:sz w:val="19"/>
              </w:rPr>
              <w:t>约 729 亿美元</w:t>
            </w:r>
          </w:p>
        </w:tc>
        <w:tc>
          <w:tcPr>
            <w:tcW w:type="dxa" w:w="1500"/>
            <w:tcMar>
              <w:top w:w="80" w:type="dxa"/>
              <w:bottom w:w="80" w:type="dxa"/>
              <w:start w:w="120" w:type="dxa"/>
              <w:end w:w="120" w:type="dxa"/>
            </w:tcMar>
            <w:vAlign w:val="center"/>
          </w:tcPr>
          <w:p>
            <w:pPr>
              <w:jc w:val="left"/>
            </w:pPr>
            <w:r>
              <w:rPr>
                <w:sz w:val="19"/>
              </w:rPr>
              <w:t>约 228 美元</w:t>
            </w:r>
          </w:p>
        </w:tc>
        <w:tc>
          <w:tcPr>
            <w:tcW w:type="dxa" w:w="2060"/>
            <w:tcMar>
              <w:top w:w="80" w:type="dxa"/>
              <w:bottom w:w="80" w:type="dxa"/>
              <w:start w:w="120" w:type="dxa"/>
              <w:end w:w="120" w:type="dxa"/>
            </w:tcMar>
            <w:vAlign w:val="center"/>
          </w:tcPr>
          <w:p>
            <w:pPr>
              <w:jc w:val="left"/>
            </w:pPr>
            <w:r>
              <w:rPr>
                <w:sz w:val="19"/>
              </w:rPr>
              <w:t>传统 DCF 下仍低于当前市场价格</w:t>
            </w:r>
          </w:p>
        </w:tc>
      </w:tr>
      <w:tr>
        <w:tc>
          <w:tcPr>
            <w:tcW w:type="dxa" w:w="1200"/>
            <w:tcMar>
              <w:top w:w="80" w:type="dxa"/>
              <w:bottom w:w="80" w:type="dxa"/>
              <w:start w:w="120" w:type="dxa"/>
              <w:end w:w="120" w:type="dxa"/>
            </w:tcMar>
            <w:vAlign w:val="center"/>
          </w:tcPr>
          <w:p>
            <w:pPr>
              <w:jc w:val="center"/>
            </w:pPr>
            <w:r>
              <w:rPr>
                <w:sz w:val="19"/>
              </w:rPr>
              <w:t>乐观</w:t>
            </w:r>
          </w:p>
        </w:tc>
        <w:tc>
          <w:tcPr>
            <w:tcW w:type="dxa" w:w="3100"/>
            <w:tcMar>
              <w:top w:w="80" w:type="dxa"/>
              <w:bottom w:w="80" w:type="dxa"/>
              <w:start w:w="120" w:type="dxa"/>
              <w:end w:w="120" w:type="dxa"/>
            </w:tcMar>
            <w:vAlign w:val="center"/>
          </w:tcPr>
          <w:p>
            <w:pPr>
              <w:jc w:val="left"/>
            </w:pPr>
            <w:r>
              <w:rPr>
                <w:sz w:val="19"/>
              </w:rPr>
              <w:t>起始 FCF 30 亿美元，5 年 CAGR 18%，WACC 8.5%，永续 3.5%</w:t>
            </w:r>
          </w:p>
        </w:tc>
        <w:tc>
          <w:tcPr>
            <w:tcW w:type="dxa" w:w="1500"/>
            <w:tcMar>
              <w:top w:w="80" w:type="dxa"/>
              <w:bottom w:w="80" w:type="dxa"/>
              <w:start w:w="120" w:type="dxa"/>
              <w:end w:w="120" w:type="dxa"/>
            </w:tcMar>
            <w:vAlign w:val="center"/>
          </w:tcPr>
          <w:p>
            <w:pPr>
              <w:jc w:val="left"/>
            </w:pPr>
            <w:r>
              <w:rPr>
                <w:sz w:val="19"/>
              </w:rPr>
              <w:t>约 1,139 亿美元</w:t>
            </w:r>
          </w:p>
        </w:tc>
        <w:tc>
          <w:tcPr>
            <w:tcW w:type="dxa" w:w="1500"/>
            <w:tcMar>
              <w:top w:w="80" w:type="dxa"/>
              <w:bottom w:w="80" w:type="dxa"/>
              <w:start w:w="120" w:type="dxa"/>
              <w:end w:w="120" w:type="dxa"/>
            </w:tcMar>
            <w:vAlign w:val="center"/>
          </w:tcPr>
          <w:p>
            <w:pPr>
              <w:jc w:val="left"/>
            </w:pPr>
            <w:r>
              <w:rPr>
                <w:sz w:val="19"/>
              </w:rPr>
              <w:t>约 344 美元</w:t>
            </w:r>
          </w:p>
        </w:tc>
        <w:tc>
          <w:tcPr>
            <w:tcW w:type="dxa" w:w="2060"/>
            <w:tcMar>
              <w:top w:w="80" w:type="dxa"/>
              <w:bottom w:w="80" w:type="dxa"/>
              <w:start w:w="120" w:type="dxa"/>
              <w:end w:w="120" w:type="dxa"/>
            </w:tcMar>
            <w:vAlign w:val="center"/>
          </w:tcPr>
          <w:p>
            <w:pPr>
              <w:jc w:val="left"/>
            </w:pPr>
            <w:r>
              <w:rPr>
                <w:sz w:val="19"/>
              </w:rPr>
              <w:t>需要长期高增长和低折现率支撑</w:t>
            </w:r>
          </w:p>
        </w:tc>
      </w:tr>
      <w:tr>
        <w:tc>
          <w:tcPr>
            <w:tcW w:type="dxa" w:w="1200"/>
            <w:tcMar>
              <w:top w:w="80" w:type="dxa"/>
              <w:bottom w:w="80" w:type="dxa"/>
              <w:start w:w="120" w:type="dxa"/>
              <w:end w:w="120" w:type="dxa"/>
            </w:tcMar>
            <w:vAlign w:val="center"/>
          </w:tcPr>
          <w:p>
            <w:pPr>
              <w:jc w:val="center"/>
            </w:pPr>
            <w:r>
              <w:rPr>
                <w:sz w:val="19"/>
              </w:rPr>
              <w:t>平台溢价</w:t>
            </w:r>
          </w:p>
        </w:tc>
        <w:tc>
          <w:tcPr>
            <w:tcW w:type="dxa" w:w="3100"/>
            <w:tcMar>
              <w:top w:w="80" w:type="dxa"/>
              <w:bottom w:w="80" w:type="dxa"/>
              <w:start w:w="120" w:type="dxa"/>
              <w:end w:w="120" w:type="dxa"/>
            </w:tcMar>
            <w:vAlign w:val="center"/>
          </w:tcPr>
          <w:p>
            <w:pPr>
              <w:jc w:val="left"/>
            </w:pPr>
            <w:r>
              <w:rPr>
                <w:sz w:val="19"/>
              </w:rPr>
              <w:t>起始 FCF 28 亿美元，5 年 CAGR 18%，WACC 8.0%，永续 4.0%</w:t>
            </w:r>
          </w:p>
        </w:tc>
        <w:tc>
          <w:tcPr>
            <w:tcW w:type="dxa" w:w="1500"/>
            <w:tcMar>
              <w:top w:w="80" w:type="dxa"/>
              <w:bottom w:w="80" w:type="dxa"/>
              <w:start w:w="120" w:type="dxa"/>
              <w:end w:w="120" w:type="dxa"/>
            </w:tcMar>
            <w:vAlign w:val="center"/>
          </w:tcPr>
          <w:p>
            <w:pPr>
              <w:jc w:val="left"/>
            </w:pPr>
            <w:r>
              <w:rPr>
                <w:sz w:val="19"/>
              </w:rPr>
              <w:t>接近 1,320 亿美元</w:t>
            </w:r>
          </w:p>
        </w:tc>
        <w:tc>
          <w:tcPr>
            <w:tcW w:type="dxa" w:w="1500"/>
            <w:tcMar>
              <w:top w:w="80" w:type="dxa"/>
              <w:bottom w:w="80" w:type="dxa"/>
              <w:start w:w="120" w:type="dxa"/>
              <w:end w:w="120" w:type="dxa"/>
            </w:tcMar>
            <w:vAlign w:val="center"/>
          </w:tcPr>
          <w:p>
            <w:pPr>
              <w:jc w:val="left"/>
            </w:pPr>
            <w:r>
              <w:rPr>
                <w:sz w:val="19"/>
              </w:rPr>
              <w:t>约 394 美元</w:t>
            </w:r>
          </w:p>
        </w:tc>
        <w:tc>
          <w:tcPr>
            <w:tcW w:type="dxa" w:w="2060"/>
            <w:tcMar>
              <w:top w:w="80" w:type="dxa"/>
              <w:bottom w:w="80" w:type="dxa"/>
              <w:start w:w="120" w:type="dxa"/>
              <w:end w:w="120" w:type="dxa"/>
            </w:tcMar>
            <w:vAlign w:val="center"/>
          </w:tcPr>
          <w:p>
            <w:pPr>
              <w:jc w:val="left"/>
            </w:pPr>
            <w:r>
              <w:rPr>
                <w:sz w:val="19"/>
              </w:rPr>
              <w:t>接近当前估值，需要认可医疗机器人平台的长期稀缺性</w:t>
            </w:r>
          </w:p>
        </w:tc>
      </w:tr>
    </w:tbl>
    <w:p/>
    <w:p>
      <w:pPr>
        <w:spacing w:after="120" w:line="264" w:lineRule="auto"/>
      </w:pPr>
      <w:r>
        <w:rPr>
          <w:sz w:val="22"/>
        </w:rPr>
        <w:t>DCF 的含义不是给出唯一目标价，而是帮助识别市场隐含预期：当前价格附近，市场并非只在买当期利润，而是在买长期手术渗透、经常性收入复利、平台稀缺性和竞争壁垒。如果未来增速降至低双位数，估值压缩风险较高；若 da Vinci 5、Ion 和国际市场共同推动 15%-20% 现金流复合增长，当前估值才更容易被时间消化。</w:t>
      </w:r>
    </w:p>
    <w:p>
      <w:pPr>
        <w:pStyle w:val="Heading2"/>
      </w:pPr>
      <w:r>
        <w:t>9.4 研究评级</w:t>
      </w:r>
    </w:p>
    <w:tbl>
      <w:tblPr>
        <w:tblStyle w:val="TableGrid"/>
        <w:tblW w:type="dxa" w:w="9360"/>
        <w:jc w:val="center"/>
        <w:tblLook w:firstColumn="1" w:firstRow="1" w:lastColumn="0" w:lastRow="0" w:noHBand="0" w:noVBand="1" w:val="04A0"/>
        <w:tblInd w:w="120" w:type="dxa"/>
      </w:tblPr>
      <w:tblGrid>
        <w:gridCol w:w="9360"/>
      </w:tblGrid>
      <w:tr>
        <w:tc>
          <w:tcPr>
            <w:tcW w:type="dxa" w:w="9360"/>
            <w:shd w:fill="EFEAF7"/>
            <w:tcMar>
              <w:top w:w="80" w:type="dxa"/>
              <w:bottom w:w="80" w:type="dxa"/>
              <w:start w:w="120" w:type="dxa"/>
              <w:end w:w="120" w:type="dxa"/>
            </w:tcMar>
            <w:vAlign w:val="center"/>
          </w:tcPr>
          <w:p>
            <w:pPr>
              <w:spacing w:line="264" w:lineRule="auto"/>
            </w:pPr>
            <w:r>
              <w:rPr>
                <w:b/>
                <w:color w:val="1F4D78"/>
              </w:rPr>
              <w:t>研究观点：</w:t>
            </w:r>
            <w:r>
              <w:t xml:space="preserve"> 中长期积极，短期估值中性偏谨慎。ISRG 是纯机器人赛道最优质的成熟龙头之一，适合作为机器人长期研究的核心标的；但从估值角度，当前更适合等待回调、财报确认或用分批方式跟踪，而不是忽略估值直接追高。</w:t>
            </w:r>
          </w:p>
        </w:tc>
      </w:tr>
    </w:tbl>
    <w:p/>
    <w:p>
      <w:pPr>
        <w:pStyle w:val="Heading1"/>
      </w:pPr>
      <w:r>
        <w:t>十、主要风险因素</w:t>
      </w:r>
    </w:p>
    <w:p>
      <w:pPr>
        <w:pStyle w:val="ListBullet"/>
        <w:spacing w:after="80" w:line="280" w:lineRule="auto"/>
        <w:ind w:left="720" w:hanging="360"/>
      </w:pPr>
      <w:r>
        <w:t>估值风险：当前估值已经反映较强长期增长预期，任何手术量、系统出货或毛利率不及预期都可能带来 P/E 和 P/FCF 压缩。</w:t>
      </w:r>
    </w:p>
    <w:p>
      <w:pPr>
        <w:pStyle w:val="ListBullet"/>
        <w:spacing w:after="80" w:line="280" w:lineRule="auto"/>
        <w:ind w:left="720" w:hanging="360"/>
      </w:pPr>
      <w:r>
        <w:t>竞争风险：Medtronic、Johnson &amp; Johnson、CMR、区域厂商和细分机器人公司可能在部分术式或地区削弱 ISRG 定价权。</w:t>
      </w:r>
    </w:p>
    <w:p>
      <w:pPr>
        <w:pStyle w:val="ListBullet"/>
        <w:spacing w:after="80" w:line="280" w:lineRule="auto"/>
        <w:ind w:left="720" w:hanging="360"/>
      </w:pPr>
      <w:r>
        <w:t>医院资本开支风险：达芬奇系统属于高价设备，若医院预算收紧，新增装机和换机节奏可能放缓。</w:t>
      </w:r>
    </w:p>
    <w:p>
      <w:pPr>
        <w:pStyle w:val="ListBullet"/>
        <w:spacing w:after="80" w:line="280" w:lineRule="auto"/>
        <w:ind w:left="720" w:hanging="360"/>
      </w:pPr>
      <w:r>
        <w:t>监管风险：新系统、新术式和新地区扩张需要监管批准，审批节奏会影响 da Vinci 5 和 Ion 的放量速度。</w:t>
      </w:r>
    </w:p>
    <w:p>
      <w:pPr>
        <w:pStyle w:val="ListBullet"/>
        <w:spacing w:after="80" w:line="280" w:lineRule="auto"/>
        <w:ind w:left="720" w:hanging="360"/>
      </w:pPr>
      <w:r>
        <w:t>临床与诉讼风险：手术机器人涉及患者安全，任何重大不良事件、产品召回或诉讼都会影响品牌和估值。</w:t>
      </w:r>
    </w:p>
    <w:p>
      <w:pPr>
        <w:pStyle w:val="ListBullet"/>
        <w:spacing w:after="80" w:line="280" w:lineRule="auto"/>
        <w:ind w:left="720" w:hanging="360"/>
      </w:pPr>
      <w:r>
        <w:t>毛利率风险：产品换代、供应链成本、区域 mix、租赁比例和竞争定价可能压低毛利率。</w:t>
      </w:r>
    </w:p>
    <w:p>
      <w:pPr>
        <w:pStyle w:val="ListBullet"/>
        <w:spacing w:after="80" w:line="280" w:lineRule="auto"/>
        <w:ind w:left="720" w:hanging="360"/>
      </w:pPr>
      <w:r>
        <w:t>国际市场风险：汇率、地缘政治、医保报销、进口审批和本土竞争可能影响海外增长。</w:t>
      </w:r>
    </w:p>
    <w:p>
      <w:pPr>
        <w:pStyle w:val="ListBullet"/>
        <w:spacing w:after="80" w:line="280" w:lineRule="auto"/>
        <w:ind w:left="720" w:hanging="360"/>
      </w:pPr>
      <w:r>
        <w:t>技术替代风险：若 AI 辅助手术、远程手术或新型平台架构由竞争者率先商业化，ISRG 需要持续投入保持领先。</w:t>
      </w:r>
    </w:p>
    <w:p>
      <w:pPr>
        <w:pStyle w:val="Heading1"/>
      </w:pPr>
      <w:r>
        <w:t>十一、财务数据核查及跟踪指标</w:t>
      </w:r>
    </w:p>
    <w:p>
      <w:pPr>
        <w:pStyle w:val="Heading2"/>
      </w:pPr>
      <w:r>
        <w:t>11.1 核查结论</w:t>
      </w:r>
    </w:p>
    <w:p>
      <w:pPr>
        <w:spacing w:after="120" w:line="264" w:lineRule="auto"/>
      </w:pPr>
      <w:r>
        <w:rPr>
          <w:sz w:val="22"/>
        </w:rPr>
        <w:t>本报告采用的最新季度数据来自 Intuitive Surgical 2026 Q1 业绩公告与季度报告；FY2025 全年数据来自 2025 Form 10-K。估值相关市值和价格采用 2026-06-04 前后公开行情区间，因股价波动较大，所有估值倍数和 DCF 对比需在实际投资前按最新价格更新。</w:t>
      </w:r>
    </w:p>
    <w:p>
      <w:pPr>
        <w:pStyle w:val="Heading2"/>
      </w:pPr>
      <w:r>
        <w:t>11.2 建议跟踪指标</w:t>
      </w:r>
    </w:p>
    <w:p>
      <w:pPr>
        <w:pStyle w:val="ListBullet"/>
        <w:spacing w:after="80" w:line="280" w:lineRule="auto"/>
        <w:ind w:left="720" w:hanging="360"/>
      </w:pPr>
      <w:r>
        <w:t>da Vinci 全球手术量增速是否持续维持 15% 以上，尤其是美国成熟市场和海外增量市场的差异。</w:t>
      </w:r>
    </w:p>
    <w:p>
      <w:pPr>
        <w:pStyle w:val="ListBullet"/>
        <w:spacing w:after="80" w:line="280" w:lineRule="auto"/>
        <w:ind w:left="720" w:hanging="360"/>
      </w:pPr>
      <w:r>
        <w:t>da Vinci 5 出货、监管适应症扩展、医院采购反馈和旧系统换机节奏。</w:t>
      </w:r>
    </w:p>
    <w:p>
      <w:pPr>
        <w:pStyle w:val="ListBullet"/>
        <w:spacing w:after="80" w:line="280" w:lineRule="auto"/>
        <w:ind w:left="720" w:hanging="360"/>
      </w:pPr>
      <w:r>
        <w:t>系统装机基数、租赁比例和每台系统利用率变化，判断长期耗材复购空间。</w:t>
      </w:r>
    </w:p>
    <w:p>
      <w:pPr>
        <w:pStyle w:val="ListBullet"/>
        <w:spacing w:after="80" w:line="280" w:lineRule="auto"/>
        <w:ind w:left="720" w:hanging="360"/>
      </w:pPr>
      <w:r>
        <w:t>器械与附件收入增速是否继续快于系统收入，验证经常性收入质量。</w:t>
      </w:r>
    </w:p>
    <w:p>
      <w:pPr>
        <w:pStyle w:val="ListBullet"/>
        <w:spacing w:after="80" w:line="280" w:lineRule="auto"/>
        <w:ind w:left="720" w:hanging="360"/>
      </w:pPr>
      <w:r>
        <w:t>Ion 平台装机量、肺部活检耗材使用和临床采用速度。</w:t>
      </w:r>
    </w:p>
    <w:p>
      <w:pPr>
        <w:pStyle w:val="ListBullet"/>
        <w:spacing w:after="80" w:line="280" w:lineRule="auto"/>
        <w:ind w:left="720" w:hanging="360"/>
      </w:pPr>
      <w:r>
        <w:t>毛利率、营业利润率、研发费用率和销售费用率，判断换代周期中的经营杠杆。</w:t>
      </w:r>
    </w:p>
    <w:p>
      <w:pPr>
        <w:pStyle w:val="ListBullet"/>
        <w:spacing w:after="80" w:line="280" w:lineRule="auto"/>
        <w:ind w:left="720" w:hanging="360"/>
      </w:pPr>
      <w:r>
        <w:t>经营现金流、自由现金流和资本开支，判断高估值是否有现金流支撑。</w:t>
      </w:r>
    </w:p>
    <w:p>
      <w:pPr>
        <w:pStyle w:val="ListBullet"/>
        <w:spacing w:after="80" w:line="280" w:lineRule="auto"/>
        <w:ind w:left="720" w:hanging="360"/>
      </w:pPr>
      <w:r>
        <w:t>竞争者监管进展，尤其是 J&amp;J OTTAVA、Medtronic Hugo、CMR Versius 和中国本土手术机器人。</w:t>
      </w:r>
    </w:p>
    <w:p>
      <w:pPr>
        <w:pStyle w:val="ListBullet"/>
        <w:spacing w:after="80" w:line="280" w:lineRule="auto"/>
        <w:ind w:left="720" w:hanging="360"/>
      </w:pPr>
      <w:r>
        <w:t>估值倍数是否回落至更合理区间，例如 P/E、EV/S、P/FCF 与收入/FCF 增速是否匹配。</w:t>
      </w:r>
    </w:p>
    <w:p>
      <w:pPr>
        <w:pStyle w:val="Heading1"/>
      </w:pPr>
      <w:r>
        <w:t>十二、研究结论</w:t>
      </w:r>
    </w:p>
    <w:p>
      <w:pPr>
        <w:pStyle w:val="Heading2"/>
      </w:pPr>
      <w:r>
        <w:t>12.1 投资亮点</w:t>
      </w:r>
    </w:p>
    <w:p>
      <w:pPr>
        <w:pStyle w:val="ListBullet"/>
        <w:spacing w:after="80" w:line="280" w:lineRule="auto"/>
        <w:ind w:left="720" w:hanging="360"/>
      </w:pPr>
      <w:r>
        <w:t>ISRG 是美股纯机器人赛道中少数已经形成大规模盈利和自由现金流的龙头公司。</w:t>
      </w:r>
    </w:p>
    <w:p>
      <w:pPr>
        <w:pStyle w:val="ListBullet"/>
        <w:spacing w:after="80" w:line="280" w:lineRule="auto"/>
        <w:ind w:left="720" w:hanging="360"/>
      </w:pPr>
      <w:r>
        <w:t>达芬奇平台的装机基数、医生培训、医院流程和耗材服务构成深厚护城河。</w:t>
      </w:r>
    </w:p>
    <w:p>
      <w:pPr>
        <w:pStyle w:val="ListBullet"/>
        <w:spacing w:after="80" w:line="280" w:lineRule="auto"/>
        <w:ind w:left="720" w:hanging="360"/>
      </w:pPr>
      <w:r>
        <w:t>经常性收入占比高，使公司收入稳定性明显优于普通资本设备公司。</w:t>
      </w:r>
    </w:p>
    <w:p>
      <w:pPr>
        <w:pStyle w:val="ListBullet"/>
        <w:spacing w:after="80" w:line="280" w:lineRule="auto"/>
        <w:ind w:left="720" w:hanging="360"/>
      </w:pPr>
      <w:r>
        <w:t>da Vinci 5 提供换代周期，Ion 提供第二平台增长，海外市场仍有渗透空间。</w:t>
      </w:r>
    </w:p>
    <w:p>
      <w:pPr>
        <w:pStyle w:val="ListBullet"/>
        <w:spacing w:after="80" w:line="280" w:lineRule="auto"/>
        <w:ind w:left="720" w:hanging="360"/>
      </w:pPr>
      <w:r>
        <w:t>净现金资产负债表和高利润率让公司具备长期研发投入和抗周期能力。</w:t>
      </w:r>
    </w:p>
    <w:p>
      <w:pPr>
        <w:pStyle w:val="Heading2"/>
      </w:pPr>
      <w:r>
        <w:t>12.2 审慎事项</w:t>
      </w:r>
    </w:p>
    <w:p>
      <w:pPr>
        <w:pStyle w:val="ListBullet"/>
        <w:spacing w:after="80" w:line="280" w:lineRule="auto"/>
        <w:ind w:left="720" w:hanging="360"/>
      </w:pPr>
      <w:r>
        <w:t>ISRG 的公司质量很高，但估值同样很高，投资收益不只取决于公司增长，也取决于买入价格。</w:t>
      </w:r>
    </w:p>
    <w:p>
      <w:pPr>
        <w:pStyle w:val="ListBullet"/>
        <w:spacing w:after="80" w:line="280" w:lineRule="auto"/>
        <w:ind w:left="720" w:hanging="360"/>
      </w:pPr>
      <w:r>
        <w:t>传统 DCF 对当前股价支持不足，只有在较低折现率、较高长期增长和平台溢价假设下才接近现价。</w:t>
      </w:r>
    </w:p>
    <w:p>
      <w:pPr>
        <w:pStyle w:val="ListBullet"/>
        <w:spacing w:after="80" w:line="280" w:lineRule="auto"/>
        <w:ind w:left="720" w:hanging="360"/>
      </w:pPr>
      <w:r>
        <w:t>竞争者短期难以撼动全局生态，但可能在单一术式、单一区域或价格敏感市场造成压力。</w:t>
      </w:r>
    </w:p>
    <w:p>
      <w:pPr>
        <w:pStyle w:val="ListBullet"/>
        <w:spacing w:after="80" w:line="280" w:lineRule="auto"/>
        <w:ind w:left="720" w:hanging="360"/>
      </w:pPr>
      <w:r>
        <w:t>若 da Vinci 5 换机周期、Ion 放量或海外增长低于预期，估值消化时间会拉长。</w:t>
      </w:r>
    </w:p>
    <w:p>
      <w:pPr>
        <w:pStyle w:val="Heading2"/>
      </w:pPr>
      <w:r>
        <w:t>资料来源</w:t>
      </w:r>
    </w:p>
    <w:p>
      <w:pPr>
        <w:spacing w:after="80"/>
      </w:pPr>
      <w:r>
        <w:rPr>
          <w:color w:val="585858"/>
          <w:sz w:val="18"/>
        </w:rPr>
        <w:t>Intuitive Surgical Announces First Quarter Earnings, Apr. 22, 2026. https://investor.intuitivesurgical.com/news-releases/news-release-details/intuitive-announces-first-quarter-earnings-7</w:t>
      </w:r>
    </w:p>
    <w:p>
      <w:pPr>
        <w:spacing w:after="80"/>
      </w:pPr>
      <w:r>
        <w:rPr>
          <w:color w:val="585858"/>
          <w:sz w:val="18"/>
        </w:rPr>
        <w:t>Intuitive Surgical Form 10-Q for quarter ended Mar. 31, 2026. https://investor.intuitivesurgical.com/financial-information/sec-filings</w:t>
      </w:r>
    </w:p>
    <w:p>
      <w:pPr>
        <w:spacing w:after="80"/>
      </w:pPr>
      <w:r>
        <w:rPr>
          <w:color w:val="585858"/>
          <w:sz w:val="18"/>
        </w:rPr>
        <w:t>Intuitive Surgical 2025 Form 10-K / Annual Report. https://investor.intuitivesurgical.com/financial-information/annual-reports</w:t>
      </w:r>
    </w:p>
    <w:p>
      <w:pPr>
        <w:spacing w:after="80"/>
      </w:pPr>
      <w:r>
        <w:rPr>
          <w:color w:val="585858"/>
          <w:sz w:val="18"/>
        </w:rPr>
        <w:t>Intuitive Surgical Investor Relations. https://investor.intuitivesurgical.com/</w:t>
      </w:r>
    </w:p>
    <w:p>
      <w:pPr>
        <w:spacing w:after="80"/>
      </w:pPr>
      <w:r>
        <w:rPr>
          <w:color w:val="585858"/>
          <w:sz w:val="18"/>
        </w:rPr>
        <w:t>NASDAQ / third-party market quote data for ISRG around Jun. 4, 2026, used only for valuation snapshot.</w:t>
      </w:r>
    </w:p>
    <w:p>
      <w:pPr>
        <w:spacing w:after="80"/>
      </w:pPr>
      <w:r>
        <w:rPr>
          <w:color w:val="585858"/>
          <w:sz w:val="18"/>
        </w:rPr>
        <w:t>Medtronic Hugo RAS, Johnson &amp; Johnson OTTAVA, Stryker Mako, PROCEPT BioRobotics and CMR Surgical public company/product disclosures, used for competitive comparison.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5858"/>
        <w:sz w:val="18"/>
      </w:rPr>
      <w:t>仅供研究参考，不构成投资建议</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