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5E" w:rsidRDefault="006B3F5E" w:rsidP="006B3F5E">
      <w:pPr>
        <w:pStyle w:val="15MCPU4"/>
      </w:pPr>
      <w:r>
        <w:t>С.С. Яковлев</w:t>
      </w:r>
    </w:p>
    <w:p w:rsidR="006B3F5E" w:rsidRDefault="006B3F5E" w:rsidP="006B3F5E">
      <w:pPr>
        <w:pStyle w:val="15MCPU5"/>
      </w:pPr>
      <w:r w:rsidRPr="00B54BC5">
        <w:t xml:space="preserve">Использование группы мобильных роботов для </w:t>
      </w:r>
      <w:r w:rsidR="00D0473C">
        <w:t>выполнения операций спасения и эвакуации</w:t>
      </w:r>
      <w:r w:rsidRPr="00B54BC5">
        <w:t xml:space="preserve"> в сложных климатических условиях</w:t>
      </w:r>
      <w:r>
        <w:t xml:space="preserve"> </w:t>
      </w:r>
    </w:p>
    <w:p w:rsidR="006B3F5E" w:rsidRPr="006B3F5E" w:rsidRDefault="006B3F5E" w:rsidP="006B3F5E">
      <w:pPr>
        <w:pStyle w:val="15MCPU6"/>
      </w:pPr>
      <w:r>
        <w:t>ЦНИИ РТК, Санкт-Петербург,</w:t>
      </w:r>
      <w:r>
        <w:br/>
      </w:r>
      <w:proofErr w:type="spellStart"/>
      <w:r w:rsidR="00074077">
        <w:rPr>
          <w:lang w:val="en-US"/>
        </w:rPr>
        <w:t>syakovlev</w:t>
      </w:r>
      <w:proofErr w:type="spellEnd"/>
      <w:r w:rsidR="00074077" w:rsidRPr="00074077">
        <w:t>90</w:t>
      </w:r>
      <w:r w:rsidRPr="006B3F5E">
        <w:t>@</w:t>
      </w:r>
      <w:proofErr w:type="spellStart"/>
      <w:r w:rsidR="00074077">
        <w:rPr>
          <w:lang w:val="en-US"/>
        </w:rPr>
        <w:t>yandex</w:t>
      </w:r>
      <w:proofErr w:type="spellEnd"/>
      <w:r w:rsidRPr="006B3F5E">
        <w:t>.</w:t>
      </w:r>
      <w:proofErr w:type="spellStart"/>
      <w:r w:rsidR="00074077">
        <w:rPr>
          <w:lang w:val="en-US"/>
        </w:rPr>
        <w:t>ru</w:t>
      </w:r>
      <w:proofErr w:type="spellEnd"/>
    </w:p>
    <w:p w:rsidR="006B3F5E" w:rsidRDefault="00D23D48" w:rsidP="006B3F5E">
      <w:pPr>
        <w:pStyle w:val="15MCPU7"/>
        <w:rPr>
          <w:szCs w:val="28"/>
        </w:rPr>
      </w:pPr>
      <w:r w:rsidRPr="00D23D48">
        <w:rPr>
          <w:szCs w:val="28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зонах увеличивается количество аварий и, следовательно, же</w:t>
      </w:r>
      <w:proofErr w:type="gramStart"/>
      <w:r w:rsidRPr="00D23D48">
        <w:rPr>
          <w:szCs w:val="28"/>
        </w:rPr>
        <w:t>ртв ср</w:t>
      </w:r>
      <w:proofErr w:type="gramEnd"/>
      <w:r w:rsidRPr="00D23D48">
        <w:rPr>
          <w:szCs w:val="28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эффективностью.</w:t>
      </w:r>
    </w:p>
    <w:p w:rsidR="00BD195D" w:rsidRPr="00BD195D" w:rsidRDefault="00BD195D" w:rsidP="00BD195D">
      <w:pPr>
        <w:pStyle w:val="15MCPU7"/>
        <w:rPr>
          <w:szCs w:val="28"/>
        </w:rPr>
      </w:pPr>
      <w:r w:rsidRPr="00BD195D">
        <w:rPr>
          <w:szCs w:val="28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D195D" w:rsidRPr="00BD195D" w:rsidRDefault="00BD195D" w:rsidP="00BD195D">
      <w:pPr>
        <w:pStyle w:val="15MCPU7"/>
        <w:rPr>
          <w:szCs w:val="28"/>
        </w:rPr>
      </w:pPr>
      <w:r w:rsidRPr="00BD195D">
        <w:rPr>
          <w:szCs w:val="28"/>
        </w:rPr>
        <w:t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из-за изменчивых погодных условий абсолютно недопустим.</w:t>
      </w:r>
    </w:p>
    <w:p w:rsidR="00D23D48" w:rsidRPr="00BD195D" w:rsidRDefault="00D23D48" w:rsidP="006B3F5E">
      <w:pPr>
        <w:pStyle w:val="15MCPU7"/>
        <w:rPr>
          <w:szCs w:val="28"/>
        </w:rPr>
      </w:pPr>
      <w:r>
        <w:rPr>
          <w:szCs w:val="28"/>
        </w:rPr>
        <w:t>К преимуществам группового подхода можно отнести:</w:t>
      </w:r>
      <w:r w:rsidRPr="00A52778">
        <w:rPr>
          <w:szCs w:val="28"/>
        </w:rPr>
        <w:t xml:space="preserve"> больший радиус действия, достигаемый за счет рассредоточени</w:t>
      </w:r>
      <w:r>
        <w:rPr>
          <w:szCs w:val="28"/>
        </w:rPr>
        <w:t xml:space="preserve">я роботов по всей рабочей зоне; </w:t>
      </w:r>
      <w:r w:rsidRPr="00A52778">
        <w:rPr>
          <w:szCs w:val="28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</w:t>
      </w:r>
    </w:p>
    <w:p w:rsidR="00BD195D" w:rsidRDefault="00D23D48" w:rsidP="00BD195D">
      <w:pPr>
        <w:pStyle w:val="15MCPU7"/>
        <w:rPr>
          <w:szCs w:val="28"/>
        </w:rPr>
      </w:pPr>
      <w:r>
        <w:rPr>
          <w:szCs w:val="28"/>
        </w:rPr>
        <w:t xml:space="preserve">Группы операций выполняемых роботами во время операции спасения можно разделить на несколько типов, исходя из полученного набора операций, можно определить, что спасательная группировка роботов должна включать следующие типы роботов: мониторов, рабочих, </w:t>
      </w:r>
      <w:proofErr w:type="spellStart"/>
      <w:r>
        <w:rPr>
          <w:szCs w:val="28"/>
        </w:rPr>
        <w:t>перегрузчиков</w:t>
      </w:r>
      <w:proofErr w:type="spellEnd"/>
      <w:r>
        <w:rPr>
          <w:szCs w:val="28"/>
        </w:rPr>
        <w:t>, транспортные роботы и робот-информатор.</w:t>
      </w:r>
      <w:r w:rsidR="00BD195D">
        <w:rPr>
          <w:szCs w:val="28"/>
        </w:rPr>
        <w:t xml:space="preserve"> </w:t>
      </w:r>
    </w:p>
    <w:p w:rsidR="00BD195D" w:rsidRDefault="00BD195D" w:rsidP="00BD195D">
      <w:pPr>
        <w:pStyle w:val="15MCPU7"/>
        <w:rPr>
          <w:szCs w:val="28"/>
        </w:rPr>
      </w:pPr>
      <w:r w:rsidRPr="00BD195D">
        <w:rPr>
          <w:szCs w:val="28"/>
        </w:rPr>
        <w:t>Роботы разведчики выполняют мониторинг на протяжении всего времени работы станции, для обеспечения информации о приближении ее к внештатной ситуации.</w:t>
      </w:r>
      <w:r>
        <w:rPr>
          <w:szCs w:val="28"/>
        </w:rPr>
        <w:t xml:space="preserve"> </w:t>
      </w:r>
      <w:r w:rsidRPr="00BD195D">
        <w:rPr>
          <w:szCs w:val="28"/>
        </w:rPr>
        <w:t xml:space="preserve">Сбор наиболее полной информации о состоянии платформы, расположении людей на них, состоянии путей и мест эвакуации, расположение других роботов и их состояние играют </w:t>
      </w:r>
      <w:r w:rsidRPr="00BD195D">
        <w:rPr>
          <w:szCs w:val="28"/>
        </w:rPr>
        <w:lastRenderedPageBreak/>
        <w:t>важнейшую роль для выбора правильной стратегии поведения во время операции спасения.</w:t>
      </w:r>
    </w:p>
    <w:p w:rsidR="00BD195D" w:rsidRDefault="00BD195D" w:rsidP="00BD195D">
      <w:pPr>
        <w:pStyle w:val="15MCPU7"/>
        <w:rPr>
          <w:szCs w:val="28"/>
        </w:rPr>
      </w:pPr>
      <w:r w:rsidRPr="00BD195D">
        <w:rPr>
          <w:szCs w:val="28"/>
        </w:rPr>
        <w:t>Роботы рабочие предназначены для проведения операций обеспечивающих  доступ роботов-</w:t>
      </w:r>
      <w:proofErr w:type="spellStart"/>
      <w:r w:rsidRPr="00BD195D">
        <w:rPr>
          <w:szCs w:val="28"/>
        </w:rPr>
        <w:t>перегрузчков</w:t>
      </w:r>
      <w:proofErr w:type="spellEnd"/>
      <w:r w:rsidRPr="00BD195D">
        <w:rPr>
          <w:szCs w:val="28"/>
        </w:rPr>
        <w:t xml:space="preserve"> к спасаемым людям</w:t>
      </w:r>
      <w:r>
        <w:rPr>
          <w:szCs w:val="28"/>
        </w:rPr>
        <w:t xml:space="preserve">, доступ людей к средствам спасения, расчистка путей для роботов разведчиков, занятых в уточнении состояния платформы. </w:t>
      </w:r>
      <w:r w:rsidRPr="006A5FB3">
        <w:rPr>
          <w:szCs w:val="28"/>
        </w:rPr>
        <w:t>Исходя из этих требований</w:t>
      </w:r>
      <w:r w:rsidR="00075D4A">
        <w:rPr>
          <w:szCs w:val="28"/>
        </w:rPr>
        <w:t>,</w:t>
      </w:r>
      <w:r w:rsidRPr="006A5FB3">
        <w:rPr>
          <w:szCs w:val="28"/>
        </w:rPr>
        <w:t xml:space="preserve"> роботы-рабочие должны представлять собой большие и тяжёлые платформы, на которые можно погрузить достаточное количество требующихся расходных материалов, механизмов и достаточный запас топлива, чтобы его хватило на всё время спасения</w:t>
      </w:r>
      <w:r>
        <w:rPr>
          <w:szCs w:val="28"/>
        </w:rPr>
        <w:t>.</w:t>
      </w:r>
    </w:p>
    <w:p w:rsidR="00BD195D" w:rsidRDefault="00BD195D" w:rsidP="00BD195D">
      <w:pPr>
        <w:pStyle w:val="15MCPU7"/>
        <w:rPr>
          <w:szCs w:val="28"/>
        </w:rPr>
      </w:pPr>
      <w:r w:rsidRPr="00BD195D">
        <w:rPr>
          <w:szCs w:val="28"/>
        </w:rPr>
        <w:t xml:space="preserve">Роботы-перегрузчики </w:t>
      </w:r>
      <w:r>
        <w:rPr>
          <w:szCs w:val="28"/>
        </w:rPr>
        <w:t>п</w:t>
      </w:r>
      <w:r w:rsidRPr="00BD195D">
        <w:rPr>
          <w:szCs w:val="28"/>
        </w:rPr>
        <w:t>рименяются для операций перегрузки людей с терпящего бедствие объекта на транспортные роботы. Могут быть разных видов:</w:t>
      </w:r>
      <w:r>
        <w:rPr>
          <w:szCs w:val="28"/>
        </w:rPr>
        <w:t xml:space="preserve"> </w:t>
      </w:r>
      <w:r w:rsidRPr="00BD195D">
        <w:rPr>
          <w:szCs w:val="28"/>
        </w:rPr>
        <w:t>робот-мост</w:t>
      </w:r>
      <w:r>
        <w:rPr>
          <w:szCs w:val="28"/>
        </w:rPr>
        <w:t>,</w:t>
      </w:r>
      <w:r w:rsidRPr="00BD195D">
        <w:rPr>
          <w:szCs w:val="28"/>
        </w:rPr>
        <w:t xml:space="preserve"> робот-подъемник</w:t>
      </w:r>
      <w:r>
        <w:rPr>
          <w:szCs w:val="28"/>
        </w:rPr>
        <w:t xml:space="preserve">, </w:t>
      </w:r>
      <w:r w:rsidRPr="00BD195D">
        <w:rPr>
          <w:szCs w:val="28"/>
        </w:rPr>
        <w:t>робот-транспортёр</w:t>
      </w:r>
      <w:r>
        <w:rPr>
          <w:szCs w:val="28"/>
        </w:rPr>
        <w:t>.</w:t>
      </w:r>
      <w:r w:rsidR="00532AB0">
        <w:rPr>
          <w:szCs w:val="28"/>
        </w:rPr>
        <w:t xml:space="preserve"> </w:t>
      </w:r>
      <w:r w:rsidR="00532AB0" w:rsidRPr="00532AB0">
        <w:rPr>
          <w:szCs w:val="28"/>
        </w:rPr>
        <w:t xml:space="preserve">В группу роботов-транспортеров объединены роботы с разной конструкцией и имеющие различное поведение, но такие роботы имеют общую задачу переместить </w:t>
      </w:r>
      <w:proofErr w:type="gramStart"/>
      <w:r w:rsidR="00532AB0" w:rsidRPr="00532AB0">
        <w:rPr>
          <w:szCs w:val="28"/>
        </w:rPr>
        <w:t>спасаемого</w:t>
      </w:r>
      <w:proofErr w:type="gramEnd"/>
      <w:r w:rsidR="00532AB0" w:rsidRPr="00532AB0">
        <w:rPr>
          <w:szCs w:val="28"/>
        </w:rPr>
        <w:t xml:space="preserve"> из зоны высокой опасности в более безопасное место.</w:t>
      </w:r>
    </w:p>
    <w:p w:rsidR="00532AB0" w:rsidRDefault="00532AB0" w:rsidP="00BD195D">
      <w:pPr>
        <w:pStyle w:val="15MCPU7"/>
        <w:rPr>
          <w:szCs w:val="28"/>
        </w:rPr>
      </w:pPr>
      <w:r w:rsidRPr="00532AB0">
        <w:rPr>
          <w:szCs w:val="28"/>
        </w:rPr>
        <w:t xml:space="preserve">Большие тяжёлые транспортные </w:t>
      </w:r>
      <w:r>
        <w:rPr>
          <w:szCs w:val="28"/>
        </w:rPr>
        <w:t>роботы</w:t>
      </w:r>
      <w:r w:rsidRPr="00532AB0">
        <w:rPr>
          <w:szCs w:val="28"/>
        </w:rPr>
        <w:t>, снабжённые 15-20 посадочными местами и системой жизнеобеспеч</w:t>
      </w:r>
      <w:r>
        <w:rPr>
          <w:szCs w:val="28"/>
        </w:rPr>
        <w:t xml:space="preserve">ения с расчётом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нахождение на борту </w:t>
      </w:r>
      <w:r w:rsidRPr="00532AB0">
        <w:rPr>
          <w:szCs w:val="28"/>
        </w:rPr>
        <w:t>людей в течение порядка трёх суток.</w:t>
      </w:r>
      <w:r>
        <w:rPr>
          <w:szCs w:val="28"/>
        </w:rPr>
        <w:t xml:space="preserve"> Обеспечение безопасности транспортного робота – одна из целей спасательной группировки, так как в случае его потери вся спасательная операция потеряет смысл.</w:t>
      </w:r>
    </w:p>
    <w:p w:rsidR="00532AB0" w:rsidRDefault="00667E78" w:rsidP="00BD195D">
      <w:pPr>
        <w:pStyle w:val="15MCPU7"/>
        <w:rPr>
          <w:szCs w:val="28"/>
        </w:rPr>
      </w:pPr>
      <w:r w:rsidRPr="00667E78">
        <w:rPr>
          <w:szCs w:val="28"/>
        </w:rPr>
        <w:t>Робот-информатор представляет собой систему из звуковых устройств (громкоговорителей и динамиков), а также информационную систему, к которой можно подключиться с помощью радиосигнала. Основной задачей такой системы является информирование эвакуирующихся о состоянии платформы и маршрутах эвакуации.</w:t>
      </w:r>
    </w:p>
    <w:p w:rsidR="00667E78" w:rsidRPr="00BD195D" w:rsidRDefault="00667E78" w:rsidP="00BD195D">
      <w:pPr>
        <w:pStyle w:val="15MCPU7"/>
        <w:rPr>
          <w:szCs w:val="28"/>
        </w:rPr>
      </w:pPr>
      <w:r>
        <w:rPr>
          <w:szCs w:val="28"/>
        </w:rPr>
        <w:t xml:space="preserve">Общий сценарий поведения группы спасательных роботов во время проведения операции спасения и эвакуации должен включать в себя взаимодействие всех роботов системы. Особую роль в таком взаимодействии играет информация, которой обмениваются роботы между собой в процессе </w:t>
      </w:r>
      <w:r w:rsidR="00075D4A">
        <w:rPr>
          <w:szCs w:val="28"/>
        </w:rPr>
        <w:t xml:space="preserve">спасательной </w:t>
      </w:r>
      <w:r>
        <w:rPr>
          <w:szCs w:val="28"/>
        </w:rPr>
        <w:t>операции. Обесп</w:t>
      </w:r>
      <w:r w:rsidR="00ED79E1">
        <w:rPr>
          <w:szCs w:val="28"/>
        </w:rPr>
        <w:t>ечить группировку наиболее полной</w:t>
      </w:r>
      <w:r>
        <w:rPr>
          <w:szCs w:val="28"/>
        </w:rPr>
        <w:t xml:space="preserve"> информационной картиной о состоянии платформы, с которой идет эвакуация, состоянии сре</w:t>
      </w:r>
      <w:proofErr w:type="gramStart"/>
      <w:r>
        <w:rPr>
          <w:szCs w:val="28"/>
        </w:rPr>
        <w:t>дств сп</w:t>
      </w:r>
      <w:proofErr w:type="gramEnd"/>
      <w:r>
        <w:rPr>
          <w:szCs w:val="28"/>
        </w:rPr>
        <w:t xml:space="preserve">асения, состоянии и местоположении людей, важнейшая задача на этапе эвакуации, которую решает вся группировка в целом.  </w:t>
      </w:r>
      <w:bookmarkStart w:id="0" w:name="_GoBack"/>
      <w:bookmarkEnd w:id="0"/>
    </w:p>
    <w:sectPr w:rsidR="00667E78" w:rsidRPr="00BD195D" w:rsidSect="00532AB0">
      <w:pgSz w:w="8395" w:h="11909" w:code="9"/>
      <w:pgMar w:top="1008" w:right="1066" w:bottom="1008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A07"/>
    <w:multiLevelType w:val="hybridMultilevel"/>
    <w:tmpl w:val="A43AD4FA"/>
    <w:lvl w:ilvl="0" w:tplc="1C369330">
      <w:start w:val="1"/>
      <w:numFmt w:val="decimal"/>
      <w:pStyle w:val="15MCPU"/>
      <w:lvlText w:val="%1."/>
      <w:lvlJc w:val="left"/>
      <w:pPr>
        <w:tabs>
          <w:tab w:val="num" w:pos="454"/>
        </w:tabs>
        <w:ind w:left="454" w:hanging="45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D7738D"/>
    <w:multiLevelType w:val="hybridMultilevel"/>
    <w:tmpl w:val="5D1C7800"/>
    <w:lvl w:ilvl="0" w:tplc="B92AF90E">
      <w:numFmt w:val="bullet"/>
      <w:pStyle w:val="15MCPU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DF4B3C"/>
    <w:multiLevelType w:val="hybridMultilevel"/>
    <w:tmpl w:val="FC12C522"/>
    <w:lvl w:ilvl="0" w:tplc="944CA2BC">
      <w:start w:val="1"/>
      <w:numFmt w:val="decimal"/>
      <w:pStyle w:val="15MCPU1"/>
      <w:lvlText w:val="%1)"/>
      <w:lvlJc w:val="left"/>
      <w:pPr>
        <w:tabs>
          <w:tab w:val="num" w:pos="454"/>
        </w:tabs>
        <w:ind w:left="454" w:hanging="45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A01194"/>
    <w:multiLevelType w:val="hybridMultilevel"/>
    <w:tmpl w:val="39CC8F04"/>
    <w:lvl w:ilvl="0" w:tplc="62F6CB2A">
      <w:start w:val="1"/>
      <w:numFmt w:val="bullet"/>
      <w:pStyle w:val="15MCPU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CB6ACA"/>
    <w:multiLevelType w:val="hybridMultilevel"/>
    <w:tmpl w:val="A71C78BE"/>
    <w:lvl w:ilvl="0" w:tplc="41060198">
      <w:start w:val="1"/>
      <w:numFmt w:val="decimal"/>
      <w:pStyle w:val="15MCPU3"/>
      <w:lvlText w:val="%1."/>
      <w:lvlJc w:val="left"/>
      <w:pPr>
        <w:tabs>
          <w:tab w:val="num" w:pos="907"/>
        </w:tabs>
        <w:ind w:left="907" w:hanging="453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BA"/>
    <w:rsid w:val="00074077"/>
    <w:rsid w:val="00075D4A"/>
    <w:rsid w:val="00191157"/>
    <w:rsid w:val="004376BA"/>
    <w:rsid w:val="00532AB0"/>
    <w:rsid w:val="00667E78"/>
    <w:rsid w:val="006B3F5E"/>
    <w:rsid w:val="00BD195D"/>
    <w:rsid w:val="00D0473C"/>
    <w:rsid w:val="00D23D48"/>
    <w:rsid w:val="00ED79E1"/>
    <w:rsid w:val="00F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5E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MCPU4">
    <w:name w:val="15_MCPU Автор"/>
    <w:basedOn w:val="a"/>
    <w:rsid w:val="006B3F5E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5">
    <w:name w:val="15_MCPU Заголовок"/>
    <w:basedOn w:val="a"/>
    <w:rsid w:val="006B3F5E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15MCPU6">
    <w:name w:val="15_MCPU Организация"/>
    <w:basedOn w:val="a"/>
    <w:rsid w:val="006B3F5E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15MCPU7">
    <w:name w:val="15_MCPU основной текст"/>
    <w:basedOn w:val="a"/>
    <w:rsid w:val="006B3F5E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15MCPU0">
    <w:name w:val="15_MCPU маркер точка"/>
    <w:basedOn w:val="a"/>
    <w:rsid w:val="006B3F5E"/>
    <w:pPr>
      <w:numPr>
        <w:numId w:val="1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2">
    <w:name w:val="15_MCPU маркер тире"/>
    <w:basedOn w:val="a"/>
    <w:rsid w:val="006B3F5E"/>
    <w:pPr>
      <w:numPr>
        <w:numId w:val="2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0">
    <w:name w:val="15_MCPU Подзаголовок 1"/>
    <w:basedOn w:val="a"/>
    <w:rsid w:val="006B3F5E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20">
    <w:name w:val="15_MCPU Позаголовок 2"/>
    <w:basedOn w:val="a"/>
    <w:rsid w:val="006B3F5E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3">
    <w:name w:val="15_MCPU маркер цифра"/>
    <w:basedOn w:val="a"/>
    <w:rsid w:val="006B3F5E"/>
    <w:pPr>
      <w:numPr>
        <w:numId w:val="3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">
    <w:name w:val="15_MCPU маркер цифра с"/>
    <w:basedOn w:val="a"/>
    <w:rsid w:val="006B3F5E"/>
    <w:pPr>
      <w:numPr>
        <w:numId w:val="4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8">
    <w:name w:val="15_MCPU рисунок"/>
    <w:basedOn w:val="a"/>
    <w:rsid w:val="006B3F5E"/>
    <w:pPr>
      <w:jc w:val="center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9">
    <w:name w:val="15_MCPU формула"/>
    <w:basedOn w:val="a"/>
    <w:rsid w:val="006B3F5E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15MCPU">
    <w:name w:val="15_MCPU литература"/>
    <w:basedOn w:val="a"/>
    <w:rsid w:val="006B3F5E"/>
    <w:pPr>
      <w:numPr>
        <w:numId w:val="5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a">
    <w:name w:val="15_MCPU текст сноски"/>
    <w:basedOn w:val="a"/>
    <w:rsid w:val="006B3F5E"/>
    <w:rPr>
      <w:rFonts w:eastAsia="Times New Roman"/>
      <w:sz w:val="16"/>
      <w:szCs w:val="20"/>
      <w:lang w:eastAsia="ru-RU"/>
    </w:rPr>
  </w:style>
  <w:style w:type="paragraph" w:customStyle="1" w:styleId="15MCPUb">
    <w:name w:val="15_MCPU Таблица"/>
    <w:basedOn w:val="a"/>
    <w:rsid w:val="006B3F5E"/>
    <w:pPr>
      <w:jc w:val="right"/>
    </w:pPr>
    <w:rPr>
      <w:rFonts w:eastAsia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3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F5E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F5E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MCPU4">
    <w:name w:val="15_MCPU Автор"/>
    <w:basedOn w:val="a"/>
    <w:rsid w:val="006B3F5E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5">
    <w:name w:val="15_MCPU Заголовок"/>
    <w:basedOn w:val="a"/>
    <w:rsid w:val="006B3F5E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15MCPU6">
    <w:name w:val="15_MCPU Организация"/>
    <w:basedOn w:val="a"/>
    <w:rsid w:val="006B3F5E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15MCPU7">
    <w:name w:val="15_MCPU основной текст"/>
    <w:basedOn w:val="a"/>
    <w:rsid w:val="006B3F5E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15MCPU0">
    <w:name w:val="15_MCPU маркер точка"/>
    <w:basedOn w:val="a"/>
    <w:rsid w:val="006B3F5E"/>
    <w:pPr>
      <w:numPr>
        <w:numId w:val="1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2">
    <w:name w:val="15_MCPU маркер тире"/>
    <w:basedOn w:val="a"/>
    <w:rsid w:val="006B3F5E"/>
    <w:pPr>
      <w:numPr>
        <w:numId w:val="2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0">
    <w:name w:val="15_MCPU Подзаголовок 1"/>
    <w:basedOn w:val="a"/>
    <w:rsid w:val="006B3F5E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20">
    <w:name w:val="15_MCPU Позаголовок 2"/>
    <w:basedOn w:val="a"/>
    <w:rsid w:val="006B3F5E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15MCPU3">
    <w:name w:val="15_MCPU маркер цифра"/>
    <w:basedOn w:val="a"/>
    <w:rsid w:val="006B3F5E"/>
    <w:pPr>
      <w:numPr>
        <w:numId w:val="3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1">
    <w:name w:val="15_MCPU маркер цифра с"/>
    <w:basedOn w:val="a"/>
    <w:rsid w:val="006B3F5E"/>
    <w:pPr>
      <w:numPr>
        <w:numId w:val="4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8">
    <w:name w:val="15_MCPU рисунок"/>
    <w:basedOn w:val="a"/>
    <w:rsid w:val="006B3F5E"/>
    <w:pPr>
      <w:jc w:val="center"/>
    </w:pPr>
    <w:rPr>
      <w:rFonts w:eastAsia="Times New Roman"/>
      <w:b/>
      <w:i/>
      <w:sz w:val="20"/>
      <w:szCs w:val="20"/>
      <w:lang w:eastAsia="ru-RU"/>
    </w:rPr>
  </w:style>
  <w:style w:type="paragraph" w:customStyle="1" w:styleId="15MCPU9">
    <w:name w:val="15_MCPU формула"/>
    <w:basedOn w:val="a"/>
    <w:rsid w:val="006B3F5E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15MCPU">
    <w:name w:val="15_MCPU литература"/>
    <w:basedOn w:val="a"/>
    <w:rsid w:val="006B3F5E"/>
    <w:pPr>
      <w:numPr>
        <w:numId w:val="5"/>
      </w:numPr>
      <w:jc w:val="both"/>
    </w:pPr>
    <w:rPr>
      <w:rFonts w:eastAsia="Times New Roman"/>
      <w:sz w:val="20"/>
      <w:szCs w:val="20"/>
      <w:lang w:eastAsia="ru-RU"/>
    </w:rPr>
  </w:style>
  <w:style w:type="paragraph" w:customStyle="1" w:styleId="15MCPUa">
    <w:name w:val="15_MCPU текст сноски"/>
    <w:basedOn w:val="a"/>
    <w:rsid w:val="006B3F5E"/>
    <w:rPr>
      <w:rFonts w:eastAsia="Times New Roman"/>
      <w:sz w:val="16"/>
      <w:szCs w:val="20"/>
      <w:lang w:eastAsia="ru-RU"/>
    </w:rPr>
  </w:style>
  <w:style w:type="paragraph" w:customStyle="1" w:styleId="15MCPUb">
    <w:name w:val="15_MCPU Таблица"/>
    <w:basedOn w:val="a"/>
    <w:rsid w:val="006B3F5E"/>
    <w:pPr>
      <w:jc w:val="right"/>
    </w:pPr>
    <w:rPr>
      <w:rFonts w:eastAsia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3F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F5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2015-05-12T16:25:00Z</dcterms:created>
  <dcterms:modified xsi:type="dcterms:W3CDTF">2015-05-17T13:02:00Z</dcterms:modified>
</cp:coreProperties>
</file>