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1.Задача (постановка математической задачи).</w:t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ind w:left="0" w:firstLine="0"/>
        <w:rPr>
          <w:sz w:val="24"/>
          <w:szCs w:val="24"/>
        </w:rPr>
      </w:pPr>
      <w:bookmarkStart w:colFirst="0" w:colLast="0" w:name="_h8ohdo2mdh3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корни системы нелинейных уравнений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 Метод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идея метода;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вычислительный алгоритм (расчетные формулы и т.п.);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свойства метода (условия применимости, устойчивость, аппроксимация, сходимость и т.п.).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1)Метод Ньютона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а)В случае одного уравнения F (x)= 0 алгоритм метода Ньютона был легко получен путем записи уравнений касательной к кривой y = F (x). В основе метода Ньютона для систем уравнений лежит использование разложения функций F1 (x1 ... xn ) в ряд Тейлора, причем члены, содержащие вторые (и более высоких порядков) производные, отбрасываются. Пусть приближенные значения неизвестных системы (4.1) равны соответственно a1,a2 ,....,an . Задача состоит в нахождении приращений (поправок) к этим значениям.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drawing>
          <wp:inline distB="0" distT="0" distL="114300" distR="114300">
            <wp:extent cx="3444240" cy="71628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в) 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  <w:drawing>
          <wp:inline distB="0" distT="0" distL="114300" distR="114300">
            <wp:extent cx="2087879" cy="41148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2) Метод простой итерации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sz w:val="48"/>
          <w:szCs w:val="4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subscript"/>
          <w:rtl w:val="0"/>
        </w:rPr>
        <w:t xml:space="preserve">а)Метод простой итерации для систем нелинейных уравнений по существу является обобщением одноименного метода для одного уравнения.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Times New Roman" w:cs="Times New Roman" w:eastAsia="Times New Roman" w:hAnsi="Times New Roman"/>
          <w:sz w:val="48"/>
          <w:szCs w:val="4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subscript"/>
          <w:rtl w:val="0"/>
        </w:rPr>
        <w:t xml:space="preserve">Хотя метод простой итерации прямо ведет к решению и легко программируется, он имеет два существенных недостатка. Один из них – медленная сходимость. Другой состоит в том, что если начальное приближение выбрано далеко от истинного решения (X1, X2 ,…, Xn ), то сходимость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  <w:sz w:val="48"/>
          <w:szCs w:val="4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Times New Roman" w:cs="Times New Roman" w:eastAsia="Times New Roman" w:hAnsi="Times New Roman"/>
          <w:sz w:val="48"/>
          <w:szCs w:val="4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subscript"/>
          <w:rtl w:val="0"/>
        </w:rPr>
        <w:t xml:space="preserve">метода не гарантированна. Ясно, что проблема выбора начального приближения, не простая даже для одного уравнения, для нелинейных систем становится весьма сложной.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  <w:drawing>
          <wp:inline distB="0" distT="0" distL="114300" distR="114300">
            <wp:extent cx="3246120" cy="42671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2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drawing>
          <wp:inline distB="0" distT="0" distL="114300" distR="114300">
            <wp:extent cx="4777740" cy="419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  <w:drawing>
          <wp:inline distB="0" distT="0" distL="114300" distR="114300">
            <wp:extent cx="4960620" cy="46481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6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drawing>
          <wp:inline distB="0" distT="0" distL="114300" distR="114300">
            <wp:extent cx="5425440" cy="214122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14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vertAlign w:val="subscript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Условие сходимости:       q&lt;1.   </w:t>
      </w:r>
    </w:p>
    <w:p w:rsidR="00000000" w:rsidDel="00000000" w:rsidP="00000000" w:rsidRDefault="00000000" w:rsidRPr="00000000" w14:paraId="00000019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drawing>
          <wp:inline distB="0" distT="0" distL="114300" distR="114300">
            <wp:extent cx="4861560" cy="43434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3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Критерий сходимости при точности ε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  <w:drawing>
          <wp:inline distB="0" distT="0" distL="114300" distR="114300">
            <wp:extent cx="1440180" cy="5257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52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6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3) Метод градиентного спуска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    а)Градиентные методы представляют собой приближенные (итерационные) методы решения задачи нелинейного программирования и позволяют решить практически любую задачу. Однако при этом определяется локальный экстремум. Поэтому целесообразно применять эти методы для решения задач выпуклого программирования, в которых каждый локальный экстремум является и глобальным. Процесс решения задачи состоит в том, что, начиная с некоторой точки х (начальной), осуществляется последовательный переход в направлении gradF(x), если определяется точка максимума, и –gradF(x) (антиградиента), если определяется точка минимума, до точки, являющейся решением задачи. При этом эта точка может оказаться как внутри области допустимых значений, так и на ее границе.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Градиентные методы можно разделить на два класса (группы). К первой группе относятся методы, в которых все исследуемые точки принадлежат допустимой области. К таким методам относятся: метод градиента, наискорейшего спуска, Франка-Вулфа и др. Ко второй группе относятся методы, в которых исследуемые точки могут и не принадлежать допустимой области. Общим из таких методов является метод штрафных функций. Все методы штрафных функций отличаются друг от друга способом определения «штрафа».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Основным понятием, используемым во всех градиентных методах, является понятие градиента функции, как направления наискорейшего возрастания функции.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36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66.66666666666667"/>
          <w:szCs w:val="66.66666666666667"/>
          <w:vertAlign w:val="subscript"/>
        </w:rPr>
        <w:drawing>
          <wp:inline distB="114300" distT="114300" distL="114300" distR="114300">
            <wp:extent cx="5657850" cy="9191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19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36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  <w:rtl w:val="0"/>
        </w:rPr>
        <w:t xml:space="preserve">в)</w:t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jc w:val="left"/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Times New Roman" w:cs="Times New Roman" w:eastAsia="Times New Roman" w:hAnsi="Times New Roman"/>
          <w:sz w:val="66"/>
          <w:szCs w:val="6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Результаты расчетов (их соответствие п. 3в)).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