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72"/>
          <w:szCs w:val="72"/>
        </w:rPr>
        <w:t xml:space="preserve">DocPilot</w:t>
      </w:r>
    </w:p>
    <w:p>
      <w:pPr>
        <w:spacing w:after="120" w:before="0"/>
        <w:jc w:val="center"/>
      </w:pPr>
      <w:r>
        <w:rPr>
          <w:rFonts w:ascii="Arial" w:cs="Arial" w:eastAsia="Arial" w:hAnsi="Arial"/>
          <w:color w:val="2E75B6"/>
          <w:sz w:val="32"/>
          <w:szCs w:val="32"/>
        </w:rPr>
        <w:t xml:space="preserve">Document &amp; Compliance Operations</w:t>
      </w:r>
    </w:p>
    <w:p>
      <w:pPr>
        <w:spacing w:after="480" w:before="0"/>
        <w:jc w:val="center"/>
      </w:pPr>
      <w:r>
        <w:rPr>
          <w:rFonts w:ascii="Arial" w:cs="Arial" w:eastAsia="Arial" w:hAnsi="Arial"/>
          <w:color w:val="595959"/>
          <w:sz w:val="28"/>
          <w:szCs w:val="28"/>
        </w:rPr>
        <w:t xml:space="preserve">Product Requirements Document v6.0</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 </w:t>
            </w:r>
            <w:r>
              <w:rPr>
                <w:rFonts w:ascii="Arial" w:cs="Arial" w:eastAsia="Arial" w:hAnsi="Arial"/>
                <w:sz w:val="20"/>
                <w:szCs w:val="20"/>
              </w:rPr>
              <w:t xml:space="preserve">o</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6: </w:t>
            </w:r>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 </w:t>
            </w:r>
            <w:r>
              <w:rPr>
                <w:rFonts w:ascii="Arial" w:cs="Arial" w:eastAsia="Arial" w:hAnsi="Arial"/>
                <w:sz w:val="20"/>
                <w:szCs w:val="20"/>
              </w:rPr>
              <w:t xml:space="preserve">a</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 </w:t>
            </w:r>
            <w:r>
              <w:rPr>
                <w:rFonts w:ascii="Arial" w:cs="Arial" w:eastAsia="Arial" w:hAnsi="Arial"/>
                <w:sz w:val="20"/>
                <w:szCs w:val="20"/>
              </w:rPr>
              <w:t xml:space="preserve">P</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 </w:t>
            </w:r>
            <w:r>
              <w:rPr>
                <w:rFonts w:ascii="Arial" w:cs="Arial" w:eastAsia="Arial" w:hAnsi="Arial"/>
                <w:sz w:val="20"/>
                <w:szCs w:val="20"/>
              </w:rPr>
              <w:t xml:space="preserve">a</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 </w:t>
            </w:r>
            <w:r>
              <w:rPr>
                <w:rFonts w:ascii="Arial" w:cs="Arial" w:eastAsia="Arial" w:hAnsi="Arial"/>
                <w:sz w:val="20"/>
                <w:szCs w:val="20"/>
              </w:rPr>
              <w:t xml:space="preserve">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 </w:t>
            </w:r>
            <w:r>
              <w:rPr>
                <w:rFonts w:ascii="Arial" w:cs="Arial" w:eastAsia="Arial" w:hAnsi="Arial"/>
                <w:sz w:val="20"/>
                <w:szCs w:val="20"/>
              </w:rPr>
              <w:t xml:space="preserve">t</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 </w:t>
            </w:r>
            <w:r>
              <w:rPr>
                <w:rFonts w:ascii="Arial" w:cs="Arial" w:eastAsia="Arial" w:hAnsi="Arial"/>
                <w:sz w:val="20"/>
                <w:szCs w:val="20"/>
              </w:rPr>
              <w:t xml:space="preserv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 </w:t>
            </w:r>
            <w:r>
              <w:rPr>
                <w:rFonts w:ascii="Arial" w:cs="Arial" w:eastAsia="Arial" w:hAnsi="Arial"/>
                <w:sz w:val="20"/>
                <w:szCs w:val="20"/>
              </w:rPr>
              <w:t xml:space="preserve">r</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 </w:t>
            </w:r>
            <w:r>
              <w:rPr>
                <w:rFonts w:ascii="Arial" w:cs="Arial" w:eastAsia="Arial" w:hAnsi="Arial"/>
                <w:sz w:val="20"/>
                <w:szCs w:val="20"/>
              </w:rPr>
              <w:t xml:space="preserv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 </w:t>
            </w:r>
            <w:r>
              <w:rPr>
                <w:rFonts w:ascii="Arial" w:cs="Arial" w:eastAsia="Arial" w:hAnsi="Arial"/>
                <w:sz w:val="20"/>
                <w:szCs w:val="20"/>
              </w:rPr>
              <w:t xml:space="preserve">l</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 </w:t>
            </w:r>
            <w:r>
              <w:rPr>
                <w:rFonts w:ascii="Arial" w:cs="Arial" w:eastAsia="Arial" w:hAnsi="Arial"/>
                <w:sz w:val="20"/>
                <w:szCs w:val="20"/>
              </w:rPr>
              <w:t xml:space="preserve">p</w:t>
            </w:r>
          </w:p>
        </w:tc>
      </w:tr>
    </w:tbl>
    <w:p>
      <w:pPr>
        <w:spacing w:after="120" w:before="480"/>
        <w:jc w:val="center"/>
      </w:pPr>
      <w:r>
        <w:rPr>
          <w:rFonts w:ascii="Arial" w:cs="Arial" w:eastAsia="Arial" w:hAnsi="Arial"/>
          <w:b/>
          <w:bCs/>
          <w:color w:val="1F4E79"/>
          <w:sz w:val="24"/>
          <w:szCs w:val="24"/>
        </w:rPr>
        <w:t xml:space="preserve">SCOPE OF THIS DOCUMENT</w:t>
      </w:r>
    </w:p>
    <w:p>
      <w:pPr>
        <w:spacing w:after="1440" w:before="0"/>
        <w:jc w:val="center"/>
      </w:pPr>
      <w:r>
        <w:rPr>
          <w:rFonts w:ascii="Arial" w:cs="Arial" w:eastAsia="Arial" w:hAnsi="Arial"/>
          <w:color w:val="595959"/>
          <w:sz w:val="22"/>
          <w:szCs w:val="22"/>
        </w:rPr>
        <w:t xml:space="preserve">This document covers ONLY the new features being added to the existing GPMS system.
All 22 sections and 72 requirements from PRD v5.0 remain in force and are not repeated here.</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 Product Overview &amp; Rebranding</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1.1 Product Rename</w:t>
      </w:r>
    </w:p>
    <w:p>
      <w:pPr>
        <w:spacing w:after="60" w:before="60"/>
      </w:pPr>
      <w:r>
        <w:rPr>
          <w:rFonts w:ascii="Arial" w:cs="Arial" w:eastAsia="Arial" w:hAnsi="Arial"/>
          <w:sz w:val="22"/>
          <w:szCs w:val="22"/>
        </w:rPr>
        <w:t xml:space="preserve">The system is renamed from GPMS (Gate Pass Management System) to DocPilot — Document &amp; Compliance Operations. This name reflects the expanded scope beyond gate passes to cover vehicles, employees, company documents, and heavy machinery.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Previous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GPMS — Gate Pass Management System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New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DocPilot — Document &amp; Compliance Operations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Tagline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platform to track, alert, and manage every expiring document.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Code Identifiers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Unchanged — all variable names, table names, file paths remain as GPMS to avoid breaking changes.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Visible Strings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UI labels, email subjects, Swagger title, browser tab title updated to DocPilot.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github.com/helobhatti-code/GPMS (repo name unchanged for deployment continuity)</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1.2 Expanded Module Set</w:t>
      </w:r>
    </w:p>
    <w:p>
      <w:pPr>
        <w:spacing w:after="60" w:before="60"/>
      </w:pPr>
      <w:r>
        <w:rPr>
          <w:rFonts w:ascii="Arial" w:cs="Arial" w:eastAsia="Arial" w:hAnsi="Arial"/>
          <w:sz w:val="22"/>
          <w:szCs w:val="22"/>
        </w:rPr>
        <w:t xml:space="preserve">DocPilot v6 adds the following modules to the existing 7-module GPMS core: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New Module</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Group / Company Hierarchy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Multi-company support under one tenant group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Vehicles (Cars)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and company car fleet with document expiry tracking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Heavy Machinery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module for cranes, forklifts, excavators, and other equipment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Employees (Existing)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employee visa, Emirates ID, labor card, passport tracking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Company Documents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 license, establishment card, classification, civil defense, POA, office tenancy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Unified Expiry 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Cross-module view of all expiring items with KPI cards and charts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Alarm Thresholds Config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Admin-configurable alarm bands per document type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Reports Extension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new xlsx-exportable reports across all new modules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Phase 2 — New Employees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Onboarding workflow state machine (deferred — not in Phase 1)</w:t>
            </w:r>
          </w:p>
        </w:tc>
      </w:tr>
    </w:tbl>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2. Group / Company Hierarchy</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2.1 Data Model</w:t>
      </w:r>
    </w:p>
    <w:p>
      <w:pPr>
        <w:spacing w:after="60" w:before="60"/>
      </w:pPr>
      <w:r>
        <w:rPr>
          <w:rFonts w:ascii="Arial" w:cs="Arial" w:eastAsia="Arial" w:hAnsi="Arial"/>
          <w:sz w:val="22"/>
          <w:szCs w:val="22"/>
        </w:rPr>
        <w:t xml:space="preserve">A Tenant (Group) contains one or more Companies (subsidiaries or branches). All business data — vehicles, employees, gate passes, documents — belongs to a specific Company within the group.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Tenant (Group)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Top-level account. Represents a corporate group e.g. UpTown Group.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Company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subsidiary or branch within the group e.g. Arts Island Contracting, UpTown Technical Services.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User 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user is either group-wide (sees all companies) or scoped to specific companies via UserCompanyAccess.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Data Scoping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business record has a companyId. RLS enforces company-level isolation on top of existing tenant isolation.</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2.2 Functional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560"/>
        <w:gridCol w:w="12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REQ #</w:t>
            </w:r>
          </w:p>
        </w:tc>
        <w:tc>
          <w:tcPr>
            <w:tcW w:type="dxa" w:w="4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Acceptance Criteria</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FR-C01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System shall support multiple Companies under one Tenant group.</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Multiple companies creatable via admin UI. Each has a unique code per tenant.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FR-C02</w:t>
            </w:r>
          </w:p>
        </w:tc>
        <w:tc>
          <w:tcPr>
            <w:tcW w:type="dxa" w:w="4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Each user shall have configurable company access: all companies or specific companies only.</w:t>
            </w:r>
          </w:p>
        </w:tc>
        <w:tc>
          <w:tcPr>
            <w:tcW w:type="dxa" w:w="3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canAccessAllCompanies flag + UserCompanyAccess rows enforce per-user scoping.</w:t>
            </w:r>
          </w:p>
        </w:tc>
        <w:tc>
          <w:tcPr>
            <w:tcW w:type="dxa" w:w="12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FR-C03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Users with access to multiple companies shall be able to switch company context via x-company-id header.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Switching company context filters all data to that company.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FR-C04</w:t>
            </w:r>
          </w:p>
        </w:tc>
        <w:tc>
          <w:tcPr>
            <w:tcW w:type="dxa" w:w="4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All new modules (Vehicles, Employees, Documents, Machinery) shall be scoped to Company.</w:t>
            </w:r>
          </w:p>
        </w:tc>
        <w:tc>
          <w:tcPr>
            <w:tcW w:type="dxa" w:w="3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Direct database queries with wrong company_id return 0 rows.</w:t>
            </w:r>
          </w:p>
        </w:tc>
        <w:tc>
          <w:tcPr>
            <w:tcW w:type="dxa" w:w="12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FR-C05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Postgres RLS shall enforce company-level isolation in addition to existing tenant isolation.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Raw SQL with app.company_id set to company A cannot read company B data.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FR-C06</w:t>
            </w:r>
          </w:p>
        </w:tc>
        <w:tc>
          <w:tcPr>
            <w:tcW w:type="dxa" w:w="4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Admin shall be able to create, edit, deactivate Companies from the settings UI.</w:t>
            </w:r>
          </w:p>
        </w:tc>
        <w:tc>
          <w:tcPr>
            <w:tcW w:type="dxa" w:w="3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Company management page functional with CRUD operations.</w:t>
            </w:r>
          </w:p>
        </w:tc>
        <w:tc>
          <w:tcPr>
            <w:tcW w:type="dxa" w:w="12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FR-C07</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 company switcher shall appear in the top navigation for users with multi-company access.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Dropdown lists accessible companies; selection sets context for all subsequent operations.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bl>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3. Vehicles Module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3.1 Overview</w:t>
      </w:r>
    </w:p>
    <w:p>
      <w:pPr>
        <w:spacing w:after="60" w:before="60"/>
      </w:pPr>
      <w:r>
        <w:rPr>
          <w:rFonts w:ascii="Arial" w:cs="Arial" w:eastAsia="Arial" w:hAnsi="Arial"/>
          <w:sz w:val="22"/>
          <w:szCs w:val="22"/>
        </w:rPr>
        <w:t xml:space="preserve">Tracks all vehicles belonging to Companies in the group. Two sub-types: Private Cars (personally owned by employees/drivers) and Company Cars (owned by the company). Both share the same schema and UI — differentiated by the vehicleType field.</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3.2 Document Types Tracked Per Vehicle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Document</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Fields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Car License (Mulkiya)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License number, expiry date, attachment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Insurance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(Comprehensive / Third Party), policy number, expiry date, attachment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Residential Mawaqif Permit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flag, expiry date (if active)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Normal Mawaqif Permit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flag, expiry date (if active)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Form / Misc Attachment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file attachment for any supporting form</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3.3 Functional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560"/>
        <w:gridCol w:w="12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REQ #</w:t>
            </w:r>
          </w:p>
        </w:tc>
        <w:tc>
          <w:tcPr>
            <w:tcW w:type="dxa" w:w="4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Acceptance Criteria</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FR-V01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System shall track Private Cars and Company Cars under a unified Vehicles module.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Tab strip on list page filters by vehicleType. Both types share the same CRUD API.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FR-V02</w:t>
            </w:r>
          </w:p>
        </w:tc>
        <w:tc>
          <w:tcPr>
            <w:tcW w:type="dxa" w:w="4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Each vehicle shall have car license, insurance, residential Mawaqif, and normal Mawaqif document tracking.</w:t>
            </w:r>
          </w:p>
        </w:tc>
        <w:tc>
          <w:tcPr>
            <w:tcW w:type="dxa" w:w="3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All document fields present on vehicle form. Each has expiry date + attachment upload.</w:t>
            </w:r>
          </w:p>
        </w:tc>
        <w:tc>
          <w:tcPr>
            <w:tcW w:type="dxa" w:w="12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FR-V03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Expiry bands shall be computed per document: expired / 7d / 14d / 30d / valid.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API response includes carLicenseExpiryBand, insuranceExpiryBand, mawaqifExpiryBands, worstExpiryBand.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FR-V04</w:t>
            </w:r>
          </w:p>
        </w:tc>
        <w:tc>
          <w:tcPr>
            <w:tcW w:type="dxa" w:w="4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Expiry date cells in the list table shall be colour-coded by band.</w:t>
            </w:r>
          </w:p>
        </w:tc>
        <w:tc>
          <w:tcPr>
            <w:tcW w:type="dxa" w:w="3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Red = expired/7d, Orange = 14d, Yellow = 30d, Green = valid. Label 'Alarm in X Days' shown.</w:t>
            </w:r>
          </w:p>
        </w:tc>
        <w:tc>
          <w:tcPr>
            <w:tcW w:type="dxa" w:w="12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FR-V05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System shall support bulk import of vehicles via xlsx template.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Template downloadable. Preview endpoint validates without writing. Import commits valid rows. Duplicate plate numbers flagged.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FR-V06</w:t>
            </w:r>
          </w:p>
        </w:tc>
        <w:tc>
          <w:tcPr>
            <w:tcW w:type="dxa" w:w="4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Each document field shall support a file attachment (JPEG or PDF, max 2MB).</w:t>
            </w:r>
          </w:p>
        </w:tc>
        <w:tc>
          <w:tcPr>
            <w:tcW w:type="dxa" w:w="3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Attachment upload returns uploadId. Stored at uploads/vehicle/{id}/{kind}/. Existing compression applies.</w:t>
            </w:r>
          </w:p>
        </w:tc>
        <w:tc>
          <w:tcPr>
            <w:tcW w:type="dxa" w:w="12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FR-V07</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Vehicles shall be scoped to Company — users only see vehicles belonging to their accessible companies.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RLS + middleware enforce company scoping.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bl>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4. Heavy Machinery Module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4.1 Overview</w:t>
      </w:r>
    </w:p>
    <w:p>
      <w:pPr>
        <w:spacing w:after="60" w:before="60"/>
      </w:pPr>
      <w:r>
        <w:rPr>
          <w:rFonts w:ascii="Arial" w:cs="Arial" w:eastAsia="Arial" w:hAnsi="Arial"/>
          <w:sz w:val="22"/>
          <w:szCs w:val="22"/>
        </w:rPr>
        <w:t xml:space="preserve">Tracks all heavy equipment — cranes, forklifts, excavators, boom lifts, scissor lifts, generators, and other machinery — with full UAE compliance certificate tracking. This is a separate module from Vehicles with its own schema, routes, and UI.</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4.2 Document Types Tracked Per Machine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Certificate</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Fields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Operator License (TPL)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License number, expiry date, attachment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Inspection Certificate (TPI)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Certificate number, expiry date, attachment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RTA Registration / Mulkiya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Registration number, expiry date, attachment (road-registered units only)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Lifting Test Certificate (LOLER)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Certificate number, expiry date, attachment (cranes and lifting equipment)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Insurance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expiry date, attachment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Civil Defense Certificate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Expiry date, attachment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Photo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photo attachment of the machine</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4.3 Machine Status</w:t>
      </w:r>
    </w:p>
    <w:p>
      <w:pPr>
        <w:spacing w:after="60" w:before="60"/>
      </w:pPr>
      <w:r>
        <w:rPr>
          <w:rFonts w:ascii="Arial" w:cs="Arial" w:eastAsia="Arial" w:hAnsi="Arial"/>
          <w:sz w:val="22"/>
          <w:szCs w:val="22"/>
        </w:rPr>
        <w:t xml:space="preserve">Each machine has an operational status: Active / Idle / Under Maintenance / Out of Service. This status is independent of document expiry status.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4.4 Functional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560"/>
        <w:gridCol w:w="12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REQ #</w:t>
            </w:r>
          </w:p>
        </w:tc>
        <w:tc>
          <w:tcPr>
            <w:tcW w:type="dxa" w:w="4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Acceptance Criteria</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FR-M01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System shall track Heavy Machinery as a separate module from Vehicles.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Separate routes /heavy-machinery, separate Prisma model, separate UI page.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FR-M02</w:t>
            </w:r>
          </w:p>
        </w:tc>
        <w:tc>
          <w:tcPr>
            <w:tcW w:type="dxa" w:w="4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Each machine shall have all 6 certificate types tracked with expiry dates and attachments.</w:t>
            </w:r>
          </w:p>
        </w:tc>
        <w:tc>
          <w:tcPr>
            <w:tcW w:type="dxa" w:w="3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All certificate fields present on form. Each nullable — not all machines have all certs.</w:t>
            </w:r>
          </w:p>
        </w:tc>
        <w:tc>
          <w:tcPr>
            <w:tcW w:type="dxa" w:w="12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FR-M03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Machine operational status (Active/Idle/Maintenance/Out of Service) shall be independently trackable.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Status field on form. List page filterable by status.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FR-M04</w:t>
            </w:r>
          </w:p>
        </w:tc>
        <w:tc>
          <w:tcPr>
            <w:tcW w:type="dxa" w:w="4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Expiry bands computed across all 6 certificate types; worstExpiryBand returned.</w:t>
            </w:r>
          </w:p>
        </w:tc>
        <w:tc>
          <w:tcPr>
            <w:tcW w:type="dxa" w:w="3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API response includes individual bands + worstExpiryBand.</w:t>
            </w:r>
          </w:p>
        </w:tc>
        <w:tc>
          <w:tcPr>
            <w:tcW w:type="dxa" w:w="12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FR-M05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Bulk import supported via xlsx template.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Same pattern as Vehicles bulk import.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FR-M06</w:t>
            </w:r>
          </w:p>
        </w:tc>
        <w:tc>
          <w:tcPr>
            <w:tcW w:type="dxa" w:w="4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Machinery scoped to Company.</w:t>
            </w:r>
          </w:p>
        </w:tc>
        <w:tc>
          <w:tcPr>
            <w:tcW w:type="dxa" w:w="3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RLS enforced same as Vehicles.</w:t>
            </w:r>
          </w:p>
        </w:tc>
        <w:tc>
          <w:tcPr>
            <w:tcW w:type="dxa" w:w="12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Must Have</w:t>
            </w:r>
          </w:p>
        </w:tc>
      </w:tr>
    </w:tbl>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5. Employees Module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5.1 Overview — Phase 1: Existing Employees</w:t>
      </w:r>
    </w:p>
    <w:p>
      <w:pPr>
        <w:spacing w:after="60" w:before="60"/>
      </w:pPr>
      <w:r>
        <w:rPr>
          <w:rFonts w:ascii="Arial" w:cs="Arial" w:eastAsia="Arial" w:hAnsi="Arial"/>
          <w:sz w:val="22"/>
          <w:szCs w:val="22"/>
        </w:rPr>
        <w:t xml:space="preserve">Tracks people directly employed by a Company in the group. Manages the key UAE compliance documents: Emirates ID, Visa, Labor Card, and Passport with expiry alarms. This is separate from the existing Staff module (which covers subcontractor workers linked to gate passes).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Employees Module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company employees — visa, EID, labor card, passport tracking. Phase 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Staff Module (existing)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Subcontractor workers linked to gate passes. Unchanged.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New Employees (Phase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Onboarding workflow state machine for new hires on visit visa. Deferred.</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5.2 Document Types Tracked Per Employee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Document</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Fields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Emirates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number (784-XXXX-XXXXXXX-X format), expiry date, attachment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Visa / Residency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Visa number, expiry date, attachment — PRIMARY alarm document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Labor Card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 number, expiry date, attachment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Passport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Passport number, expiry date, attachment</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5.3 Functional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560"/>
        <w:gridCol w:w="12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REQ #</w:t>
            </w:r>
          </w:p>
        </w:tc>
        <w:tc>
          <w:tcPr>
            <w:tcW w:type="dxa" w:w="4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Acceptance Criteria</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FR-E01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System shall track existing (already-employed) employees with their UAE compliance documents.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Employee CRUD functional. All 4 document types trackable.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FR-E02</w:t>
            </w:r>
          </w:p>
        </w:tc>
        <w:tc>
          <w:tcPr>
            <w:tcW w:type="dxa" w:w="4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Visa expiry alarm shall fire 30 days before expiry (one month earlier as per client requirement).</w:t>
            </w:r>
          </w:p>
        </w:tc>
        <w:tc>
          <w:tcPr>
            <w:tcW w:type="dxa" w:w="3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Employee with visa expiring in 25 days shows visaExpiryBand = '30d'. Notification generated.</w:t>
            </w:r>
          </w:p>
        </w:tc>
        <w:tc>
          <w:tcPr>
            <w:tcW w:type="dxa" w:w="12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FR-E03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All 4 document types shall have independent expiry bands; worstExpiryBand computed across all.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worstExpiryBand on response reflects most urgent band across EID, visa, labor card, passport.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FR-E04</w:t>
            </w:r>
          </w:p>
        </w:tc>
        <w:tc>
          <w:tcPr>
            <w:tcW w:type="dxa" w:w="4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A 'New Employees' tab shall be visible on the employees page but show 'Coming Soon' in Phase 1.</w:t>
            </w:r>
          </w:p>
        </w:tc>
        <w:tc>
          <w:tcPr>
            <w:tcW w:type="dxa" w:w="3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Tab visible but disabled. No route. Phase 2 will activate it.</w:t>
            </w:r>
          </w:p>
        </w:tc>
        <w:tc>
          <w:tcPr>
            <w:tcW w:type="dxa" w:w="12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FR-E05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Bulk import of employees via xlsx template.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Template, preview, import endpoints functional. Duplicate Emirates ID numbers rejected.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FR-E06</w:t>
            </w:r>
          </w:p>
        </w:tc>
        <w:tc>
          <w:tcPr>
            <w:tcW w:type="dxa" w:w="4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Each document type shall support file attachment upload.</w:t>
            </w:r>
          </w:p>
        </w:tc>
        <w:tc>
          <w:tcPr>
            <w:tcW w:type="dxa" w:w="3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Attachment upload per document kind. Stored at uploads/employee/{id}/{kind}/.</w:t>
            </w:r>
          </w:p>
        </w:tc>
        <w:tc>
          <w:tcPr>
            <w:tcW w:type="dxa" w:w="12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FR-E07</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Employees scoped to Company.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RLS enforced.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bl>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6. Company Documents Module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6.1 Overview</w:t>
      </w:r>
    </w:p>
    <w:p>
      <w:pPr>
        <w:spacing w:after="60" w:before="60"/>
      </w:pPr>
      <w:r>
        <w:rPr>
          <w:rFonts w:ascii="Arial" w:cs="Arial" w:eastAsia="Arial" w:hAnsi="Arial"/>
          <w:sz w:val="22"/>
          <w:szCs w:val="22"/>
        </w:rPr>
        <w:t xml:space="preserve">Tracks all corporate compliance documents for each Company. Six document types are supported. Each document type has different metadata fields, managed via a discriminated JSON metadata column.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6.2 Document Types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Key Fields / Notes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Trade License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License number, activities list, issuing authority, expiry date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Establishment Card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 number, issuing authority, expiry date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Classification level, grade, status, expiry date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Civil Defense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Expiry date + Hassantuk sub-certificate (separate number + expiry — TWO alarm entries)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Power of Attorney (POA)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Attorney type (Limited / Unlimited), parties list [{name, role}], expiry date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Office Tenancy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Landlord name, contract number, premises address, expiry date</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6.3 Functional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560"/>
        <w:gridCol w:w="12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REQ #</w:t>
            </w:r>
          </w:p>
        </w:tc>
        <w:tc>
          <w:tcPr>
            <w:tcW w:type="dxa" w:w="4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Acceptance Criteria</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FR-D01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System shall support all 6 company document types via a unified module.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All 6 types createable via API and UI. Tab strip on list page filters by type.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FR-D02</w:t>
            </w:r>
          </w:p>
        </w:tc>
        <w:tc>
          <w:tcPr>
            <w:tcW w:type="dxa" w:w="4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Each document type shall have type-specific metadata fields validated server-side.</w:t>
            </w:r>
          </w:p>
        </w:tc>
        <w:tc>
          <w:tcPr>
            <w:tcW w:type="dxa" w:w="3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POA without parties array rejected with 400. Civil Defense without Hassantuk cert number rejected.</w:t>
            </w:r>
          </w:p>
        </w:tc>
        <w:tc>
          <w:tcPr>
            <w:tcW w:type="dxa" w:w="12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FR-D03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Power of Attorney shall support multiple parties with name and role.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parties is an array on POA metadata. Min 1 party required.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FR-D04</w:t>
            </w:r>
          </w:p>
        </w:tc>
        <w:tc>
          <w:tcPr>
            <w:tcW w:type="dxa" w:w="4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Civil Defense documents shall track the Hassantuk sub-certificate as a SEPARATE expiry entry.</w:t>
            </w:r>
          </w:p>
        </w:tc>
        <w:tc>
          <w:tcPr>
            <w:tcW w:type="dxa" w:w="3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Hassantuk expiry date surfaced independently in Expiry Dashboard with doc_kind = 'HASSANTUK'.</w:t>
            </w:r>
          </w:p>
        </w:tc>
        <w:tc>
          <w:tcPr>
            <w:tcW w:type="dxa" w:w="12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FR-D05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Document renewal shall create a new linked document and mark the old one as Under Renewal.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POST /company-documents/:id/renew creates a new doc with previousDocId set.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FR-D06</w:t>
            </w:r>
          </w:p>
        </w:tc>
        <w:tc>
          <w:tcPr>
            <w:tcW w:type="dxa" w:w="4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Status chips: Valid (green) / Expiring Soon (yellow) / Expired (red) / Under Renewal (blue).</w:t>
            </w:r>
          </w:p>
        </w:tc>
        <w:tc>
          <w:tcPr>
            <w:tcW w:type="dxa" w:w="3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Status derived from expiry band + renewal state. Displayed as colour chips in the table.</w:t>
            </w:r>
          </w:p>
        </w:tc>
        <w:tc>
          <w:tcPr>
            <w:tcW w:type="dxa" w:w="12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FR-D07</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Company Documents scoped to Company.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RLS enforced.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bl>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7. Unified Expiry Dashboard</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7.1 Overview</w:t>
      </w:r>
    </w:p>
    <w:p>
      <w:pPr>
        <w:spacing w:after="60" w:before="60"/>
      </w:pPr>
      <w:r>
        <w:rPr>
          <w:rFonts w:ascii="Arial" w:cs="Arial" w:eastAsia="Arial" w:hAnsi="Arial"/>
          <w:sz w:val="22"/>
          <w:szCs w:val="22"/>
        </w:rPr>
        <w:t xml:space="preserve">A single page aggregating expiry data from all 5 modules (Gate Passes, Vehicles, Heavy Machinery, Employees, Company Documents) into one unified view. The page provides KPI cards, a chart, and a filterable table with deep links to each item.</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7.2 Architecture</w:t>
      </w:r>
    </w:p>
    <w:p>
      <w:pPr>
        <w:spacing w:after="60" w:before="60"/>
      </w:pPr>
      <w:r>
        <w:rPr>
          <w:rFonts w:ascii="Arial" w:cs="Arial" w:eastAsia="Arial" w:hAnsi="Arial"/>
          <w:sz w:val="22"/>
          <w:szCs w:val="22"/>
        </w:rPr>
        <w:t xml:space="preserve">Implemented as a Postgres VIEW (expiry_items_v) that UNION ALLs from all 5 source tables, normalising each expiry date into a common shape: source, source_id, tenant_id, company_id, doc_kind, display_name, expiry_date, days_until_expiry. Alarm bands are computed in the API layer using per-tenant configurable thresholds.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7.3 Notification Deduplication</w:t>
      </w:r>
    </w:p>
    <w:p>
      <w:pPr>
        <w:spacing w:after="60" w:before="60"/>
      </w:pPr>
      <w:r>
        <w:rPr>
          <w:rFonts w:ascii="Arial" w:cs="Arial" w:eastAsia="Arial" w:hAnsi="Arial"/>
          <w:sz w:val="22"/>
          <w:szCs w:val="22"/>
        </w:rPr>
        <w:t xml:space="preserve">The existing expiry-sweep cron job (daily at 1 AM) is extended to sweep all modules. A deduplication table (ExpiryNotificationLog) ensures exactly one notification per item per band per day — no repeat spam.</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7.4 Functional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560"/>
        <w:gridCol w:w="12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REQ #</w:t>
            </w:r>
          </w:p>
        </w:tc>
        <w:tc>
          <w:tcPr>
            <w:tcW w:type="dxa" w:w="4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Acceptance Criteria</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FR-X01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Expiry Dashboard shall show expiry items from all 5 modules in one unified table.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Items from gate_pass, vehicle, machinery, employee, company_document all visible in one table.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FR-X02</w:t>
            </w:r>
          </w:p>
        </w:tc>
        <w:tc>
          <w:tcPr>
            <w:tcW w:type="dxa" w:w="4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Page shall have 4 KPI cards: Expired / 7 Days / 14 Days / 30 Days with counts.</w:t>
            </w:r>
          </w:p>
        </w:tc>
        <w:tc>
          <w:tcPr>
            <w:tcW w:type="dxa" w:w="3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Counts match actual rows in expiry_items_v for each band.</w:t>
            </w:r>
          </w:p>
        </w:tc>
        <w:tc>
          <w:tcPr>
            <w:tcW w:type="dxa" w:w="12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FR-X03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Page shall have a stacked bar chart showing expiries by module and by band.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Recharts BarChart with one colour per source module, bands on Y axis.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FR-X04</w:t>
            </w:r>
          </w:p>
        </w:tc>
        <w:tc>
          <w:tcPr>
            <w:tcW w:type="dxa" w:w="4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Table shall be filterable by source module and by band.</w:t>
            </w:r>
          </w:p>
        </w:tc>
        <w:tc>
          <w:tcPr>
            <w:tcW w:type="dxa" w:w="3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Filter chips for each source and each band. Applying filter immediately updates table.</w:t>
            </w:r>
          </w:p>
        </w:tc>
        <w:tc>
          <w:tcPr>
            <w:tcW w:type="dxa" w:w="12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FR-X05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Each table row shall have an Action button deep-linking to that item's edit page.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Clicking Action on a vehicle row navigates to /vehicles/:id/edit. Same for all sources.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FR-X06</w:t>
            </w:r>
          </w:p>
        </w:tc>
        <w:tc>
          <w:tcPr>
            <w:tcW w:type="dxa" w:w="4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Existing dashboard shall show an 'Expiring This Week' widget with top 5 most urgent items.</w:t>
            </w:r>
          </w:p>
        </w:tc>
        <w:tc>
          <w:tcPr>
            <w:tcW w:type="dxa" w:w="3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Widget appears on /dashboard. 'View All' links to /expiry-dashboard.</w:t>
            </w:r>
          </w:p>
        </w:tc>
        <w:tc>
          <w:tcPr>
            <w:tcW w:type="dxa" w:w="12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FR-X07</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Top navigation shall show a badge on the Expiry Dashboard link with expired + 7d count.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Badge count refreshes every 5 minutes.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FR-X08</w:t>
            </w:r>
          </w:p>
        </w:tc>
        <w:tc>
          <w:tcPr>
            <w:tcW w:type="dxa" w:w="4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Extended expiry sweep cron shall send exactly one notification per item per band per day.</w:t>
            </w:r>
          </w:p>
        </w:tc>
        <w:tc>
          <w:tcPr>
            <w:tcW w:type="dxa" w:w="3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ExpiryNotificationLog deduplicated by (tenantId, source, sourceId, docKind, band, date).</w:t>
            </w:r>
          </w:p>
        </w:tc>
        <w:tc>
          <w:tcPr>
            <w:tcW w:type="dxa" w:w="12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FR-X09</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Civil Defense Hassantuk sub-expiry shall appear as a SEPARATE row with doc_kind = 'HASSANTUK'.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Hassantuk entry independent of the parent Civil Defense document entry.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bl>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8. Alarm Threshold Configuration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8.1 Overview</w:t>
      </w:r>
    </w:p>
    <w:p>
      <w:pPr>
        <w:spacing w:after="60" w:before="60"/>
      </w:pPr>
      <w:r>
        <w:rPr>
          <w:rFonts w:ascii="Arial" w:cs="Arial" w:eastAsia="Arial" w:hAnsi="Arial"/>
          <w:sz w:val="22"/>
          <w:szCs w:val="22"/>
        </w:rPr>
        <w:t xml:space="preserve">Administrators can configure the alarm band thresholds per document kind. Defaults are 30 / 14 / 7 days before expiry. Custom thresholds override defaults for the specific document kind within the tenant.</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8.2 Default Thresholds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Band</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Default (Days Before Expiry)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Band 1 (Yellow — Early Warning)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days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Band 2 (Orange — Urgent)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 days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Band 3 (Red — Critical)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days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Expired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or negative days</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8.3 Functional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560"/>
        <w:gridCol w:w="12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REQ #</w:t>
            </w:r>
          </w:p>
        </w:tc>
        <w:tc>
          <w:tcPr>
            <w:tcW w:type="dxa" w:w="4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Acceptance Criteria</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FR-T01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Admin shall be able to override Band 1 / 2 / 3 thresholds per document kind.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PUT /tenants/me/alarm-thresholds/:docKind accepts {band1Days, band2Days, band3Days}.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FR-T02</w:t>
            </w:r>
          </w:p>
        </w:tc>
        <w:tc>
          <w:tcPr>
            <w:tcW w:type="dxa" w:w="4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Threshold values must be strictly descending: Band 1 &gt; Band 2 &gt; Band 3 &gt; 0.</w:t>
            </w:r>
          </w:p>
        </w:tc>
        <w:tc>
          <w:tcPr>
            <w:tcW w:type="dxa" w:w="3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Invalid configs rejected with 400. Error shown inline on the admin form.</w:t>
            </w:r>
          </w:p>
        </w:tc>
        <w:tc>
          <w:tcPr>
            <w:tcW w:type="dxa" w:w="12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FR-T03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Admin shall be able to reset a document kind to default thresholds.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DELETE /tenants/me/alarm-thresholds/:docKind reverts to 30/14/7.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FR-T04</w:t>
            </w:r>
          </w:p>
        </w:tc>
        <w:tc>
          <w:tcPr>
            <w:tcW w:type="dxa" w:w="4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Expiry dashboard and notifications shall immediately reflect custom thresholds.</w:t>
            </w:r>
          </w:p>
        </w:tc>
        <w:tc>
          <w:tcPr>
            <w:tcW w:type="dxa" w:w="3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After saving a new threshold, the next page load and next cron run use the new values.</w:t>
            </w:r>
          </w:p>
        </w:tc>
        <w:tc>
          <w:tcPr>
            <w:tcW w:type="dxa" w:w="12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FR-T05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Threshold config UI shall show all document kinds with current values and a Custom/Default badge.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Admin page lists all docKinds. Custom badge when overridden. Reset button per row.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Should Have</w:t>
            </w:r>
          </w:p>
        </w:tc>
      </w:tr>
    </w:tbl>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9. Reports Extension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9.1 Overview</w:t>
      </w:r>
    </w:p>
    <w:p>
      <w:pPr>
        <w:spacing w:after="60" w:before="60"/>
      </w:pPr>
      <w:r>
        <w:rPr>
          <w:rFonts w:ascii="Arial" w:cs="Arial" w:eastAsia="Arial" w:hAnsi="Arial"/>
          <w:sz w:val="22"/>
          <w:szCs w:val="22"/>
        </w:rPr>
        <w:t xml:space="preserve">Five new reports added to the existing reports module. All support JSON response and xlsx file export. All respect company scoping.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Report</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Vehicles Expiry Report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Vehicles with any document expiring within X days. Param: daysAhead.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Heavy Machinery Compliance Report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active machinery with operational status and all certificate expiry dates.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Employees Visa Status Report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employees sorted by visa expiry. Filterable by band.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Company Documents Compliance Report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company documents by type with status. CIVIL_DEFENSE includes Hassantuk expiry.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Master Expiry Report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Everything expiring across all modules. xlsx export has one sheet per source.</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9.2 Functional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560"/>
        <w:gridCol w:w="12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REQ #</w:t>
            </w:r>
          </w:p>
        </w:tc>
        <w:tc>
          <w:tcPr>
            <w:tcW w:type="dxa" w:w="4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Acceptance Criteria</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FR-R01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All 5 new reports shall be accessible via JSON endpoint and xlsx export.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GET /reports/{name} returns JSON. GET /reports/{name}/export downloads xlsx.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FR-R02</w:t>
            </w:r>
          </w:p>
        </w:tc>
        <w:tc>
          <w:tcPr>
            <w:tcW w:type="dxa" w:w="4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All reports shall respect company scoping.</w:t>
            </w:r>
          </w:p>
        </w:tc>
        <w:tc>
          <w:tcPr>
            <w:tcW w:type="dxa" w:w="3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Users see only data for their accessible companies. Admin can filter by companyId param.</w:t>
            </w:r>
          </w:p>
        </w:tc>
        <w:tc>
          <w:tcPr>
            <w:tcW w:type="dxa" w:w="12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FR-R03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Master Expiry Report xlsx export shall have one sheet per source module.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 sheets: Gate Passes, Vehicles, Machinery, Employees, Company Documents.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FR-R04</w:t>
            </w:r>
          </w:p>
        </w:tc>
        <w:tc>
          <w:tcPr>
            <w:tcW w:type="dxa" w:w="4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New report cards shall appear on the existing reports page without redesigning it.</w:t>
            </w:r>
          </w:p>
        </w:tc>
        <w:tc>
          <w:tcPr>
            <w:tcW w:type="dxa" w:w="3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5 new cards added to the existing reports list page. No layout changes to existing cards.</w:t>
            </w:r>
          </w:p>
        </w:tc>
        <w:tc>
          <w:tcPr>
            <w:tcW w:type="dxa" w:w="12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Must Have</w:t>
            </w:r>
          </w:p>
        </w:tc>
      </w:tr>
    </w:tbl>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10. Phase 2 — New Employees Onboarding Workflow (Deferred)</w:t>
      </w:r>
    </w:p>
    <w:p>
      <w:pPr>
        <w:spacing w:after="80" w:before="80"/>
      </w:pPr>
      <w:r>
        <w:t xml:space="preserve"/>
      </w:r>
    </w:p>
    <w:p>
      <w:pPr>
        <w:spacing w:after="60" w:before="60"/>
      </w:pPr>
      <w:r>
        <w:rPr>
          <w:rFonts w:ascii="Arial" w:cs="Arial" w:eastAsia="Arial" w:hAnsi="Arial"/>
          <w:b/>
          <w:bCs/>
          <w:color w:val="CC0000"/>
          <w:sz w:val="22"/>
          <w:szCs w:val="22"/>
        </w:rPr>
        <w:t xml:space="preserve">Status: DEFERRED — Not in Phase 1 scope. Full PRD section to be written after Phase 1 ships.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10.1 Summary</w:t>
      </w:r>
    </w:p>
    <w:p>
      <w:pPr>
        <w:spacing w:after="60" w:before="60"/>
      </w:pPr>
      <w:r>
        <w:rPr>
          <w:rFonts w:ascii="Arial" w:cs="Arial" w:eastAsia="Arial" w:hAnsi="Arial"/>
          <w:sz w:val="22"/>
          <w:szCs w:val="22"/>
        </w:rPr>
        <w:t xml:space="preserve">The New Employees onboarding workflow tracks new hires from visit visa through to Emirates ID delivery. It is a sequential state machine with parallel sub-tracks and a visa cancellation grace period.</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10.2 States (for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State</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Description / Gate Rule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VISIT_VISA_VALID / EXPIRED / CANCELLED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states based on visa status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WORK_PERMIT_PENDING / APPROVED / REJECTED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must reach APPROVED before medical stages begin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MEDICAL_PENDING / COMPLETED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requires WORK_PERMIT_APPROVED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INSURANCE_PENDING / COMPLETED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requires MEDICAL_COMPLETED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RESIDENCY_PENDING / COMPLETED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requires INSURANCE_COMPLETED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EID_PENDING / DELIVERED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requires RESIDENCY_COMPLETED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ONBOARDED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Terminal success state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CANCELLED + Grace Period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VISIT_VISA_CANCELLED triggers 15-day grace period with daily alarm</w:t>
            </w:r>
          </w:p>
        </w:tc>
      </w:tr>
    </w:tbl>
    <w:p>
      <w:pPr>
        <w:spacing w:after="80" w:before="80"/>
      </w:pPr>
      <w:r>
        <w:t xml:space="preserve"/>
      </w:r>
    </w:p>
    <w:p>
      <w:pPr>
        <w:spacing w:after="60" w:before="60"/>
      </w:pPr>
      <w:r>
        <w:rPr>
          <w:rFonts w:ascii="Arial" w:cs="Arial" w:eastAsia="Arial" w:hAnsi="Arial"/>
          <w:sz w:val="22"/>
          <w:szCs w:val="22"/>
        </w:rPr>
        <w:t xml:space="preserve">Phase 2 prompt (Prompt 9) has been drafted and is included in the Claude Code Prompts Additions document. It will be executed after Phase 1 is reviewed and live.</w:t>
      </w:r>
    </w:p>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11. Non-Functional Requirements (Additions)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560"/>
        <w:gridCol w:w="12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REQ #</w:t>
            </w:r>
          </w:p>
        </w:tc>
        <w:tc>
          <w:tcPr>
            <w:tcW w:type="dxa" w:w="4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Acceptance Criteria</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NFR-01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File storage abstraction shall be S3-ready.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Uploading an attachment in Phase 1 uses local disk. Swapping to S3/R2 requires only a config change in uploads.service.ts, no schema changes.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NFR-02</w:t>
            </w:r>
          </w:p>
        </w:tc>
        <w:tc>
          <w:tcPr>
            <w:tcW w:type="dxa" w:w="4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All new API endpoints shall enforce tenant + company RLS at database level.</w:t>
            </w:r>
          </w:p>
        </w:tc>
        <w:tc>
          <w:tcPr>
            <w:tcW w:type="dxa" w:w="3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Raw SQL with wrong app.company_id returns 0 rows for all new modules.</w:t>
            </w:r>
          </w:p>
        </w:tc>
        <w:tc>
          <w:tcPr>
            <w:tcW w:type="dxa" w:w="12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NFR-03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expiry_items_v SQL view shall return results in under 2 seconds for tenants with up to 500 items per module.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Performance tested with seed data of 500 vehicles, 500 employees, 500 company docs, 500 machinery, 500 gate passes.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Should Have</w:t>
            </w:r>
          </w:p>
        </w:tc>
      </w:tr>
      <w:tr>
        <w:tc>
          <w:tcPr>
            <w:tcW w:type="dxa" w:w="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NFR-04</w:t>
            </w:r>
          </w:p>
        </w:tc>
        <w:tc>
          <w:tcPr>
            <w:tcW w:type="dxa" w:w="4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Notification deduplication shall prevent re-sending the same alert within the same calendar day.</w:t>
            </w:r>
          </w:p>
        </w:tc>
        <w:tc>
          <w:tcPr>
            <w:tcW w:type="dxa" w:w="3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Running cron twice on same day: ExpiryNotificationLog blocks second notification.</w:t>
            </w:r>
          </w:p>
        </w:tc>
        <w:tc>
          <w:tcPr>
            <w:tcW w:type="dxa" w:w="12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NFR-05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All new xlsx bulk imports shall handle files up to 1000 rows without timeout.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Import tested with 1000-row xlsx file. Response under 30 seconds.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Should Have</w:t>
            </w:r>
          </w:p>
        </w:tc>
      </w:tr>
    </w:tbl>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12. Known Risks &amp; Production Considerations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860"/>
        <w:gridCol w:w="200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Risk</w:t>
            </w:r>
          </w:p>
        </w:tc>
        <w:tc>
          <w:tcPr>
            <w:tcW w:type="dxa" w:w="38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Mitigation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Priority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8"/>
                <w:szCs w:val="18"/>
              </w:rPr>
              <w:t xml:space="preserve">R01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8"/>
                <w:szCs w:val="18"/>
              </w:rPr>
              <w:t xml:space="preserve">Render free tier: uploaded files lost on restart (ephemeral disk).</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8"/>
                <w:szCs w:val="18"/>
              </w:rPr>
              <w:t xml:space="preserve">Phase 1 is internal/staging only. Before production launch, swap uploads.service.ts to S3/R2 — no schema change required.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C0000"/>
                <w:sz w:val="18"/>
                <w:szCs w:val="18"/>
              </w:rPr>
              <w:t xml:space="preserve">CRITICAL</w:t>
            </w:r>
          </w:p>
        </w:tc>
      </w:tr>
      <w:tr>
        <w:tc>
          <w:tcPr>
            <w:tcW w:type="dxa" w:w="500"/>
            <w:tcBorders>
              <w:top w:val="single" w:color="CCCCCC" w:sz="1"/>
              <w:left w:val="single" w:color="CCCCCC" w:sz="1"/>
              <w:bottom w:val="single" w:color="CCCCCC" w:sz="1"/>
              <w:right w:val="single" w:color="CCCCCC" w:sz="1"/>
            </w:tcBorders>
            <w:shd w:fill="FFF9F0" w:val="clear"/>
            <w:tcMar>
              <w:top w:type="dxa" w:w="60"/>
              <w:left w:type="dxa" w:w="100"/>
              <w:bottom w:type="dxa" w:w="60"/>
              <w:right w:type="dxa" w:w="100"/>
            </w:tcMar>
          </w:tcPr>
          <w:p>
            <w:r>
              <w:rPr>
                <w:rFonts w:ascii="Arial" w:cs="Arial" w:eastAsia="Arial" w:hAnsi="Arial"/>
                <w:color w:val="C55A11"/>
                <w:sz w:val="18"/>
                <w:szCs w:val="18"/>
              </w:rPr>
              <w:t xml:space="preserve">R02</w:t>
            </w:r>
          </w:p>
        </w:tc>
        <w:tc>
          <w:tcPr>
            <w:tcW w:type="dxa" w:w="3000"/>
            <w:tcBorders>
              <w:top w:val="single" w:color="CCCCCC" w:sz="1"/>
              <w:left w:val="single" w:color="CCCCCC" w:sz="1"/>
              <w:bottom w:val="single" w:color="CCCCCC" w:sz="1"/>
              <w:right w:val="single" w:color="CCCCCC" w:sz="1"/>
            </w:tcBorders>
            <w:shd w:fill="FFF9F0" w:val="clear"/>
            <w:tcMar>
              <w:top w:type="dxa" w:w="60"/>
              <w:left w:type="dxa" w:w="100"/>
              <w:bottom w:type="dxa" w:w="60"/>
              <w:right w:type="dxa" w:w="100"/>
            </w:tcMar>
          </w:tcPr>
          <w:p>
            <w:r>
              <w:rPr>
                <w:rFonts w:ascii="Arial" w:cs="Arial" w:eastAsia="Arial" w:hAnsi="Arial"/>
                <w:color w:val="C55A11"/>
                <w:sz w:val="18"/>
                <w:szCs w:val="18"/>
              </w:rPr>
              <w:t xml:space="preserve">Render free tier services sleep after 15 min inactivity.</w:t>
            </w:r>
          </w:p>
        </w:tc>
        <w:tc>
          <w:tcPr>
            <w:tcW w:type="dxa" w:w="3860"/>
            <w:tcBorders>
              <w:top w:val="single" w:color="CCCCCC" w:sz="1"/>
              <w:left w:val="single" w:color="CCCCCC" w:sz="1"/>
              <w:bottom w:val="single" w:color="CCCCCC" w:sz="1"/>
              <w:right w:val="single" w:color="CCCCCC" w:sz="1"/>
            </w:tcBorders>
            <w:shd w:fill="FFF9F0" w:val="clear"/>
            <w:tcMar>
              <w:top w:type="dxa" w:w="60"/>
              <w:left w:type="dxa" w:w="100"/>
              <w:bottom w:type="dxa" w:w="60"/>
              <w:right w:type="dxa" w:w="100"/>
            </w:tcMar>
          </w:tcPr>
          <w:p>
            <w:r>
              <w:rPr>
                <w:rFonts w:ascii="Arial" w:cs="Arial" w:eastAsia="Arial" w:hAnsi="Arial"/>
                <w:color w:val="C55A11"/>
                <w:sz w:val="18"/>
                <w:szCs w:val="18"/>
              </w:rPr>
              <w:t xml:space="preserve">Acceptable for internal use. Upgrade to paid tier before client-facing launch.</w:t>
            </w:r>
          </w:p>
        </w:tc>
        <w:tc>
          <w:tcPr>
            <w:tcW w:type="dxa" w:w="2000"/>
            <w:tcBorders>
              <w:top w:val="single" w:color="CCCCCC" w:sz="1"/>
              <w:left w:val="single" w:color="CCCCCC" w:sz="1"/>
              <w:bottom w:val="single" w:color="CCCCCC" w:sz="1"/>
              <w:right w:val="single" w:color="CCCCCC" w:sz="1"/>
            </w:tcBorders>
            <w:shd w:fill="FFF9F0" w:val="clear"/>
            <w:tcMar>
              <w:top w:type="dxa" w:w="60"/>
              <w:left w:type="dxa" w:w="100"/>
              <w:bottom w:type="dxa" w:w="60"/>
              <w:right w:type="dxa" w:w="100"/>
            </w:tcMar>
          </w:tcPr>
          <w:p>
            <w:r>
              <w:rPr>
                <w:rFonts w:ascii="Arial" w:cs="Arial" w:eastAsia="Arial" w:hAnsi="Arial"/>
                <w:color w:val="C55A11"/>
                <w:sz w:val="18"/>
                <w:szCs w:val="18"/>
              </w:rPr>
              <w:t xml:space="preserve">HIGH</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55A11"/>
                <w:sz w:val="18"/>
                <w:szCs w:val="18"/>
              </w:rPr>
              <w:t xml:space="preserve">R03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55A11"/>
                <w:sz w:val="18"/>
                <w:szCs w:val="18"/>
              </w:rPr>
              <w:t xml:space="preserve">Group/Company migration touches every existing table (adds companyId column).</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55A11"/>
                <w:sz w:val="18"/>
                <w:szCs w:val="18"/>
              </w:rPr>
              <w:t xml:space="preserve">Back up production Render DB before running migration. Test on a clone first.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55A11"/>
                <w:sz w:val="18"/>
                <w:szCs w:val="18"/>
              </w:rPr>
              <w:t xml:space="preserve">HIGH</w:t>
            </w:r>
          </w:p>
        </w:tc>
      </w:tr>
      <w:tr>
        <w:tc>
          <w:tcPr>
            <w:tcW w:type="dxa" w:w="500"/>
            <w:tcBorders>
              <w:top w:val="single" w:color="CCCCCC" w:sz="1"/>
              <w:left w:val="single" w:color="CCCCCC" w:sz="1"/>
              <w:bottom w:val="single" w:color="CCCCCC" w:sz="1"/>
              <w:right w:val="single" w:color="CCCCCC" w:sz="1"/>
            </w:tcBorders>
            <w:shd w:fill="FFF9F0" w:val="clear"/>
            <w:tcMar>
              <w:top w:type="dxa" w:w="60"/>
              <w:left w:type="dxa" w:w="100"/>
              <w:bottom w:type="dxa" w:w="60"/>
              <w:right w:type="dxa" w:w="100"/>
            </w:tcMar>
          </w:tcPr>
          <w:p>
            <w:r>
              <w:rPr>
                <w:rFonts w:ascii="Arial" w:cs="Arial" w:eastAsia="Arial" w:hAnsi="Arial"/>
                <w:color w:val="000000"/>
                <w:sz w:val="18"/>
                <w:szCs w:val="18"/>
              </w:rPr>
              <w:t xml:space="preserve">R04</w:t>
            </w:r>
          </w:p>
        </w:tc>
        <w:tc>
          <w:tcPr>
            <w:tcW w:type="dxa" w:w="3000"/>
            <w:tcBorders>
              <w:top w:val="single" w:color="CCCCCC" w:sz="1"/>
              <w:left w:val="single" w:color="CCCCCC" w:sz="1"/>
              <w:bottom w:val="single" w:color="CCCCCC" w:sz="1"/>
              <w:right w:val="single" w:color="CCCCCC" w:sz="1"/>
            </w:tcBorders>
            <w:shd w:fill="FFF9F0" w:val="clear"/>
            <w:tcMar>
              <w:top w:type="dxa" w:w="60"/>
              <w:left w:type="dxa" w:w="100"/>
              <w:bottom w:type="dxa" w:w="60"/>
              <w:right w:type="dxa" w:w="100"/>
            </w:tcMar>
          </w:tcPr>
          <w:p>
            <w:r>
              <w:rPr>
                <w:rFonts w:ascii="Arial" w:cs="Arial" w:eastAsia="Arial" w:hAnsi="Arial"/>
                <w:color w:val="000000"/>
                <w:sz w:val="18"/>
                <w:szCs w:val="18"/>
              </w:rPr>
              <w:t xml:space="preserve">POA parties stored as JSON array — not searchable by party name.</w:t>
            </w:r>
          </w:p>
        </w:tc>
        <w:tc>
          <w:tcPr>
            <w:tcW w:type="dxa" w:w="3860"/>
            <w:tcBorders>
              <w:top w:val="single" w:color="CCCCCC" w:sz="1"/>
              <w:left w:val="single" w:color="CCCCCC" w:sz="1"/>
              <w:bottom w:val="single" w:color="CCCCCC" w:sz="1"/>
              <w:right w:val="single" w:color="CCCCCC" w:sz="1"/>
            </w:tcBorders>
            <w:shd w:fill="FFF9F0" w:val="clear"/>
            <w:tcMar>
              <w:top w:type="dxa" w:w="60"/>
              <w:left w:type="dxa" w:w="100"/>
              <w:bottom w:type="dxa" w:w="60"/>
              <w:right w:type="dxa" w:w="100"/>
            </w:tcMar>
          </w:tcPr>
          <w:p>
            <w:r>
              <w:rPr>
                <w:rFonts w:ascii="Arial" w:cs="Arial" w:eastAsia="Arial" w:hAnsi="Arial"/>
                <w:color w:val="000000"/>
                <w:sz w:val="18"/>
                <w:szCs w:val="18"/>
              </w:rPr>
              <w:t xml:space="preserve">Acceptable for Phase 1. Promote to dedicated Party table in Phase 2 if search is required.</w:t>
            </w:r>
          </w:p>
        </w:tc>
        <w:tc>
          <w:tcPr>
            <w:tcW w:type="dxa" w:w="2000"/>
            <w:tcBorders>
              <w:top w:val="single" w:color="CCCCCC" w:sz="1"/>
              <w:left w:val="single" w:color="CCCCCC" w:sz="1"/>
              <w:bottom w:val="single" w:color="CCCCCC" w:sz="1"/>
              <w:right w:val="single" w:color="CCCCCC" w:sz="1"/>
            </w:tcBorders>
            <w:shd w:fill="FFF9F0" w:val="clear"/>
            <w:tcMar>
              <w:top w:type="dxa" w:w="60"/>
              <w:left w:type="dxa" w:w="100"/>
              <w:bottom w:type="dxa" w:w="60"/>
              <w:right w:type="dxa" w:w="100"/>
            </w:tcMar>
          </w:tcPr>
          <w:p>
            <w:r>
              <w:rPr>
                <w:rFonts w:ascii="Arial" w:cs="Arial" w:eastAsia="Arial" w:hAnsi="Arial"/>
                <w:color w:val="000000"/>
                <w:sz w:val="18"/>
                <w:szCs w:val="18"/>
              </w:rPr>
              <w:t xml:space="preserve">MEDIUM</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R05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expiry_items_v is a live view — performance degrades as row counts grow.</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Monitor query time. Add indexes on expiry_date per table. Materialize if needed at scale.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MEDIUM</w:t>
            </w:r>
          </w:p>
        </w:tc>
      </w:tr>
    </w:tbl>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13. Version History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Changes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v5.0 (Base)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Original GPMS — 22 sections, 72 requirements. Gate Passes, multi-tenancy, lifecycle, custody, notifications, reports, bulk import.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v6.0 (This Document)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DocPilot rebranding. Added: Group/Company hierarchy (Sections 2), Vehicles (3), Heavy Machinery (4), Employees (5), Company Documents (6), Unified Expiry Dashboard (7), Alarm Threshold Config (8), 5 new Reports (9). Phase 2 stub (10).</w:t>
            </w:r>
          </w:p>
        </w:tc>
      </w:tr>
    </w:tbl>
    <w:p>
      <w:pPr>
        <w:spacing w:after="80" w:before="80"/>
      </w:pPr>
      <w:r>
        <w:t xml:space="preserv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999999"/>
        <w:sz w:val="16"/>
        <w:szCs w:val="16"/>
      </w:rPr>
      <w:t xml:space="preserve">Confidential — UpTown Technical Services LLC</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95959"/>
        <w:sz w:val="18"/>
        <w:szCs w:val="18"/>
      </w:rPr>
      <w:t xml:space="preserve">DocPilot — Product Requirements Document v6.0</w:t>
    </w:r>
    <w:r>
      <w:rPr>
        <w:rFonts w:ascii="Arial" w:cs="Arial" w:eastAsia="Arial" w:hAnsi="Arial"/>
        <w:color w:val="999999"/>
        <w:sz w:val="18"/>
        <w:szCs w:val="18"/>
      </w:rPr>
      <w:t xml:space="preserve">   |   ADDITIONS ONLY — Builds on GPMS PRD 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2026-05-20T03:49:11.858Z</dcterms:created>
  <dcterms:modified xsi:type="dcterms:W3CDTF">2026-05-20T03:49:11.859Z</dcterms:modified>
</cp:coreProperties>
</file>

<file path=docProps/custom.xml><?xml version="1.0" encoding="utf-8"?>
<Properties xmlns="http://schemas.openxmlformats.org/officeDocument/2006/custom-properties" xmlns:vt="http://schemas.openxmlformats.org/officeDocument/2006/docPropsVTypes"/>
</file>