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ontserrat" w:hAnsi="Montserrat"/>
          <w:color w:val="070222"/>
        </w:rPr>
        <w:t>Solar Capital — Página Institucional do LinkedIn</w:t>
      </w:r>
    </w:p>
    <w:p>
      <w:r>
        <w:rPr>
          <w:i/>
        </w:rPr>
        <w:t>Conteúdo de texto pronto para colar nos campos da página de empresa do LinkedIn. Voz institucional, específica, sem adjetivos vazios — conforme o Brand Book.</w:t>
      </w:r>
    </w:p>
    <w:p>
      <w:pPr>
        <w:spacing w:before="360" w:after="120"/>
      </w:pPr>
      <w:r>
        <w:rPr>
          <w:rFonts w:ascii="Montserrat" w:hAnsi="Montserrat"/>
          <w:b/>
          <w:color w:val="070222"/>
          <w:sz w:val="32"/>
        </w:rPr>
        <w:t>Tagline (título curto)</w:t>
      </w:r>
    </w:p>
    <w:p>
      <w:pPr>
        <w:spacing w:after="200"/>
      </w:pPr>
      <w:r>
        <w:rPr>
          <w:rFonts w:ascii="Montserrat" w:hAnsi="Montserrat"/>
          <w:i w:val="0"/>
          <w:sz w:val="22"/>
        </w:rPr>
        <w:t>Limite do LinkedIn: 120 caracteres. Aparece ao lado do nome da empresa.</w:t>
      </w:r>
    </w:p>
    <w:p>
      <w:r>
        <w:rPr>
          <w:b/>
          <w:sz w:val="26"/>
        </w:rPr>
        <w:t>Crédito estruturado para a economia real.</w:t>
      </w:r>
    </w:p>
    <w:p>
      <w:pPr>
        <w:spacing w:after="80"/>
      </w:pPr>
      <w:r>
        <w:rPr>
          <w:i/>
          <w:color w:val="8A8A8A"/>
          <w:sz w:val="17"/>
        </w:rPr>
        <w:t>(41 caracteres)</w:t>
      </w:r>
    </w:p>
    <w:p>
      <w:pPr>
        <w:spacing w:before="360" w:after="120"/>
      </w:pPr>
      <w:r>
        <w:rPr>
          <w:rFonts w:ascii="Montserrat" w:hAnsi="Montserrat"/>
          <w:b/>
          <w:color w:val="070222"/>
          <w:sz w:val="32"/>
        </w:rPr>
        <w:t>Sobre (About)</w:t>
      </w:r>
    </w:p>
    <w:p>
      <w:pPr>
        <w:spacing w:after="200"/>
      </w:pPr>
      <w:r>
        <w:rPr>
          <w:rFonts w:ascii="Montserrat" w:hAnsi="Montserrat"/>
          <w:i w:val="0"/>
          <w:sz w:val="22"/>
        </w:rPr>
        <w:t>Limite do LinkedIn: 2.000 caracteres. Aparece na aba 'Sobre' da página.</w:t>
      </w:r>
    </w:p>
    <w:p>
      <w:pPr>
        <w:spacing w:after="200"/>
      </w:pPr>
      <w:r>
        <w:rPr>
          <w:rFonts w:ascii="Montserrat" w:hAnsi="Montserrat"/>
          <w:i w:val="0"/>
          <w:sz w:val="22"/>
        </w:rPr>
        <w:t>A Solar Capital é uma casa de crédito estruturado que origina, estrutura e gere operações de crédito para empresas, conectando-as a diferentes fontes de capital.</w:t>
        <w:br/>
        <w:br/>
        <w:t>Desde 2018, desenvolvemos soluções sob medida — capital de giro, antecipação de contratos, cadeia de fornecedores, recebíveis de cartão e consignado privado — sempre a partir da realidade específica de cada negócio, nunca de um produto de prateleira.</w:t>
        <w:br/>
        <w:br/>
        <w:t>Para empresas com escala e recorrência de originação, estruturamos Fundos de Investimento em Direitos Creditórios (FIDCs) próprios: uma plataforma permanente de capital, com patrimônio segregado e acesso direto a investidores.</w:t>
        <w:br/>
        <w:br/>
        <w:t>Para investidores, gerimos estratégias de crédito estruturado com exposição a direitos creditórios e operações originadas na economia real, com acompanhamento contínuo da carteira e dos indicadores de risco.</w:t>
        <w:br/>
        <w:br/>
        <w:t>Hoje, atuamos com quatro FIDCs em operação e mais de R$ 7,4 bilhões operados desde a fundação.</w:t>
        <w:br/>
        <w:br/>
        <w:t>Capital não resolve nada sozinho — estrutura resolve.</w:t>
      </w:r>
    </w:p>
    <w:p>
      <w:pPr>
        <w:spacing w:after="80"/>
      </w:pPr>
      <w:r>
        <w:rPr>
          <w:i/>
          <w:color w:val="8A8A8A"/>
          <w:sz w:val="17"/>
        </w:rPr>
        <w:t>(996 caracteres)</w:t>
      </w:r>
    </w:p>
    <w:p>
      <w:pPr>
        <w:spacing w:before="360" w:after="120"/>
      </w:pPr>
      <w:r>
        <w:rPr>
          <w:rFonts w:ascii="Montserrat" w:hAnsi="Montserrat"/>
          <w:b/>
          <w:color w:val="070222"/>
          <w:sz w:val="32"/>
        </w:rPr>
        <w:t>Especialidades (Specialties)</w:t>
      </w:r>
    </w:p>
    <w:p>
      <w:pPr>
        <w:spacing w:after="200"/>
      </w:pPr>
      <w:r>
        <w:rPr>
          <w:rFonts w:ascii="Montserrat" w:hAnsi="Montserrat"/>
          <w:i w:val="0"/>
          <w:sz w:val="22"/>
        </w:rPr>
        <w:t>Campo de palavras-chave do LinkedIn, separadas por vírgula (até 20 termos recomendados).</w:t>
      </w:r>
    </w:p>
    <w:p>
      <w:pPr>
        <w:spacing w:after="200"/>
      </w:pPr>
      <w:r>
        <w:rPr>
          <w:rFonts w:ascii="Montserrat" w:hAnsi="Montserrat"/>
          <w:i w:val="0"/>
          <w:sz w:val="22"/>
        </w:rPr>
        <w:t>Crédito Estruturado, FIDC, Fundos de Investimento em Direitos Creditórios, Estruturação de Crédito, Capital de Giro, Antecipação de Recebíveis, Recebíveis de Cartão, Risco Sacado, Consignado Privado, Direitos Creditórios, Gestão de Fundos, Crédito Privado, Middle Market, Governança de Crédito, Estruturação Financeira</w:t>
      </w:r>
    </w:p>
    <w:p>
      <w:pPr>
        <w:spacing w:before="360" w:after="120"/>
      </w:pPr>
      <w:r>
        <w:rPr>
          <w:rFonts w:ascii="Montserrat" w:hAnsi="Montserrat"/>
          <w:b/>
          <w:color w:val="070222"/>
          <w:sz w:val="32"/>
        </w:rPr>
        <w:t>Informações da empresa (campos de cadastro)</w:t>
      </w:r>
    </w:p>
    <w:tbl>
      <w:tblPr>
        <w:tblStyle w:val="LightGrid-Accent1"/>
        <w:tblW w:type="auto" w:w="0"/>
        <w:tblLook w:firstColumn="1" w:firstRow="1" w:lastColumn="0" w:lastRow="0" w:noHBand="0" w:noVBand="1" w:val="04A0"/>
      </w:tblPr>
      <w:tblGrid>
        <w:gridCol w:w="4320"/>
        <w:gridCol w:w="4320"/>
      </w:tblGrid>
      <w:tr>
        <w:tc>
          <w:tcPr>
            <w:tcW w:type="dxa" w:w="4320"/>
          </w:tcPr>
          <w:p>
            <w:r>
              <w:rPr>
                <w:b/>
              </w:rPr>
              <w:t>Nome</w:t>
            </w:r>
          </w:p>
        </w:tc>
        <w:tc>
          <w:tcPr>
            <w:tcW w:type="dxa" w:w="4320"/>
          </w:tcPr>
          <w:p>
            <w:r>
              <w:t>Solar Capital</w:t>
            </w:r>
          </w:p>
        </w:tc>
      </w:tr>
      <w:tr>
        <w:tc>
          <w:tcPr>
            <w:tcW w:type="dxa" w:w="4320"/>
          </w:tcPr>
          <w:p>
            <w:r>
              <w:rPr>
                <w:b/>
              </w:rPr>
              <w:t>Setor (Industry)</w:t>
            </w:r>
          </w:p>
        </w:tc>
        <w:tc>
          <w:tcPr>
            <w:tcW w:type="dxa" w:w="4320"/>
          </w:tcPr>
          <w:p>
            <w:r>
              <w:t>Serviços Financeiros / Gestão de Investimentos</w:t>
            </w:r>
          </w:p>
        </w:tc>
      </w:tr>
      <w:tr>
        <w:tc>
          <w:tcPr>
            <w:tcW w:type="dxa" w:w="4320"/>
          </w:tcPr>
          <w:p>
            <w:r>
              <w:rPr>
                <w:b/>
              </w:rPr>
              <w:t>Tipo de empresa</w:t>
            </w:r>
          </w:p>
        </w:tc>
        <w:tc>
          <w:tcPr>
            <w:tcW w:type="dxa" w:w="4320"/>
          </w:tcPr>
          <w:p>
            <w:r>
              <w:t>Sociedade de capital fechado</w:t>
            </w:r>
          </w:p>
        </w:tc>
      </w:tr>
      <w:tr>
        <w:tc>
          <w:tcPr>
            <w:tcW w:type="dxa" w:w="4320"/>
          </w:tcPr>
          <w:p>
            <w:r>
              <w:rPr>
                <w:b/>
              </w:rPr>
              <w:t>Porte</w:t>
            </w:r>
          </w:p>
        </w:tc>
        <w:tc>
          <w:tcPr>
            <w:tcW w:type="dxa" w:w="4320"/>
          </w:tcPr>
          <w:p>
            <w:r>
              <w:t>11–50 funcionários (ajustar conforme headcount real)</w:t>
            </w:r>
          </w:p>
        </w:tc>
      </w:tr>
      <w:tr>
        <w:tc>
          <w:tcPr>
            <w:tcW w:type="dxa" w:w="4320"/>
          </w:tcPr>
          <w:p>
            <w:r>
              <w:rPr>
                <w:b/>
              </w:rPr>
              <w:t>Fundação</w:t>
            </w:r>
          </w:p>
        </w:tc>
        <w:tc>
          <w:tcPr>
            <w:tcW w:type="dxa" w:w="4320"/>
          </w:tcPr>
          <w:p>
            <w:r>
              <w:t>2018</w:t>
            </w:r>
          </w:p>
        </w:tc>
      </w:tr>
      <w:tr>
        <w:tc>
          <w:tcPr>
            <w:tcW w:type="dxa" w:w="4320"/>
          </w:tcPr>
          <w:p>
            <w:r>
              <w:rPr>
                <w:b/>
              </w:rPr>
              <w:t>Site</w:t>
            </w:r>
          </w:p>
        </w:tc>
        <w:tc>
          <w:tcPr>
            <w:tcW w:type="dxa" w:w="4320"/>
          </w:tcPr>
          <w:p>
            <w:r>
              <w:t>solarcapital.com.br</w:t>
            </w:r>
          </w:p>
        </w:tc>
      </w:tr>
      <w:tr>
        <w:tc>
          <w:tcPr>
            <w:tcW w:type="dxa" w:w="4320"/>
          </w:tcPr>
          <w:p>
            <w:r>
              <w:rPr>
                <w:b/>
              </w:rPr>
              <w:t>Sede</w:t>
            </w:r>
          </w:p>
        </w:tc>
        <w:tc>
          <w:tcPr>
            <w:tcW w:type="dxa" w:w="4320"/>
          </w:tcPr>
          <w:p>
            <w:r>
              <w:t>São Paulo, SP — Rua Dr. Eduardo de Souza Aranha, 153, 6º andar</w:t>
            </w:r>
          </w:p>
        </w:tc>
      </w:tr>
      <w:tr>
        <w:tc>
          <w:tcPr>
            <w:tcW w:type="dxa" w:w="4320"/>
          </w:tcPr>
          <w:p>
            <w:r>
              <w:rPr>
                <w:b/>
              </w:rPr>
              <w:t>Telefone</w:t>
            </w:r>
          </w:p>
        </w:tc>
        <w:tc>
          <w:tcPr>
            <w:tcW w:type="dxa" w:w="4320"/>
          </w:tcPr>
          <w:p>
            <w:r>
              <w:t>+55 11 3856-1545</w:t>
            </w:r>
          </w:p>
        </w:tc>
      </w:tr>
      <w:tr>
        <w:tc>
          <w:tcPr>
            <w:tcW w:type="dxa" w:w="4320"/>
          </w:tcPr>
          <w:p>
            <w:r>
              <w:rPr>
                <w:b/>
              </w:rPr>
              <w:t>E-mail</w:t>
            </w:r>
          </w:p>
        </w:tc>
        <w:tc>
          <w:tcPr>
            <w:tcW w:type="dxa" w:w="4320"/>
          </w:tcPr>
          <w:p>
            <w:r>
              <w:t>contato@solarcapital.com.br</w:t>
            </w:r>
          </w:p>
        </w:tc>
      </w:tr>
    </w:tbl>
    <w:p>
      <w:pPr>
        <w:spacing w:before="360" w:after="120"/>
      </w:pPr>
      <w:r>
        <w:rPr>
          <w:rFonts w:ascii="Montserrat" w:hAnsi="Montserrat"/>
          <w:b/>
          <w:color w:val="070222"/>
          <w:sz w:val="32"/>
        </w:rPr>
        <w:t>Post de lançamento sugerido (opcional)</w:t>
      </w:r>
    </w:p>
    <w:p>
      <w:pPr>
        <w:spacing w:after="200"/>
      </w:pPr>
      <w:r>
        <w:rPr>
          <w:rFonts w:ascii="Montserrat" w:hAnsi="Montserrat"/>
          <w:i w:val="0"/>
          <w:sz w:val="22"/>
        </w:rPr>
        <w:t>Texto pronto para o primeiro post ao publicar/relançar a página, caso queira anunciar.</w:t>
      </w:r>
    </w:p>
    <w:p>
      <w:pPr>
        <w:spacing w:after="200"/>
      </w:pPr>
      <w:r>
        <w:rPr>
          <w:rFonts w:ascii="Montserrat" w:hAnsi="Montserrat"/>
          <w:i w:val="0"/>
          <w:sz w:val="22"/>
        </w:rPr>
        <w:t>Crédito estruturado para a economia real.</w:t>
        <w:br/>
        <w:br/>
        <w:t>A Solar Capital nasceu em 2018 com uma premissa simples: capital não resolve nada sozinho — estrutura resolve. Desde então, originamos, estruturamos e gerimos operações de crédito conectando empresas a diferentes fontes de capital, sempre a partir da realidade de cada negócio.</w:t>
        <w:br/>
        <w:br/>
        <w:t>Hoje somos uma casa de crédito estruturado com quatro FIDCs em operação e mais de R$ 7,4 bilhões operados desde a fundação.</w:t>
        <w:br/>
        <w:br/>
        <w:t>Siga a Solar Capital para acompanhar nossa atuação em crédito estruturado e fundos de investimento.</w:t>
      </w:r>
    </w:p>
    <w:p>
      <w:pPr>
        <w:spacing w:before="360" w:after="120"/>
      </w:pPr>
      <w:r>
        <w:rPr>
          <w:rFonts w:ascii="Montserrat" w:hAnsi="Montserrat"/>
          <w:b/>
          <w:color w:val="070222"/>
          <w:sz w:val="32"/>
        </w:rPr>
        <w:t>Diretrizes rápidas de tom de voz (do Brand Book)</w:t>
      </w:r>
    </w:p>
    <w:p>
      <w:pPr>
        <w:pStyle w:val="ListBullet"/>
      </w:pPr>
      <w:r>
        <w:t>Institucional, específico e sem adjetivo vazio — troque "soluções robustas" por o que a solução faz.</w:t>
      </w:r>
    </w:p>
    <w:p>
      <w:pPr>
        <w:pStyle w:val="ListBullet"/>
      </w:pPr>
      <w:r>
        <w:t>Frases curtas. Um argumento por frase.</w:t>
      </w:r>
    </w:p>
    <w:p>
      <w:pPr>
        <w:pStyle w:val="ListBullet"/>
      </w:pPr>
      <w:r>
        <w:t>Números sempre com data-base e fonte — nunca publique um número sem contexto.</w:t>
      </w:r>
    </w:p>
    <w:p>
      <w:pPr>
        <w:pStyle w:val="ListBullet"/>
      </w:pPr>
      <w:r>
        <w:t>Nunca usar clichê de mercado financeiro (gráfico de vela, aperto de mão, pregão, moedas).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olor w:val="25252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4ED58D50DE1834C893F2B2667A51999" ma:contentTypeVersion="11" ma:contentTypeDescription="Crie um novo documento." ma:contentTypeScope="" ma:versionID="2f443012878aec1712e8c37e439e1f3b">
  <xsd:schema xmlns:xsd="http://www.w3.org/2001/XMLSchema" xmlns:xs="http://www.w3.org/2001/XMLSchema" xmlns:p="http://schemas.microsoft.com/office/2006/metadata/properties" xmlns:ns2="d235906c-2b19-4edb-a9cd-2968972d819c" xmlns:ns3="5a12d974-712b-42cf-ac9f-ed325d2db275" targetNamespace="http://schemas.microsoft.com/office/2006/metadata/properties" ma:root="true" ma:fieldsID="614ea2d73340a4f2459ac6fa1bd56008" ns2:_="" ns3:_="">
    <xsd:import namespace="d235906c-2b19-4edb-a9cd-2968972d819c"/>
    <xsd:import namespace="5a12d974-712b-42cf-ac9f-ed325d2db2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35906c-2b19-4edb-a9cd-2968972d81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10ac03ab-8548-4ef7-b0e2-cd6684823f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a12d974-712b-42cf-ac9f-ed325d2db2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061eb28-ad59-4027-a765-3ed6b835ad5b}" ma:internalName="TaxCatchAll" ma:showField="CatchAllData" ma:web="5a12d974-712b-42cf-ac9f-ed325d2db2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235906c-2b19-4edb-a9cd-2968972d819c">
      <Terms xmlns="http://schemas.microsoft.com/office/infopath/2007/PartnerControls"/>
    </lcf76f155ced4ddcb4097134ff3c332f>
    <TaxCatchAll xmlns="5a12d974-712b-42cf-ac9f-ed325d2db27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359B980-2A4C-4A73-AFC0-C46F228D411D}"/>
</file>

<file path=customXml/itemProps3.xml><?xml version="1.0" encoding="utf-8"?>
<ds:datastoreItem xmlns:ds="http://schemas.openxmlformats.org/officeDocument/2006/customXml" ds:itemID="{1C0CC408-5D45-44B2-8D60-C12D6BBA1357}"/>
</file>

<file path=customXml/itemProps4.xml><?xml version="1.0" encoding="utf-8"?>
<ds:datastoreItem xmlns:ds="http://schemas.openxmlformats.org/officeDocument/2006/customXml" ds:itemID="{DC6A201A-A69C-4BC2-866C-00B3FF926EA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0x010100F4ED58D50DE1834C893F2B2667A51999</vt:lpwstr>
  </property>
</Properties>
</file>