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Calibri" w:cs="Calibri" w:eastAsia="Calibri" w:hAnsi="Calibri"/>
          <w:color w:val="1A1A1A"/>
          <w:sz w:val="22"/>
          <w:szCs w:val="22"/>
        </w:rPr>
        <w:t xml:space="preserve"/>
      </w:r>
    </w:p>
    <w:p>
      <w:pPr>
        <w:spacing w:after="60" w:before="0"/>
        <w:jc w:val="center"/>
      </w:pPr>
      <w:r>
        <w:rPr>
          <w:rFonts w:ascii="Calibri" w:cs="Calibri" w:eastAsia="Calibri" w:hAnsi="Calibri"/>
          <w:b/>
          <w:bCs/>
          <w:caps/>
          <w:color w:val="C8913A"/>
          <w:spacing w:val="120"/>
          <w:sz w:val="22"/>
          <w:szCs w:val="22"/>
        </w:rPr>
        <w:t xml:space="preserve">STATEMENT OF WORK</w:t>
      </w:r>
    </w:p>
    <w:p>
      <w:pPr>
        <w:spacing w:after="80" w:before="0"/>
        <w:jc w:val="center"/>
      </w:pPr>
      <w:r>
        <w:rPr>
          <w:rFonts w:ascii="Calibri" w:cs="Calibri" w:eastAsia="Calibri" w:hAnsi="Calibri"/>
          <w:b/>
          <w:bCs/>
          <w:color w:val="1B3A6B"/>
          <w:sz w:val="48"/>
          <w:szCs w:val="48"/>
        </w:rPr>
        <w:t xml:space="preserve">IT Issue Tracking Platform</w:t>
      </w:r>
    </w:p>
    <w:p>
      <w:pPr>
        <w:spacing w:after="240" w:before="0"/>
        <w:jc w:val="center"/>
      </w:pPr>
      <w:r>
        <w:rPr>
          <w:rFonts w:ascii="Calibri" w:cs="Calibri" w:eastAsia="Calibri" w:hAnsi="Calibri"/>
          <w:i/>
          <w:iCs/>
          <w:color w:val="0D7377"/>
          <w:sz w:val="30"/>
          <w:szCs w:val="30"/>
        </w:rPr>
        <w:t xml:space="preserve">Phase 2 — Intelligence, Experience &amp;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none" w:color="FFFFFF" w:sz="0"/>
              <w:left w:val="none" w:color="FFFFFF" w:sz="0"/>
              <w:bottom w:val="none" w:color="FFFFFF" w:sz="0"/>
              <w:right w:val="none" w:color="FFFFFF" w:sz="0"/>
            </w:tcBorders>
            <w:shd w:fill="FFFFFF" w:val="clear"/>
          </w:tcPr>
          <w:p>
            <w:pPr>
              <w:spacing w:after="80" w:before="80"/>
            </w:pPr>
          </w:p>
        </w:tc>
        <w:tc>
          <w:tcPr>
            <w:tcW w:type="dxa" w:w="4320"/>
            <w:tcBorders>
              <w:top w:val="none" w:color="FFFFFF" w:sz="0"/>
              <w:left w:val="none" w:color="FFFFFF" w:sz="0"/>
              <w:bottom w:val="none" w:color="FFFFFF" w:sz="0"/>
              <w:right w:val="none" w:color="FFFFFF" w:sz="0"/>
            </w:tcBorders>
            <w:shd w:fill="C8913A" w:val="clear"/>
          </w:tcPr>
          <w:p>
            <w:pPr>
              <w:spacing w:after="80" w:before="80"/>
            </w:pPr>
          </w:p>
        </w:tc>
        <w:tc>
          <w:tcPr>
            <w:tcW w:type="dxa" w:w="2520"/>
            <w:tcBorders>
              <w:top w:val="none" w:color="FFFFFF" w:sz="0"/>
              <w:left w:val="none" w:color="FFFFFF" w:sz="0"/>
              <w:bottom w:val="none" w:color="FFFFFF" w:sz="0"/>
              <w:right w:val="none" w:color="FFFFFF" w:sz="0"/>
            </w:tcBorders>
            <w:shd w:fill="FFFFFF" w:val="clear"/>
          </w:tcPr>
          <w:p>
            <w:pPr>
              <w:spacing w:after="80" w:before="80"/>
            </w:pPr>
          </w:p>
        </w:tc>
      </w:tr>
    </w:tbl>
    <w:p>
      <w:pPr>
        <w:spacing w:after="0" w:before="200"/>
      </w:pPr>
      <w:r>
        <w:rPr>
          <w:rFonts w:ascii="Calibri" w:cs="Calibri" w:eastAsia="Calibri" w:hAnsi="Calibri"/>
          <w:color w:val="1A1A1A"/>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Client</w:t>
            </w:r>
          </w:p>
        </w:tc>
        <w:tc>
          <w:tcPr>
            <w:tcW w:type="dxa" w:w="4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City of Rancho Cordova</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IT Director</w:t>
            </w:r>
          </w:p>
        </w:tc>
        <w:tc>
          <w:tcPr>
            <w:tcW w:type="dxa" w:w="4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Rob Nunley</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Consulting Lead</w:t>
            </w:r>
          </w:p>
        </w:tc>
        <w:tc>
          <w:tcPr>
            <w:tcW w:type="dxa" w:w="4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Haaron Gonzalez, Digital Workplace Consultant</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Document Date</w:t>
            </w:r>
          </w:p>
        </w:tc>
        <w:tc>
          <w:tcPr>
            <w:tcW w:type="dxa" w:w="4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May 2026</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Phase</w:t>
            </w:r>
          </w:p>
        </w:tc>
        <w:tc>
          <w:tcPr>
            <w:tcW w:type="dxa" w:w="4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Phase 2 of 3</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Engagement Type</w:t>
            </w:r>
          </w:p>
        </w:tc>
        <w:tc>
          <w:tcPr>
            <w:tcW w:type="dxa" w:w="4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Fixed-Price / Agile Delivery</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bCs/>
                <w:color w:val="1B3A6B"/>
                <w:sz w:val="20"/>
                <w:szCs w:val="20"/>
              </w:rPr>
              <w:t xml:space="preserve">Project Cost</w:t>
            </w:r>
          </w:p>
        </w:tc>
        <w:tc>
          <w:tcPr>
            <w:tcW w:type="dxa" w:w="4800"/>
            <w:tcBorders>
              <w:top w:val="single" w:color="C8CDD6" w:sz="1"/>
              <w:left w:val="single" w:color="C8CDD6" w:sz="1"/>
              <w:bottom w:val="single" w:color="C8CDD6" w:sz="1"/>
              <w:right w:val="single" w:color="C8CDD6" w:sz="1"/>
            </w:tcBorders>
            <w:shd w:fill="FFF8EC" w:val="clear"/>
            <w:tcMar>
              <w:top w:type="dxa" w:w="80"/>
              <w:left w:type="dxa" w:w="140"/>
              <w:bottom w:type="dxa" w:w="80"/>
              <w:right w:type="dxa" w:w="140"/>
            </w:tcMar>
          </w:tcPr>
          <w:p>
            <w:pPr>
              <w:spacing w:after="80" w:before="80"/>
            </w:pPr>
            <w:r>
              <w:rPr>
                <w:rFonts w:ascii="Calibri" w:cs="Calibri" w:eastAsia="Calibri" w:hAnsi="Calibri"/>
                <w:b/>
                <w:bCs/>
                <w:color w:val="C8913A"/>
                <w:sz w:val="20"/>
                <w:szCs w:val="20"/>
              </w:rPr>
              <w:t xml:space="preserve">$4,000 USD</w:t>
            </w:r>
          </w:p>
        </w:tc>
      </w:tr>
    </w:tbl>
    <w:p>
      <w:r>
        <w:br w:type="page"/>
      </w:r>
    </w:p>
    <w:p>
      <w:pPr>
        <w:pStyle w:val="Heading1"/>
        <w:spacing w:after="160" w:before="360"/>
      </w:pPr>
      <w:r>
        <w:rPr>
          <w:rFonts w:ascii="Calibri" w:cs="Calibri" w:eastAsia="Calibri" w:hAnsi="Calibri"/>
          <w:b/>
          <w:bCs/>
          <w:color w:val="1B3A6B"/>
          <w:sz w:val="34"/>
          <w:szCs w:val="34"/>
        </w:rPr>
        <w:t xml:space="preserve">1.  Project Context</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Phase 1 of the IT Issue Tracking Platform is live and operational at the City of Rancho Cordova. Employees submit tickets through Microsoft Teams and email; helpdesk agents manage their queues through SharePoint and Teams; and five Power Automate flows orchestrate ticket creation, routing, SLA calculation, item-level security, and lifecycle notifications — automatically, around the clock.</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What Phase 1 does not yet do is close the experience loop. Employees submit a ticket and wait, with no natural way to ask a quick question or check their status without involving an agent. IT leadership can see the data in SharePoint but has no consolidated, visual view of how the team is performing. And when a ticket closes, there is no mechanism to ask the employee how it went.</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Phase 2 addresses all three of these gaps with two focused deliverables: a Microsoft Copilot Agent that gives employees an intelligent, conversational interface inside Teams, and a Power BI Dashboard Suite that gives agents, employees, and IT leadership the visibility they each need — tailored to their role.</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7377" w:val="clear"/>
          </w:tcPr>
          <w:p>
            <w:pPr>
              <w:spacing w:after="80" w:before="80"/>
            </w:pPr>
          </w:p>
        </w:tc>
        <w:tc>
          <w:tcPr>
            <w:tcW w:type="dxa" w:w="9120"/>
            <w:tcBorders>
              <w:top w:val="single" w:color="0D7377" w:sz="1"/>
              <w:left w:val="none" w:color="FFFFFF" w:sz="0"/>
              <w:bottom w:val="single" w:color="0D7377" w:sz="1"/>
              <w:right w:val="single" w:color="0D7377" w:sz="1"/>
            </w:tcBorders>
            <w:shd w:fill="EAF6F6" w:val="clear"/>
            <w:tcMar>
              <w:top w:type="dxa" w:w="120"/>
              <w:left w:type="dxa" w:w="200"/>
              <w:bottom w:type="dxa" w:w="120"/>
              <w:right w:type="dxa" w:w="160"/>
            </w:tcMar>
          </w:tcPr>
          <w:p>
            <w:pPr>
              <w:spacing w:after="80" w:before="80"/>
            </w:pPr>
            <w:r>
              <w:rPr>
                <w:rFonts w:ascii="Calibri" w:cs="Calibri" w:eastAsia="Calibri" w:hAnsi="Calibri"/>
                <w:b/>
                <w:bCs/>
                <w:color w:val="0D7377"/>
                <w:sz w:val="21"/>
                <w:szCs w:val="21"/>
              </w:rPr>
              <w:t xml:space="preserve">Phase 1 Delivery at a Glance</w:t>
            </w:r>
          </w:p>
          <w:p>
            <w:pPr>
              <w:spacing w:after="80" w:before="80"/>
            </w:pPr>
            <w:r>
              <w:rPr>
                <w:rFonts w:ascii="Calibri" w:cs="Calibri" w:eastAsia="Calibri" w:hAnsi="Calibri"/>
                <w:color w:val="444B57"/>
                <w:sz w:val="20"/>
                <w:szCs w:val="20"/>
              </w:rPr>
              <w:t xml:space="preserve">5 Power Automate flows — live in production</w:t>
            </w:r>
          </w:p>
          <w:p>
            <w:pPr>
              <w:spacing w:after="80" w:before="80"/>
            </w:pPr>
            <w:r>
              <w:rPr>
                <w:rFonts w:ascii="Calibri" w:cs="Calibri" w:eastAsia="Calibri" w:hAnsi="Calibri"/>
                <w:color w:val="444B57"/>
                <w:sz w:val="20"/>
                <w:szCs w:val="20"/>
              </w:rPr>
              <w:t xml:space="preserve">Business-hours SLA engine with holiday calendar awareness</w:t>
            </w:r>
          </w:p>
          <w:p>
            <w:pPr>
              <w:spacing w:after="80" w:before="80"/>
            </w:pPr>
            <w:r>
              <w:rPr>
                <w:rFonts w:ascii="Calibri" w:cs="Calibri" w:eastAsia="Calibri" w:hAnsi="Calibri"/>
                <w:color w:val="444B57"/>
                <w:sz w:val="20"/>
                <w:szCs w:val="20"/>
              </w:rPr>
              <w:t xml:space="preserve">8x8 voicemail auto-ticketing — zero agent effort required</w:t>
            </w:r>
          </w:p>
          <w:p>
            <w:pPr>
              <w:spacing w:after="80" w:before="80"/>
            </w:pPr>
            <w:r>
              <w:rPr>
                <w:rFonts w:ascii="Calibri" w:cs="Calibri" w:eastAsia="Calibri" w:hAnsi="Calibri"/>
                <w:color w:val="444B57"/>
                <w:sz w:val="20"/>
                <w:szCs w:val="20"/>
              </w:rPr>
              <w:t xml:space="preserve">AI Builder description cleanup on every incoming ticket</w:t>
            </w:r>
          </w:p>
          <w:p>
            <w:pPr>
              <w:spacing w:after="80" w:before="80"/>
            </w:pPr>
            <w:r>
              <w:rPr>
                <w:rFonts w:ascii="Calibri" w:cs="Calibri" w:eastAsia="Calibri" w:hAnsi="Calibri"/>
                <w:color w:val="444B57"/>
                <w:sz w:val="20"/>
                <w:szCs w:val="20"/>
              </w:rPr>
              <w:t xml:space="preserve">Item-level security — employees see only their own tickets</w:t>
            </w:r>
          </w:p>
          <w:p>
            <w:pPr>
              <w:spacing w:after="80" w:before="80"/>
            </w:pPr>
            <w:r>
              <w:rPr>
                <w:rFonts w:ascii="Calibri" w:cs="Calibri" w:eastAsia="Calibri" w:hAnsi="Calibri"/>
                <w:color w:val="444B57"/>
                <w:sz w:val="20"/>
                <w:szCs w:val="20"/>
              </w:rPr>
              <w:t xml:space="preserve">Estimated market value of delivered work: $18,000 – $28,000 | Contract price: $4,990</w:t>
            </w:r>
          </w:p>
        </w:tc>
      </w:tr>
    </w:tbl>
    <w:p>
      <w:pPr>
        <w:spacing w:after="0" w:before="16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2.  Objectives</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Phase 2 — Intelligence, Experience &amp; Visibility — has three core objectives:</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t>
            </w:r>
          </w:p>
        </w:tc>
        <w:tc>
          <w:tcPr>
            <w:tcW w:type="dxa" w:w="30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Objective</w:t>
            </w:r>
          </w:p>
        </w:tc>
        <w:tc>
          <w:tcPr>
            <w:tcW w:type="dxa" w:w="59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Outcome</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O1</w:t>
            </w:r>
          </w:p>
        </w:tc>
        <w:tc>
          <w:tcPr>
            <w:tcW w:type="dxa" w:w="3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Introduce a conversational AI interface for employees</w:t>
            </w:r>
          </w:p>
        </w:tc>
        <w:tc>
          <w:tcPr>
            <w:tcW w:type="dxa" w:w="5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Employees interact with IT support through natural language in Teams — checking ticket status, submitting requests, and getting answers — without filling out a form or emailing the helpdesk</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O2</w:t>
            </w:r>
          </w:p>
        </w:tc>
        <w:tc>
          <w:tcPr>
            <w:tcW w:type="dxa" w:w="3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Provide role-aware operational dashboards</w:t>
            </w:r>
          </w:p>
        </w:tc>
        <w:tc>
          <w:tcPr>
            <w:tcW w:type="dxa" w:w="5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Agents see their workload and SLA health; employees see their own ticket history; IT leadership sees team performance, SLA compliance, and volume trends — each in a view built for their needs</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O3</w:t>
            </w:r>
          </w:p>
        </w:tc>
        <w:tc>
          <w:tcPr>
            <w:tcW w:type="dxa" w:w="3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Increase platform adoption and close the feedback loop</w:t>
            </w:r>
          </w:p>
        </w:tc>
        <w:tc>
          <w:tcPr>
            <w:tcW w:type="dxa" w:w="5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 more natural entry point (Copilot) and a visible, real-time reporting layer create the engagement and accountability that drive long-term adoption and service improvement</w:t>
            </w:r>
          </w:p>
        </w:tc>
      </w:tr>
    </w:tbl>
    <w:p>
      <w:pPr>
        <w:spacing w:after="0" w:before="16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3.  Phase 2 Solution Overview</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Phase 2 is composed of two integrated components, both built entirely on Microsoft 365 services the city already operates within.</w:t>
      </w:r>
    </w:p>
    <w:p>
      <w:pPr>
        <w:spacing w:after="0" w:before="12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C8913A" w:val="clear"/>
            <w:tcMar>
              <w:top w:type="dxa" w:w="80"/>
              <w:left w:type="dxa" w:w="0"/>
              <w:bottom w:type="dxa" w:w="80"/>
              <w:right w:type="dxa" w:w="0"/>
            </w:tcMar>
          </w:tcPr>
          <w:p>
            <w:pPr>
              <w:spacing w:after="80" w:before="80"/>
            </w:pPr>
          </w:p>
        </w:tc>
        <w:tc>
          <w:tcPr>
            <w:tcW w:type="dxa" w:w="9040"/>
            <w:tcBorders>
              <w:top w:val="none" w:color="FFFFFF" w:sz="0"/>
              <w:left w:val="none" w:color="FFFFFF" w:sz="0"/>
              <w:bottom w:val="none" w:color="FFFFFF" w:sz="0"/>
              <w:right w:val="none" w:color="FFFFFF" w:sz="0"/>
            </w:tcBorders>
            <w:shd w:fill="F2F4F7" w:val="clear"/>
            <w:tcMar>
              <w:top w:type="dxa" w:w="100"/>
              <w:left w:type="dxa" w:w="200"/>
              <w:bottom w:type="dxa" w:w="100"/>
              <w:right w:type="dxa" w:w="120"/>
            </w:tcMar>
          </w:tcPr>
          <w:p>
            <w:pPr>
              <w:spacing w:after="80" w:before="80"/>
            </w:pPr>
            <w:r>
              <w:rPr>
                <w:rFonts w:ascii="Calibri" w:cs="Calibri" w:eastAsia="Calibri" w:hAnsi="Calibri"/>
                <w:b/>
                <w:bCs/>
                <w:color w:val="1B3A6B"/>
                <w:sz w:val="26"/>
                <w:szCs w:val="26"/>
              </w:rPr>
              <w:t xml:space="preserve">Component A — IT Helpdesk Copilot Agent</w:t>
            </w:r>
          </w:p>
          <w:p>
            <w:pPr>
              <w:spacing w:after="80" w:before="80"/>
            </w:pPr>
            <w:r>
              <w:rPr>
                <w:rFonts w:ascii="Calibri" w:cs="Calibri" w:eastAsia="Calibri" w:hAnsi="Calibri"/>
                <w:i/>
                <w:iCs/>
                <w:color w:val="444B57"/>
                <w:sz w:val="19"/>
                <w:szCs w:val="19"/>
              </w:rPr>
              <w:t xml:space="preserve">Microsoft Copilot Studio · Microsoft Teams</w:t>
            </w:r>
          </w:p>
        </w:tc>
      </w:tr>
    </w:tbl>
    <w:p>
      <w:pPr>
        <w:spacing w:after="0" w:before="10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A conversational AI agent named IT Helpdesk, deployed directly inside the IT Issue Tracking &amp; Support Microsoft Teams team. The agent acts as the intelligent front door to the helpdesk — available to every city employee, around the clock, without agent involvement for routine interactions.</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The Copilot Agent is not a simple chatbot with scripted responses. It is grounded in live ticket data from the SharePoint IT Ticket Intake Queue, respects the same item-level security model established in Phase 1, and connects to Power Automate flows to take real actions — creating tickets, sending escalation notifications, and storing satisfaction feedback — on behalf of the employee.</w:t>
      </w:r>
    </w:p>
    <w:p>
      <w:pPr>
        <w:spacing w:after="0" w:before="12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C8913A" w:val="clear"/>
            <w:tcMar>
              <w:top w:type="dxa" w:w="80"/>
              <w:left w:type="dxa" w:w="0"/>
              <w:bottom w:type="dxa" w:w="80"/>
              <w:right w:type="dxa" w:w="0"/>
            </w:tcMar>
          </w:tcPr>
          <w:p>
            <w:pPr>
              <w:spacing w:after="80" w:before="80"/>
            </w:pPr>
          </w:p>
        </w:tc>
        <w:tc>
          <w:tcPr>
            <w:tcW w:type="dxa" w:w="9040"/>
            <w:tcBorders>
              <w:top w:val="none" w:color="FFFFFF" w:sz="0"/>
              <w:left w:val="none" w:color="FFFFFF" w:sz="0"/>
              <w:bottom w:val="none" w:color="FFFFFF" w:sz="0"/>
              <w:right w:val="none" w:color="FFFFFF" w:sz="0"/>
            </w:tcBorders>
            <w:shd w:fill="F2F4F7" w:val="clear"/>
            <w:tcMar>
              <w:top w:type="dxa" w:w="100"/>
              <w:left w:type="dxa" w:w="200"/>
              <w:bottom w:type="dxa" w:w="100"/>
              <w:right w:type="dxa" w:w="120"/>
            </w:tcMar>
          </w:tcPr>
          <w:p>
            <w:pPr>
              <w:spacing w:after="80" w:before="80"/>
            </w:pPr>
            <w:r>
              <w:rPr>
                <w:rFonts w:ascii="Calibri" w:cs="Calibri" w:eastAsia="Calibri" w:hAnsi="Calibri"/>
                <w:b/>
                <w:bCs/>
                <w:color w:val="1B3A6B"/>
                <w:sz w:val="26"/>
                <w:szCs w:val="26"/>
              </w:rPr>
              <w:t xml:space="preserve">Component B — IT Helpdesk Power BI Dashboard Suite</w:t>
            </w:r>
          </w:p>
          <w:p>
            <w:pPr>
              <w:spacing w:after="80" w:before="80"/>
            </w:pPr>
            <w:r>
              <w:rPr>
                <w:rFonts w:ascii="Calibri" w:cs="Calibri" w:eastAsia="Calibri" w:hAnsi="Calibri"/>
                <w:i/>
                <w:iCs/>
                <w:color w:val="444B57"/>
                <w:sz w:val="19"/>
                <w:szCs w:val="19"/>
              </w:rPr>
              <w:t xml:space="preserve">Power BI · SharePoint Online · Microsoft Teams</w:t>
            </w:r>
          </w:p>
        </w:tc>
      </w:tr>
    </w:tbl>
    <w:p>
      <w:pPr>
        <w:spacing w:after="0" w:before="10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Three purpose-built reporting dashboards, each tailored to a distinct audience and published as tabs inside Microsoft Teams so users never need to leave their primary workspace. All dashboards draw from the existing IT Ticket Intake Queue list — no new data warehouse or external database is required.</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Dashboard</w:t>
            </w:r>
          </w:p>
        </w:tc>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Audience</w:t>
            </w:r>
          </w:p>
        </w:tc>
        <w:tc>
          <w:tcPr>
            <w:tcW w:type="dxa" w:w="416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Primary Purpose</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Agent Workload Dashboard</w:t>
            </w:r>
          </w:p>
        </w:tc>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Helpdesk Agents</w:t>
            </w:r>
          </w:p>
        </w:tc>
        <w:tc>
          <w:tcPr>
            <w:tcW w:type="dxa" w:w="4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Real-time view of assigned tickets sorted by SLA urgency, with performance metrics and breach alerts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 Ticket History</w:t>
            </w:r>
          </w:p>
        </w:tc>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City Employees</w:t>
            </w:r>
          </w:p>
        </w:tc>
        <w:tc>
          <w:tcPr>
            <w:tcW w:type="dxa" w:w="41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Personal ticket history, open ticket status, and satisfaction submission history — scoped to the individual employee</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Leadership Executive View</w:t>
            </w:r>
          </w:p>
        </w:tc>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Director &amp; Managers</w:t>
            </w:r>
          </w:p>
        </w:tc>
        <w:tc>
          <w:tcPr>
            <w:tcW w:type="dxa" w:w="4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Operational KPIs, SLA compliance rates, volume trends, agent performance, and top issue categories</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4.  Scope of Work</w:t>
      </w:r>
    </w:p>
    <w:p>
      <w:pPr>
        <w:pBdr>
          <w:bottom w:val="single" w:color="1B3A6B" w:sz="8"/>
        </w:pBdr>
        <w:spacing w:after="200" w:before="200"/>
      </w:pPr>
    </w:p>
    <w:p>
      <w:pPr>
        <w:pStyle w:val="Heading2"/>
        <w:spacing w:after="100" w:before="240"/>
      </w:pPr>
      <w:r>
        <w:rPr>
          <w:rFonts w:ascii="Calibri" w:cs="Calibri" w:eastAsia="Calibri" w:hAnsi="Calibri"/>
          <w:b/>
          <w:bCs/>
          <w:color w:val="0D7377"/>
          <w:sz w:val="26"/>
          <w:szCs w:val="26"/>
        </w:rPr>
        <w:t xml:space="preserve">4.1  Copilot Agent — IT Helpdesk</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The IT Helpdesk Copilot Agent will be configured in Microsoft Copilot Studio and deployed within Microsoft Teams. The following capabilities are included in Phase 2:</w:t>
      </w:r>
    </w:p>
    <w:p>
      <w:pPr>
        <w:spacing w:after="0" w:before="10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Capability</w:t>
            </w:r>
          </w:p>
        </w:tc>
        <w:tc>
          <w:tcPr>
            <w:tcW w:type="dxa" w:w="69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Description</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Ticket Status Lookup</w:t>
            </w:r>
          </w:p>
        </w:tc>
        <w:tc>
          <w:tcPr>
            <w:tcW w:type="dxa" w:w="6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Employees ask in natural language — "What's the status of my ticket?" or "Any update on INC-00042?" — and the agent returns the current status, assigned agent, and SLA target date. Results are scoped to the requesting employee's tickets only, preserving the Phase 1 security model.</w:t>
            </w:r>
          </w:p>
        </w:tc>
      </w:tr>
      <w:tr>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Guided Ticket Submission</w:t>
            </w:r>
          </w:p>
        </w:tc>
        <w:tc>
          <w:tcPr>
            <w:tcW w:type="dxa" w:w="6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Employees initiate a new ticket through conversation. The agent collects the required information — issue title, category, subcategory, priority, description, and location — then calls a Power Automate flow to create the ticket in the IT Ticket Intake Queue. The employee receives a confirmation with their ticket number.</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FAQ — Common Question Answering</w:t>
            </w:r>
          </w:p>
        </w:tc>
        <w:tc>
          <w:tcPr>
            <w:tcW w:type="dxa" w:w="6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answers frequently asked IT questions (password resets, VPN access, software requests, etc.) from a curated knowledge base maintained in a SharePoint list. No ticket is created for questions the agent can answer directly. IT administrators manage the FAQ content without developer involvement.</w:t>
            </w:r>
          </w:p>
        </w:tc>
      </w:tr>
      <w:tr>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Human Agent Handoff</w:t>
            </w:r>
          </w:p>
        </w:tc>
        <w:tc>
          <w:tcPr>
            <w:tcW w:type="dxa" w:w="6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When the agent cannot resolve a query after two attempts, it summarizes the conversation and posts a handoff card to the Agents Private Channel in Teams, alerting an available agent to follow up. The employee is informed that a human agent will reach out.</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Onboarding Experience</w:t>
            </w:r>
          </w:p>
        </w:tc>
        <w:tc>
          <w:tcPr>
            <w:tcW w:type="dxa" w:w="6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New users who interact with the agent for the first time — or who type "help" — receive a welcome message listing all available capabilities with example phrases, so adoption is frictionless.</w:t>
            </w:r>
          </w:p>
        </w:tc>
      </w:tr>
    </w:tbl>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8913A" w:val="clear"/>
          </w:tcPr>
          <w:p>
            <w:pPr>
              <w:spacing w:after="80" w:before="80"/>
            </w:pPr>
          </w:p>
        </w:tc>
        <w:tc>
          <w:tcPr>
            <w:tcW w:type="dxa" w:w="9120"/>
            <w:tcBorders>
              <w:top w:val="single" w:color="C8913A" w:sz="1"/>
              <w:left w:val="none" w:color="FFFFFF" w:sz="0"/>
              <w:bottom w:val="single" w:color="C8913A" w:sz="1"/>
              <w:right w:val="single" w:color="C8913A" w:sz="1"/>
            </w:tcBorders>
            <w:shd w:fill="EAF6F6" w:val="clear"/>
            <w:tcMar>
              <w:top w:type="dxa" w:w="120"/>
              <w:left w:type="dxa" w:w="200"/>
              <w:bottom w:type="dxa" w:w="120"/>
              <w:right w:type="dxa" w:w="160"/>
            </w:tcMar>
          </w:tcPr>
          <w:p>
            <w:pPr>
              <w:spacing w:after="80" w:before="80"/>
            </w:pPr>
            <w:r>
              <w:rPr>
                <w:rFonts w:ascii="Calibri" w:cs="Calibri" w:eastAsia="Calibri" w:hAnsi="Calibri"/>
                <w:b/>
                <w:bCs/>
                <w:color w:val="C8913A"/>
                <w:sz w:val="21"/>
                <w:szCs w:val="21"/>
              </w:rPr>
              <w:t xml:space="preserve">Supporting Infrastructure for the Copilot Agent</w:t>
            </w:r>
          </w:p>
          <w:p>
            <w:pPr>
              <w:spacing w:after="80" w:before="80"/>
            </w:pPr>
            <w:r>
              <w:rPr>
                <w:rFonts w:ascii="Calibri" w:cs="Calibri" w:eastAsia="Calibri" w:hAnsi="Calibri"/>
                <w:color w:val="444B57"/>
                <w:sz w:val="20"/>
                <w:szCs w:val="20"/>
              </w:rPr>
              <w:t xml:space="preserve">IT Helpdesk FAQ List (new SharePoint list) — stores question/answer pairs by IT category; managed by IT staff without developer support</w:t>
            </w:r>
          </w:p>
          <w:p>
            <w:pPr>
              <w:spacing w:after="80" w:before="80"/>
            </w:pPr>
            <w:r>
              <w:rPr>
                <w:rFonts w:ascii="Calibri" w:cs="Calibri" w:eastAsia="Calibri" w:hAnsi="Calibri"/>
                <w:color w:val="444B57"/>
                <w:sz w:val="20"/>
                <w:szCs w:val="20"/>
              </w:rPr>
              <w:t xml:space="preserve">Flow 6 — Copilot-to-Ticket (new Power Automate flow) — receives ticket data from the Copilot conversation and creates the item in the IT Ticket Intake Queue, triggering the existing Provision Ticket Flow automatically</w:t>
            </w:r>
          </w:p>
          <w:p>
            <w:pPr>
              <w:spacing w:after="80" w:before="80"/>
            </w:pPr>
            <w:r>
              <w:rPr>
                <w:rFonts w:ascii="Calibri" w:cs="Calibri" w:eastAsia="Calibri" w:hAnsi="Calibri"/>
                <w:color w:val="444B57"/>
                <w:sz w:val="20"/>
                <w:szCs w:val="20"/>
              </w:rPr>
              <w:t xml:space="preserve">IT Ticket Intake Queue — minor column additions only: Source value 'Copilot' added to the existing Source choice field</w:t>
            </w:r>
          </w:p>
        </w:tc>
      </w:tr>
    </w:tbl>
    <w:p>
      <w:pPr>
        <w:spacing w:after="0" w:before="160"/>
      </w:pPr>
      <w:r>
        <w:rPr>
          <w:rFonts w:ascii="Calibri" w:cs="Calibri" w:eastAsia="Calibri" w:hAnsi="Calibri"/>
          <w:color w:val="1A1A1A"/>
          <w:sz w:val="22"/>
          <w:szCs w:val="22"/>
        </w:rPr>
        <w:t xml:space="preserve"/>
      </w:r>
    </w:p>
    <w:p>
      <w:pPr>
        <w:pStyle w:val="Heading2"/>
        <w:spacing w:after="100" w:before="240"/>
      </w:pPr>
      <w:r>
        <w:rPr>
          <w:rFonts w:ascii="Calibri" w:cs="Calibri" w:eastAsia="Calibri" w:hAnsi="Calibri"/>
          <w:b/>
          <w:bCs/>
          <w:color w:val="0D7377"/>
          <w:sz w:val="26"/>
          <w:szCs w:val="26"/>
        </w:rPr>
        <w:t xml:space="preserve">4.2  Power BI Dashboard Suite</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Three Power BI reports will be built, published to a Power BI workspace, and embedded as tabs within the appropriate Microsoft Teams channels. Row-Level Security (RLS) ensures each audience sees exactly the data they are entitled to — and nothing more.</w:t>
      </w:r>
    </w:p>
    <w:p>
      <w:pPr>
        <w:spacing w:after="0" w:before="120"/>
      </w:pPr>
      <w:r>
        <w:rPr>
          <w:rFonts w:ascii="Calibri" w:cs="Calibri" w:eastAsia="Calibri" w:hAnsi="Calibri"/>
          <w:color w:val="1A1A1A"/>
          <w:sz w:val="22"/>
          <w:szCs w:val="22"/>
        </w:rPr>
        <w:t xml:space="preserve"/>
      </w:r>
    </w:p>
    <w:p>
      <w:pPr>
        <w:pStyle w:val="Heading3"/>
        <w:spacing w:after="80" w:before="180"/>
      </w:pPr>
      <w:r>
        <w:rPr>
          <w:rFonts w:ascii="Calibri" w:cs="Calibri" w:eastAsia="Calibri" w:hAnsi="Calibri"/>
          <w:b/>
          <w:bCs/>
          <w:color w:val="444B57"/>
          <w:sz w:val="23"/>
          <w:szCs w:val="23"/>
        </w:rPr>
        <w:t xml:space="preserve">Agent Workload &amp; Performance Dashboard</w:t>
      </w:r>
    </w:p>
    <w:p>
      <w:pPr>
        <w:spacing w:after="0" w:before="6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Designed for daily use by IT helpdesk agents. The dashboard gives each agent a real-time snapshot of their workload, their SLA health, and their performance metrics — without requiring them to build any views or run any exports.</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Visual / Element</w:t>
            </w:r>
          </w:p>
        </w:tc>
        <w:tc>
          <w:tcPr>
            <w:tcW w:type="dxa" w:w="656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What It Shows</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My Open Tickets — Priority Table</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All open tickets assigned to the logged-in agent, sorted by SLA Target ascending. Columns: Ticket Number, Title, Priority, Status, SLA Target, Hours Remaining. Tickets past their SLA Target are flagged as BREACHED in red.</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SLA Breach Warning Indicator</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Tickets with fewer than 2 hours remaining before SLA breach are highlighted in amber as a proactive alert, giving agents time to act before the deadline is missed.</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Closure Metrics — This Week / Month</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KPI cards showing: Tickets Closed (This Week), Tickets Closed (This Month), Average Resolution Time (hours), and SLA Compliance Percentage.</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Ticket Volume by Category</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 bar chart showing the agent's current-month ticket distribution across IT categories — surfaces where the agent is spending most of their time.</w:t>
            </w:r>
          </w:p>
        </w:tc>
      </w:tr>
    </w:tbl>
    <w:p>
      <w:pPr>
        <w:spacing w:after="0" w:before="120"/>
      </w:pPr>
      <w:r>
        <w:rPr>
          <w:rFonts w:ascii="Calibri" w:cs="Calibri" w:eastAsia="Calibri" w:hAnsi="Calibri"/>
          <w:color w:val="1A1A1A"/>
          <w:sz w:val="22"/>
          <w:szCs w:val="22"/>
        </w:rPr>
        <w:t xml:space="preserve"/>
      </w:r>
    </w:p>
    <w:p>
      <w:pPr>
        <w:pStyle w:val="Heading3"/>
        <w:spacing w:after="80" w:before="180"/>
      </w:pPr>
      <w:r>
        <w:rPr>
          <w:rFonts w:ascii="Calibri" w:cs="Calibri" w:eastAsia="Calibri" w:hAnsi="Calibri"/>
          <w:b/>
          <w:bCs/>
          <w:color w:val="444B57"/>
          <w:sz w:val="23"/>
          <w:szCs w:val="23"/>
        </w:rPr>
        <w:t xml:space="preserve">Employee Self-Service Ticket History</w:t>
      </w:r>
    </w:p>
    <w:p>
      <w:pPr>
        <w:spacing w:after="0" w:before="6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Designed for city employees who want visibility into their own support history. The dashboard is scoped by Row-Level Security to the logged-in employee — they see their tickets and only their tickets.</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Visual / Element</w:t>
            </w:r>
          </w:p>
        </w:tc>
        <w:tc>
          <w:tcPr>
            <w:tcW w:type="dxa" w:w="696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What It Shows</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My Open Tickets</w:t>
            </w:r>
          </w:p>
        </w:tc>
        <w:tc>
          <w:tcPr>
            <w:tcW w:type="dxa" w:w="6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Active tickets at the top of the page with status badge, priority, assigned agent, and SLA target date — giving employees a self-service answer to 'what happened to my ticket?'</w:t>
            </w:r>
          </w:p>
        </w:tc>
      </w:tr>
      <w:tr>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My Ticket History</w:t>
            </w:r>
          </w:p>
        </w:tc>
        <w:tc>
          <w:tcPr>
            <w:tcW w:type="dxa" w:w="6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Full history table: Ticket Number, Title, Category, Priority, Submitted Date, Closed Date, Assigned Agent, and final Status. Sortable and filterable by date range and status.</w:t>
            </w:r>
          </w:p>
        </w:tc>
      </w:tr>
    </w:tbl>
    <w:p>
      <w:pPr>
        <w:spacing w:after="0" w:before="120"/>
      </w:pPr>
      <w:r>
        <w:rPr>
          <w:rFonts w:ascii="Calibri" w:cs="Calibri" w:eastAsia="Calibri" w:hAnsi="Calibri"/>
          <w:color w:val="1A1A1A"/>
          <w:sz w:val="22"/>
          <w:szCs w:val="22"/>
        </w:rPr>
        <w:t xml:space="preserve"/>
      </w:r>
    </w:p>
    <w:p>
      <w:pPr>
        <w:pStyle w:val="Heading3"/>
        <w:spacing w:after="80" w:before="180"/>
      </w:pPr>
      <w:r>
        <w:rPr>
          <w:rFonts w:ascii="Calibri" w:cs="Calibri" w:eastAsia="Calibri" w:hAnsi="Calibri"/>
          <w:b/>
          <w:bCs/>
          <w:color w:val="444B57"/>
          <w:sz w:val="23"/>
          <w:szCs w:val="23"/>
        </w:rPr>
        <w:t xml:space="preserve">IT Leadership Executive Dashboard</w:t>
      </w:r>
    </w:p>
    <w:p>
      <w:pPr>
        <w:spacing w:after="0" w:before="60"/>
      </w:pPr>
      <w:r>
        <w:rPr>
          <w:rFonts w:ascii="Calibri" w:cs="Calibri" w:eastAsia="Calibri" w:hAnsi="Calibri"/>
          <w:color w:val="1A1A1A"/>
          <w:sz w:val="22"/>
          <w:szCs w:val="22"/>
        </w:rPr>
        <w:t xml:space="preserve"/>
      </w:r>
    </w:p>
    <w:p>
      <w:pPr>
        <w:spacing w:after="80" w:before="80"/>
      </w:pPr>
      <w:r>
        <w:rPr>
          <w:rFonts w:ascii="Calibri" w:cs="Calibri" w:eastAsia="Calibri" w:hAnsi="Calibri"/>
          <w:color w:val="1A1A1A"/>
          <w:sz w:val="22"/>
          <w:szCs w:val="22"/>
        </w:rPr>
        <w:t xml:space="preserve">Designed for Rob Nunley and IT managers. Provides the operational visibility needed to evaluate team performance, identify systemic issues, and make resource decisions — from a single, auto-refreshing dashboard.</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Visual / Element</w:t>
            </w:r>
          </w:p>
        </w:tc>
        <w:tc>
          <w:tcPr>
            <w:tcW w:type="dxa" w:w="656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What It Shows</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Volume Trend — Weekly &amp; Monthly</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Line charts showing total tickets created per week (last 12 weeks) and per month (last 12 months) with a trendline, surfacing demand patterns and seasonal spikes.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SLA Compliance Scorecard</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Overall SLA compliance KPI card (% tickets closed within SLA) plus a sortable agent-by-agent compliance table showing tickets closed, SLA met, SLA breached, and compliance rate per agent.</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Average Resolution Time Matrix</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 table showing average resolution time in hours, broken down by Category — identifies where the team consistently struggles and where investment in knowledge or staffing may be needed.</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Top Issue Categories</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 ranked bar chart of the top 10 most frequent Category/Subcategory combinations for the current month and all time — informs training, knowledge base, and self-service priorities.</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Ticket Submission Heatmap</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 matrix of tickets by Day of Week × Hour of Day, revealing peak submission windows. Supports staffing decisions — for example, identifying if Monday mornings require additional agent coverage.</w:t>
            </w:r>
          </w:p>
        </w:tc>
      </w:tr>
    </w:tbl>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3A6B" w:val="clear"/>
          </w:tcPr>
          <w:p>
            <w:pPr>
              <w:spacing w:after="80" w:before="80"/>
            </w:pPr>
          </w:p>
        </w:tc>
        <w:tc>
          <w:tcPr>
            <w:tcW w:type="dxa" w:w="9120"/>
            <w:tcBorders>
              <w:top w:val="single" w:color="1B3A6B" w:sz="1"/>
              <w:left w:val="none" w:color="FFFFFF" w:sz="0"/>
              <w:bottom w:val="single" w:color="1B3A6B" w:sz="1"/>
              <w:right w:val="single" w:color="1B3A6B" w:sz="1"/>
            </w:tcBorders>
            <w:shd w:fill="EAF6F6" w:val="clear"/>
            <w:tcMar>
              <w:top w:type="dxa" w:w="120"/>
              <w:left w:type="dxa" w:w="200"/>
              <w:bottom w:type="dxa" w:w="120"/>
              <w:right w:type="dxa" w:w="160"/>
            </w:tcMar>
          </w:tcPr>
          <w:p>
            <w:pPr>
              <w:spacing w:after="80" w:before="80"/>
            </w:pPr>
            <w:r>
              <w:rPr>
                <w:rFonts w:ascii="Calibri" w:cs="Calibri" w:eastAsia="Calibri" w:hAnsi="Calibri"/>
                <w:b/>
                <w:bCs/>
                <w:color w:val="1B3A6B"/>
                <w:sz w:val="21"/>
                <w:szCs w:val="21"/>
              </w:rPr>
              <w:t xml:space="preserve">Row-Level Security — How It Works</w:t>
            </w:r>
          </w:p>
          <w:p>
            <w:pPr>
              <w:spacing w:after="80" w:before="80"/>
            </w:pPr>
            <w:r>
              <w:rPr>
                <w:rFonts w:ascii="Calibri" w:cs="Calibri" w:eastAsia="Calibri" w:hAnsi="Calibri"/>
                <w:color w:val="444B57"/>
                <w:sz w:val="20"/>
                <w:szCs w:val="20"/>
              </w:rPr>
              <w:t xml:space="preserve">Agent Dashboard: Each agent sees only their own assigned tickets. No agent can view another agent's queue or performance metrics.</w:t>
            </w:r>
          </w:p>
          <w:p>
            <w:pPr>
              <w:spacing w:after="80" w:before="80"/>
            </w:pPr>
            <w:r>
              <w:rPr>
                <w:rFonts w:ascii="Calibri" w:cs="Calibri" w:eastAsia="Calibri" w:hAnsi="Calibri"/>
                <w:color w:val="444B57"/>
                <w:sz w:val="20"/>
                <w:szCs w:val="20"/>
              </w:rPr>
              <w:t xml:space="preserve">Employee Dashboard: Each employee sees only their own ticket history. No employee can view any other employee's records.</w:t>
            </w:r>
          </w:p>
          <w:p>
            <w:pPr>
              <w:spacing w:after="80" w:before="80"/>
            </w:pPr>
            <w:r>
              <w:rPr>
                <w:rFonts w:ascii="Calibri" w:cs="Calibri" w:eastAsia="Calibri" w:hAnsi="Calibri"/>
                <w:color w:val="444B57"/>
                <w:sz w:val="20"/>
                <w:szCs w:val="20"/>
              </w:rPr>
              <w:t xml:space="preserve">Leadership Dashboard: IT Managers and the IT Director see all data across all agents, all categories, and all time periods.</w:t>
            </w:r>
          </w:p>
          <w:p>
            <w:pPr>
              <w:spacing w:after="80" w:before="80"/>
            </w:pPr>
            <w:r>
              <w:rPr>
                <w:rFonts w:ascii="Calibri" w:cs="Calibri" w:eastAsia="Calibri" w:hAnsi="Calibri"/>
                <w:color w:val="444B57"/>
                <w:sz w:val="20"/>
                <w:szCs w:val="20"/>
              </w:rPr>
              <w:t xml:space="preserve">RLS roles are mapped to the existing Phase 1 SharePoint security groups — no new user provisioning is required.</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5.  Out of Scope</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The following capabilities are intentionally excluded from Phase 2. They may be addressed in a future engagement or separate Statement of Work:</w:t>
      </w:r>
    </w:p>
    <w:p>
      <w:pPr>
        <w:spacing w:after="0" w:before="10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Item</w:t>
            </w:r>
          </w:p>
        </w:tc>
        <w:tc>
          <w:tcPr>
            <w:tcW w:type="dxa" w:w="6560"/>
            <w:gridSpan w:val="1"/>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Notes</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Customer Satisfaction (CSAT) surveys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CSAT survey automation and satisfaction score reporting are reserved for a future phase. The data model established in Phase 2 will support this addition without restructuring.</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Ticket escalation via Copilot</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Escalation notification logic is not included in Phase 2 scope. Escalation may be added to the Copilot in a future enhancement.</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Knowledge base with faceted search</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 searchable, category-filtered IT knowledge base experience is a Phase 3 item.</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Self-service ticket resolution automation</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Automated resolution workflows triggered through the Copilot (e.g., password reset execution) are out of scope.</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Power BI Premium features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Paginated reports, dataflows, and composite models are not included. Standard Power BI Pro is sufficient for Phase 2 requirements.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Modifications to Phase 1 flows</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Phase 1 Power Automate flows will not be modified unless a minor, non-breaking column addition to the IT Ticket Intake Queue is required to support the Copilot intake path.</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External ITSM integrations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No integrations with ServiceNow, Jira, or other third-party platforms are included.</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Asset and configuration management</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asset tracking and CMDB capabilities are out of scope for all phases currently defined.</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6.  Requirements</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The following requirements define the expected behaviors of each Phase 2 component. Requirements are grouped by feature area and written as verifiable, testable statements.</w:t>
      </w:r>
    </w:p>
    <w:p>
      <w:pPr>
        <w:spacing w:after="0" w:before="120"/>
      </w:pPr>
      <w:r>
        <w:rPr>
          <w:rFonts w:ascii="Calibri" w:cs="Calibri" w:eastAsia="Calibri" w:hAnsi="Calibri"/>
          <w:color w:val="1A1A1A"/>
          <w:sz w:val="22"/>
          <w:szCs w:val="22"/>
        </w:rPr>
        <w:t xml:space="preserve"/>
      </w:r>
    </w:p>
    <w:p>
      <w:pPr>
        <w:pStyle w:val="Heading2"/>
        <w:spacing w:after="100" w:before="240"/>
      </w:pPr>
      <w:r>
        <w:rPr>
          <w:rFonts w:ascii="Calibri" w:cs="Calibri" w:eastAsia="Calibri" w:hAnsi="Calibri"/>
          <w:b/>
          <w:bCs/>
          <w:color w:val="0D7377"/>
          <w:sz w:val="26"/>
          <w:szCs w:val="26"/>
        </w:rPr>
        <w:t xml:space="preserve">6.1  Copilot Agent Requirements</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Req ID</w:t>
            </w:r>
          </w:p>
        </w:tc>
        <w:tc>
          <w:tcPr>
            <w:tcW w:type="dxa" w:w="67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Requirement Statement</w:t>
            </w:r>
          </w:p>
        </w:tc>
        <w:tc>
          <w:tcPr>
            <w:tcW w:type="dxa" w:w="1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Priority</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CA-01</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Copilot Agent shall be accessible to all employees and agents within the IT Issue Tracking &amp; Support Microsoft Teams team.</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CA-02</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shall respond to natural-language ticket status queries and return the ticket number, current status, assigned agent name, and SLA target date.</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CA-03</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Ticket status results returned by the agent shall be scoped to the requesting employee's own tickets only — the agent shall not expose any other employee's ticket data.</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CA-04</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shall guide employees through new ticket submission via a structured conversation, collecting: issue title, category, subcategory, priority, description, and location.</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CA-05</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Upon completion of a guided ticket submission, the agent shall call a Power Automate flow (Flow 6) to create the ticket in the IT Ticket Intake Queue and return the generated ticket number to the employee as a confirmation message.</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CA-06</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shall answer common IT support questions by querying a SharePoint-based FAQ list at runtime, returning a plain-text answer to the employee without creating a ticket.</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CA-07</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When the FAQ list contains no answer matching the employee's question, the agent shall offer to create a support ticket on their behalf.</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CA-08</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When the agent cannot resolve an employee's query after two interaction attempts, it shall post a handoff summary card to the Agents Private Channel and notify the employee that a human agent will follow up.</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CA-09</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IT Helpdesk FAQ list shall be manageable by IT administrators in SharePoint without any changes to Copilot Studio configuration.</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CA-10</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shall present a welcome/onboarding message listing all available capabilities when a user types 'help' or initiates a first interaction.</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Should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CA-11</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Flow 6 (Copilot-to-Ticket) shall create tickets in the IT Ticket Intake Queue with Source = 'Copilot' and shall trigger the existing Provision Ticket Flow automatically upon item creation.</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bl>
    <w:p>
      <w:pPr>
        <w:spacing w:after="0" w:before="160"/>
      </w:pPr>
      <w:r>
        <w:rPr>
          <w:rFonts w:ascii="Calibri" w:cs="Calibri" w:eastAsia="Calibri" w:hAnsi="Calibri"/>
          <w:color w:val="1A1A1A"/>
          <w:sz w:val="22"/>
          <w:szCs w:val="22"/>
        </w:rPr>
        <w:t xml:space="preserve"/>
      </w:r>
    </w:p>
    <w:p>
      <w:pPr>
        <w:pStyle w:val="Heading2"/>
        <w:spacing w:after="100" w:before="240"/>
      </w:pPr>
      <w:r>
        <w:rPr>
          <w:rFonts w:ascii="Calibri" w:cs="Calibri" w:eastAsia="Calibri" w:hAnsi="Calibri"/>
          <w:b/>
          <w:bCs/>
          <w:color w:val="0D7377"/>
          <w:sz w:val="26"/>
          <w:szCs w:val="26"/>
        </w:rPr>
        <w:t xml:space="preserve">6.2  Power BI Dashboard Requirements</w:t>
      </w: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Req ID</w:t>
            </w:r>
          </w:p>
        </w:tc>
        <w:tc>
          <w:tcPr>
            <w:tcW w:type="dxa" w:w="676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Requirement Statement</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Priority</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DB-01</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All three dashboards shall connect directly to the IT Ticket Intake Queue SharePoint list as their primary data source. No new databases or external data stores are required.</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DB-02</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Power BI dataset shall refresh on a minimum schedule of every 4 hours during business hours (Pacific Time, Monday–Friday).</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DB-03</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Row-Level Security (RLS) shall be implemented so that: agents see only their own assigned tickets; employees see only their own submitted tickets; IT leadership sees all data across all agents and requesters.</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DB-04</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All three dashboards shall be published to a Power BI workspace and embedded as tabs within the appropriate Microsoft Teams channels, accessible without leaving Teams.</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DB-05</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Workload Dashboard shall display the logged-in agent's open tickets sorted by SLA Target date ascending, with a visual BREACHED indicator for tickets past their SLA deadline.</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DB-06</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Workload Dashboard shall flag tickets with fewer than 2 hours remaining before SLA breach using an amber visual warning indicator.</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DB-07</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Workload Dashboard shall display KPI cards for: Tickets Closed This Week, Tickets Closed This Month, Average Resolution Time (hours), and SLA Compliance Percentage.</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DB-08</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Agent Workload Dashboard shall include a chart showing the agent's current-month ticket distribution by IT category.</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Should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DB-09</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Employee Ticket History Dashboard shall display the logged-in employee's open tickets at the top of the page with current status, assigned agent, and SLA target date.</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DB-10</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Employee Ticket History Dashboard shall display a full ticket history table filterable by date range and status.</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DB-11</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Leadership Executive Dashboard shall display weekly and monthly ticket volume trend charts covering the last 12 weeks and 12 months respectively.</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DB-12</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Leadership Executive Dashboard shall display an overall SLA compliance KPI and an agent-by-agent SLA compliance table.</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DB-13</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Leadership Executive Dashboard shall display average ticket resolution time broken down by IT category.</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DB-14</w:t>
            </w:r>
          </w:p>
        </w:tc>
        <w:tc>
          <w:tcPr>
            <w:tcW w:type="dxa" w:w="67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Leadership Executive Dashboard shall display a ranked chart of the top 10 most frequent Category/Subcategory combinations.</w:t>
            </w:r>
          </w:p>
        </w:tc>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Must Have</w:t>
            </w:r>
          </w:p>
        </w:tc>
      </w:tr>
      <w:tr>
        <w:tc>
          <w:tcPr>
            <w:tcW w:type="dxa" w:w="1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DB-15</w:t>
            </w:r>
          </w:p>
        </w:tc>
        <w:tc>
          <w:tcPr>
            <w:tcW w:type="dxa" w:w="67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Leadership Executive Dashboard shall display a ticket submission heatmap showing volume by Day of Week and Hour of Day.</w:t>
            </w:r>
          </w:p>
        </w:tc>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Should Have</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7.  Deliverables</w:t>
      </w:r>
    </w:p>
    <w:p>
      <w:pPr>
        <w:pBdr>
          <w:bottom w:val="single" w:color="1B3A6B" w:sz="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t>
            </w:r>
          </w:p>
        </w:tc>
        <w:tc>
          <w:tcPr>
            <w:tcW w:type="dxa" w:w="2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Deliverable</w:t>
            </w:r>
          </w:p>
        </w:tc>
        <w:tc>
          <w:tcPr>
            <w:tcW w:type="dxa" w:w="61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Description</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1</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Helpdesk Copilot Agent</w:t>
            </w:r>
          </w:p>
        </w:tc>
        <w:tc>
          <w:tcPr>
            <w:tcW w:type="dxa" w:w="6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Fully configured Copilot Studio agent deployed in Teams with all four interaction topics: ticket status lookup, guided ticket submission, FAQ answering, and agent handoff</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2</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Helpdesk FAQ SharePoint List</w:t>
            </w:r>
          </w:p>
        </w:tc>
        <w:tc>
          <w:tcPr>
            <w:tcW w:type="dxa" w:w="61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New SharePoint list with schema defined, seeded with initial FAQ articles across primary IT categories; administrator documentation included</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3</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Flow 6 — Copilot-to-Ticket</w:t>
            </w:r>
          </w:p>
        </w:tc>
        <w:tc>
          <w:tcPr>
            <w:tcW w:type="dxa" w:w="6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New Power Automate flow that receives ticket data from Copilot, creates the item in IT Ticket Intake Queue with Source = 'Copilot', and triggers the Provision Ticket Flow</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4</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Power BI Dataset</w:t>
            </w:r>
          </w:p>
        </w:tc>
        <w:tc>
          <w:tcPr>
            <w:tcW w:type="dxa" w:w="61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Configured Power BI dataset connected to the IT Ticket Intake Queue SharePoint list, with scheduled refresh and RLS roles defined</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5</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Agent Workload &amp; Performance Dashboard</w:t>
            </w:r>
          </w:p>
        </w:tc>
        <w:tc>
          <w:tcPr>
            <w:tcW w:type="dxa" w:w="6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Published Power BI report with open ticket queue, SLA breach indicators, closure KPIs, and category breakdown — embedded in Teams Agents Private Channel</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6</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 Ticket History Dashboard</w:t>
            </w:r>
          </w:p>
        </w:tc>
        <w:tc>
          <w:tcPr>
            <w:tcW w:type="dxa" w:w="61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Published Power BI report scoped to the logged-in employee — open tickets, full history, filterable — embedded in Teams Issue Tracking Channel</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7</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Leadership Executive Dashboard</w:t>
            </w:r>
          </w:p>
        </w:tc>
        <w:tc>
          <w:tcPr>
            <w:tcW w:type="dxa" w:w="6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Published Power BI report with volume trends, SLA compliance scorecard, resolution time analysis, top categories, and submission heatmap — accessible to IT leadership</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8</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Row-Level Security Configuration</w:t>
            </w:r>
          </w:p>
        </w:tc>
        <w:tc>
          <w:tcPr>
            <w:tcW w:type="dxa" w:w="61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RLS roles configured and validated for all three dashboard audiences; verified that no data leakage occurs across roles</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9</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 Copilot Quick-Start Guide</w:t>
            </w:r>
          </w:p>
        </w:tc>
        <w:tc>
          <w:tcPr>
            <w:tcW w:type="dxa" w:w="6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One-page reference guide showing employees how to interact with the IT Helpdesk Copilot Agent — what it can do and example phrases to use</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10</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Dashboard User Guides (3)</w:t>
            </w:r>
          </w:p>
        </w:tc>
        <w:tc>
          <w:tcPr>
            <w:tcW w:type="dxa" w:w="61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Audience-specific reference guides for the Agent Dashboard, Employee Dashboard, and Leadership Dashboard</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11</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Administrator Handoff Documentation</w:t>
            </w:r>
          </w:p>
        </w:tc>
        <w:tc>
          <w:tcPr>
            <w:tcW w:type="dxa" w:w="61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Documentation covering the IT Helpdesk FAQ list governance process, Power BI workspace configuration, and the new flow integration</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8.  Project Timeline</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Phase 2 is estimated at three weeks of active development, with a structured weekly cadence that ensures the client sees working software at the end of every week rather than waiting until the final day.</w:t>
      </w:r>
    </w:p>
    <w:p>
      <w:pPr>
        <w:spacing w:after="0" w:before="12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960"/>
        <w:gridCol w:w="2400"/>
      </w:tblGrid>
      <w:tr>
        <w:tc>
          <w:tcPr>
            <w:tcW w:type="dxa" w:w="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Week</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Focus Area</w:t>
            </w:r>
          </w:p>
        </w:tc>
        <w:tc>
          <w:tcPr>
            <w:tcW w:type="dxa" w:w="39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Key Activities</w:t>
            </w:r>
          </w:p>
        </w:tc>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Client Checkpoint</w:t>
            </w:r>
          </w:p>
        </w:tc>
      </w:tr>
      <w:tr>
        <w:tc>
          <w:tcPr>
            <w:tcW w:type="dxa" w:w="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Week 1</w:t>
            </w:r>
          </w:p>
        </w:tc>
        <w:tc>
          <w:tcPr>
            <w:tcW w:type="dxa" w:w="22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Foundation &amp; Copilot Core</w:t>
            </w:r>
          </w:p>
        </w:tc>
        <w:tc>
          <w:tcPr>
            <w:tcW w:type="dxa" w:w="3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Helpdesk FAQ list built and seeded · Flow 6 (Copilot-to-Ticket) developed · Copilot Agent created in Copilot Studio · Ticket status lookup and guided ticket submission topics configured and tested</w:t>
            </w:r>
          </w:p>
        </w:tc>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Live demo: employee submits ticket via Copilot; ticket appears in SharePoint</w:t>
            </w:r>
          </w:p>
        </w:tc>
      </w:tr>
      <w:tr>
        <w:tc>
          <w:tcPr>
            <w:tcW w:type="dxa" w:w="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Week 2</w:t>
            </w:r>
          </w:p>
        </w:tc>
        <w:tc>
          <w:tcPr>
            <w:tcW w:type="dxa" w:w="22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Copilot Intelligence &amp; Agent Dashboard</w:t>
            </w:r>
          </w:p>
        </w:tc>
        <w:tc>
          <w:tcPr>
            <w:tcW w:type="dxa" w:w="3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Copilot FAQ topic and agent handoff topic completed · Power BI dataset configured with RLS · Agent Workload Dashboard built and validated · Employee Ticket History Dashboard built and validated</w:t>
            </w:r>
          </w:p>
        </w:tc>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Live demo: full Copilot conversation flow; Agent and Employee dashboards with live data</w:t>
            </w:r>
          </w:p>
        </w:tc>
      </w:tr>
      <w:tr>
        <w:tc>
          <w:tcPr>
            <w:tcW w:type="dxa" w:w="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Week 3</w:t>
            </w:r>
          </w:p>
        </w:tc>
        <w:tc>
          <w:tcPr>
            <w:tcW w:type="dxa" w:w="22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Leadership Dashboard · Testing · Go-Live</w:t>
            </w:r>
          </w:p>
        </w:tc>
        <w:tc>
          <w:tcPr>
            <w:tcW w:type="dxa" w:w="3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Leadership Executive Dashboard completed · End-to-end testing across all components · RLS validation for all three roles · Dashboards and Copilot published to Teams production · User guides delivered</w:t>
            </w:r>
          </w:p>
        </w:tc>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Full platform review with Rob Nunley; go-live approval; handoff session</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9.  Project Investment</w:t>
      </w:r>
    </w:p>
    <w:p>
      <w:pPr>
        <w:pBdr>
          <w:bottom w:val="single" w:color="1B3A6B" w:sz="8"/>
        </w:pBdr>
        <w:spacing w:after="200" w:before="200"/>
      </w:pPr>
    </w:p>
    <w:p>
      <w:pPr>
        <w:spacing w:after="0" w:before="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Phase 2 Engagement — Fixed Price</w:t>
            </w:r>
          </w:p>
        </w:tc>
        <w:tc>
          <w:tcPr>
            <w:tcW w:type="dxa" w:w="2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Investment</w:t>
            </w:r>
          </w:p>
        </w:tc>
      </w:tr>
      <w:tr>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Helpdesk Copilot Agent (Copilot Studio configuration, all topics, Power Automate integration)</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Helpdesk FAQ SharePoint List (schema, initial content, documentation)</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Flow 6 — Copilot-to-Ticket Power Automate Flow</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Power BI Dataset (SharePoint connector, RLS, scheduled refresh)</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Agent Workload &amp; Performance Dashboard</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Employee Ticket History Dashboard</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Leadership Executive Dashboard</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Row-Level Security — all three audience roles</w:t>
            </w:r>
          </w:p>
        </w:tc>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User guides and administrator handoff documentation</w:t>
            </w:r>
          </w:p>
        </w:tc>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Included</w:t>
            </w:r>
          </w:p>
        </w:tc>
      </w:tr>
      <w:tr>
        <w:tc>
          <w:tcPr>
            <w:tcW w:type="dxa" w:w="6560"/>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spacing w:after="80" w:before="80"/>
            </w:pPr>
            <w:r>
              <w:rPr>
                <w:rFonts w:ascii="Calibri" w:cs="Calibri" w:eastAsia="Calibri" w:hAnsi="Calibri"/>
                <w:b/>
                <w:bCs/>
                <w:color w:val="FFFFFF"/>
                <w:sz w:val="22"/>
                <w:szCs w:val="22"/>
              </w:rPr>
              <w:t xml:space="preserve">Total Fixed-Price Investment — Phase 2</w:t>
            </w:r>
          </w:p>
        </w:tc>
        <w:tc>
          <w:tcPr>
            <w:tcW w:type="dxa" w:w="2800"/>
            <w:tcBorders>
              <w:top w:val="single" w:color="C8913A" w:sz="1"/>
              <w:left w:val="single" w:color="C8913A" w:sz="1"/>
              <w:bottom w:val="single" w:color="C8913A" w:sz="1"/>
              <w:right w:val="single" w:color="C8913A" w:sz="1"/>
            </w:tcBorders>
            <w:shd w:fill="C8913A" w:val="clear"/>
            <w:tcMar>
              <w:top w:type="dxa" w:w="120"/>
              <w:left w:type="dxa" w:w="140"/>
              <w:bottom w:type="dxa" w:w="120"/>
              <w:right w:type="dxa" w:w="140"/>
            </w:tcMar>
          </w:tcPr>
          <w:p>
            <w:pPr>
              <w:spacing w:after="80" w:before="80"/>
            </w:pPr>
            <w:r>
              <w:rPr>
                <w:rFonts w:ascii="Calibri" w:cs="Calibri" w:eastAsia="Calibri" w:hAnsi="Calibri"/>
                <w:b/>
                <w:bCs/>
                <w:color w:val="FFFFFF"/>
                <w:sz w:val="24"/>
                <w:szCs w:val="24"/>
              </w:rPr>
              <w:t xml:space="preserve">$4,000 USD</w:t>
            </w:r>
          </w:p>
        </w:tc>
      </w:tr>
    </w:tbl>
    <w:p>
      <w:pPr>
        <w:spacing w:after="0" w:before="120"/>
      </w:pPr>
      <w:r>
        <w:rPr>
          <w:rFonts w:ascii="Calibri" w:cs="Calibri" w:eastAsia="Calibri" w:hAnsi="Calibri"/>
          <w:color w:val="1A1A1A"/>
          <w:sz w:val="22"/>
          <w:szCs w:val="22"/>
        </w:rPr>
        <w:t xml:space="preserve"/>
      </w:r>
    </w:p>
    <w:p>
      <w:pPr>
        <w:spacing w:after="80" w:before="80"/>
      </w:pPr>
      <w:r>
        <w:rPr>
          <w:rFonts w:ascii="Calibri" w:cs="Calibri" w:eastAsia="Calibri" w:hAnsi="Calibri"/>
          <w:i/>
          <w:iCs/>
          <w:color w:val="444B57"/>
          <w:sz w:val="22"/>
          <w:szCs w:val="22"/>
        </w:rPr>
        <w:t xml:space="preserve">Payment terms and invoicing schedule to be confirmed in the executed agreement. The fixed-price structure means the City of Rancho Cordova bears no risk of cost overrun — the scope above is delivered for the stated amount, period.</w:t>
      </w:r>
    </w:p>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10.  Assumptions</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This Statement of Work is predicated on the following assumptions. Any material change to these assumptions may require a scope or timeline adjustment.</w:t>
      </w:r>
    </w:p>
    <w:p>
      <w:pPr>
        <w:spacing w:after="0" w:before="10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w:t>
            </w:r>
          </w:p>
        </w:tc>
        <w:tc>
          <w:tcPr>
            <w:tcW w:type="dxa" w:w="89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Assumption</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A1</w:t>
            </w:r>
          </w:p>
        </w:tc>
        <w:tc>
          <w:tcPr>
            <w:tcW w:type="dxa" w:w="8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Microsoft Copilot Studio is licensed (or will be licensed by the city before Week 1 begins) within the Microsoft 365 Government (GCC) tenant. Copilot Studio may require additional per-user or per-message licensing separate from the base M365 subscription.</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A2</w:t>
            </w:r>
          </w:p>
        </w:tc>
        <w:tc>
          <w:tcPr>
            <w:tcW w:type="dxa" w:w="8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Power BI Pro is licensed for all intended dashboard consumers — agents, IT leadership, and any employees who will access the Employee Ticket History dashboard.</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A3</w:t>
            </w:r>
          </w:p>
        </w:tc>
        <w:tc>
          <w:tcPr>
            <w:tcW w:type="dxa" w:w="8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IT Ticket Intake Queue SharePoint list from Phase 1 remains the authoritative ticket database with no structural changes made outside of those defined in this document.</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A4</w:t>
            </w:r>
          </w:p>
        </w:tc>
        <w:tc>
          <w:tcPr>
            <w:tcW w:type="dxa" w:w="8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Phase 1 Power Automate flows, Teams team, and SharePoint site collection remain operational and unmodified by any third party during the Phase 2 engagement.</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A5</w:t>
            </w:r>
          </w:p>
        </w:tc>
        <w:tc>
          <w:tcPr>
            <w:tcW w:type="dxa" w:w="8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Rob Nunley or a designated IT representative is available for weekly client checkpoint sessions (approximately 30 minutes) at the end of each project week.</w:t>
            </w:r>
          </w:p>
        </w:tc>
      </w:tr>
      <w:tr>
        <w:tc>
          <w:tcPr>
            <w:tcW w:type="dxa" w:w="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A6</w:t>
            </w:r>
          </w:p>
        </w:tc>
        <w:tc>
          <w:tcPr>
            <w:tcW w:type="dxa" w:w="89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IT staff will author and maintain FAQ content in the IT Helpdesk FAQ SharePoint list on an ongoing basis. The consulting team will seed initial articles; ongoing content governance is a client responsibility.</w:t>
            </w:r>
          </w:p>
        </w:tc>
      </w:tr>
      <w:tr>
        <w:tc>
          <w:tcPr>
            <w:tcW w:type="dxa" w:w="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A7</w:t>
            </w:r>
          </w:p>
        </w:tc>
        <w:tc>
          <w:tcPr>
            <w:tcW w:type="dxa" w:w="89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IT Issue Tracking &amp; Support Microsoft Teams team remains the deployment target for the Copilot Agent and dashboard tabs.</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11.  Future Phase Alignment</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Phase 2 is designed with Phase 3 in mind. No re-architecture or data migration is required to support the following planned enhancements:</w:t>
      </w:r>
    </w:p>
    <w:p>
      <w:pPr>
        <w:spacing w:after="0" w:before="10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Future Phase</w:t>
            </w:r>
          </w:p>
        </w:tc>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Planned Capability</w:t>
            </w:r>
          </w:p>
        </w:tc>
        <w:tc>
          <w:tcPr>
            <w:tcW w:type="dxa" w:w="536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Phase 2 Foundation</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Phase 2.5 / Phase 3</w:t>
            </w:r>
          </w:p>
        </w:tc>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Customer Satisfaction (CSAT) Surveys</w:t>
            </w:r>
          </w:p>
        </w:tc>
        <w:tc>
          <w:tcPr>
            <w:tcW w:type="dxa" w:w="53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IT Ticket Intake Queue data model and Power BI dataset are structured to accept a CSAT score column with zero changes to existing queries or RLS rules</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Phase 3</w:t>
            </w:r>
          </w:p>
        </w:tc>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Knowledge Base with Faceted Search</w:t>
            </w:r>
          </w:p>
        </w:tc>
        <w:tc>
          <w:tcPr>
            <w:tcW w:type="dxa" w:w="53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IT Helpdesk FAQ SharePoint list established in Phase 2 becomes the content repository for a full searchable knowledge base experience</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Phase 3</w:t>
            </w:r>
          </w:p>
        </w:tc>
        <w:tc>
          <w:tcPr>
            <w:tcW w:type="dxa" w:w="24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Self-Service Resolution via Copilot</w:t>
            </w:r>
          </w:p>
        </w:tc>
        <w:tc>
          <w:tcPr>
            <w:tcW w:type="dxa" w:w="53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Copilot Agent infrastructure and Flow 6 pattern can be extended to support automated resolution topics (e.g., password reset triggers) without rebuilding the agent</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Phase 3</w:t>
            </w:r>
          </w:p>
        </w:tc>
        <w:tc>
          <w:tcPr>
            <w:tcW w:type="dxa" w:w="24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Advanced Power BI Analytics</w:t>
            </w:r>
          </w:p>
        </w:tc>
        <w:tc>
          <w:tcPr>
            <w:tcW w:type="dxa" w:w="53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val="false"/>
                <w:bCs w:val="false"/>
                <w:color w:val="1A1A1A"/>
                <w:sz w:val="20"/>
                <w:szCs w:val="20"/>
              </w:rPr>
              <w:t xml:space="preserve">The Power BI dataset established in Phase 2 supports additional measures, calculated columns, and report pages without restructuring the data model</w:t>
            </w:r>
          </w:p>
        </w:tc>
      </w:tr>
    </w:tbl>
    <w:p>
      <w:pPr>
        <w:spacing w:after="0" w:before="200"/>
      </w:pPr>
      <w:r>
        <w:rPr>
          <w:rFonts w:ascii="Calibri" w:cs="Calibri" w:eastAsia="Calibri" w:hAnsi="Calibri"/>
          <w:color w:val="1A1A1A"/>
          <w:sz w:val="22"/>
          <w:szCs w:val="22"/>
        </w:rPr>
        <w:t xml:space="preserve"/>
      </w:r>
    </w:p>
    <w:p>
      <w:pPr>
        <w:pStyle w:val="Heading1"/>
        <w:spacing w:after="160" w:before="360"/>
      </w:pPr>
      <w:r>
        <w:rPr>
          <w:rFonts w:ascii="Calibri" w:cs="Calibri" w:eastAsia="Calibri" w:hAnsi="Calibri"/>
          <w:b/>
          <w:bCs/>
          <w:color w:val="1B3A6B"/>
          <w:sz w:val="34"/>
          <w:szCs w:val="34"/>
        </w:rPr>
        <w:t xml:space="preserve">12.  Agreement &amp; Authorization</w:t>
      </w:r>
    </w:p>
    <w:p>
      <w:pPr>
        <w:pBdr>
          <w:bottom w:val="single" w:color="1B3A6B" w:sz="8"/>
        </w:pBdr>
        <w:spacing w:after="200" w:before="200"/>
      </w:pPr>
    </w:p>
    <w:p>
      <w:pPr>
        <w:spacing w:after="80" w:before="80"/>
      </w:pPr>
      <w:r>
        <w:rPr>
          <w:rFonts w:ascii="Calibri" w:cs="Calibri" w:eastAsia="Calibri" w:hAnsi="Calibri"/>
          <w:color w:val="1A1A1A"/>
          <w:sz w:val="22"/>
          <w:szCs w:val="22"/>
        </w:rPr>
        <w:t xml:space="preserve">By signing below, both parties agree to the scope, deliverables, timeline, and investment defined in this Statement of Work.</w:t>
      </w:r>
    </w:p>
    <w:p>
      <w:pPr>
        <w:spacing w:after="0" w:before="16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60"/>
        <w:gridCol w:w="4440"/>
      </w:tblGrid>
      <w:tr>
        <w:tc>
          <w:tcPr>
            <w:tcW w:type="dxa" w:w="45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Consulting Organization</w:t>
            </w:r>
          </w:p>
        </w:tc>
        <w:tc>
          <w:tcPr>
            <w:tcW w:type="dxa" w:w="360"/>
            <w:tcBorders>
              <w:top w:val="none" w:color="FFFFFF" w:sz="0"/>
              <w:left w:val="none" w:color="FFFFFF" w:sz="0"/>
              <w:bottom w:val="none" w:color="FFFFFF" w:sz="0"/>
              <w:right w:val="none" w:color="FFFFFF" w:sz="0"/>
            </w:tcBorders>
          </w:tcPr>
          <w:p>
            <w:pPr>
              <w:spacing w:after="80" w:before="80"/>
            </w:pPr>
          </w:p>
        </w:tc>
        <w:tc>
          <w:tcPr>
            <w:tcW w:type="dxa" w:w="444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after="80" w:before="80"/>
            </w:pPr>
            <w:r>
              <w:rPr>
                <w:rFonts w:ascii="Calibri" w:cs="Calibri" w:eastAsia="Calibri" w:hAnsi="Calibri"/>
                <w:b/>
                <w:bCs/>
                <w:color w:val="FFFFFF"/>
                <w:sz w:val="20"/>
                <w:szCs w:val="20"/>
              </w:rPr>
              <w:t xml:space="preserve">City of Rancho Cordova</w:t>
            </w:r>
          </w:p>
        </w:tc>
      </w:tr>
      <w:tr>
        <w:tc>
          <w:tcPr>
            <w:tcW w:type="dxa" w:w="4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bCs/>
                <w:color w:val="1A1A1A"/>
                <w:sz w:val="20"/>
                <w:szCs w:val="20"/>
              </w:rPr>
              <w:t xml:space="preserve">Haaron Gonzalez</w:t>
            </w:r>
          </w:p>
        </w:tc>
        <w:tc>
          <w:tcPr>
            <w:tcW w:type="dxa" w:w="360"/>
            <w:tcBorders>
              <w:top w:val="none" w:color="FFFFFF" w:sz="0"/>
              <w:left w:val="none" w:color="FFFFFF" w:sz="0"/>
              <w:bottom w:val="none" w:color="FFFFFF" w:sz="0"/>
              <w:right w:val="none" w:color="FFFFFF" w:sz="0"/>
            </w:tcBorders>
          </w:tcPr>
          <w:p>
            <w:pPr>
              <w:spacing w:after="80" w:before="80"/>
            </w:pPr>
          </w:p>
        </w:tc>
        <w:tc>
          <w:tcPr>
            <w:tcW w:type="dxa" w:w="444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40"/>
            </w:tcMar>
          </w:tcPr>
          <w:p>
            <w:pPr>
              <w:spacing w:after="80" w:before="80"/>
            </w:pPr>
            <w:r>
              <w:rPr>
                <w:rFonts w:ascii="Calibri" w:cs="Calibri" w:eastAsia="Calibri" w:hAnsi="Calibri"/>
                <w:b/>
                <w:bCs/>
                <w:color w:val="1A1A1A"/>
                <w:sz w:val="20"/>
                <w:szCs w:val="20"/>
              </w:rPr>
              <w:t xml:space="preserve">Rob Nunley</w:t>
            </w:r>
          </w:p>
        </w:tc>
      </w:tr>
      <w:tr>
        <w:tc>
          <w:tcPr>
            <w:tcW w:type="dxa" w:w="4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Digital Workplace Consultant</w:t>
            </w:r>
          </w:p>
        </w:tc>
        <w:tc>
          <w:tcPr>
            <w:tcW w:type="dxa" w:w="360"/>
            <w:tcBorders>
              <w:top w:val="none" w:color="FFFFFF" w:sz="0"/>
              <w:left w:val="none" w:color="FFFFFF" w:sz="0"/>
              <w:bottom w:val="none" w:color="FFFFFF" w:sz="0"/>
              <w:right w:val="none" w:color="FFFFFF" w:sz="0"/>
            </w:tcBorders>
          </w:tcPr>
          <w:p>
            <w:pPr>
              <w:spacing w:after="80" w:before="80"/>
            </w:pPr>
          </w:p>
        </w:tc>
        <w:tc>
          <w:tcPr>
            <w:tcW w:type="dxa" w:w="444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40"/>
            </w:tcMar>
          </w:tcPr>
          <w:p>
            <w:pPr>
              <w:spacing w:after="80" w:before="80"/>
            </w:pPr>
            <w:r>
              <w:rPr>
                <w:rFonts w:ascii="Calibri" w:cs="Calibri" w:eastAsia="Calibri" w:hAnsi="Calibri"/>
                <w:b w:val="false"/>
                <w:bCs w:val="false"/>
                <w:color w:val="444B57"/>
                <w:sz w:val="20"/>
                <w:szCs w:val="20"/>
              </w:rPr>
              <w:t xml:space="preserve">IT Director</w:t>
            </w:r>
          </w:p>
        </w:tc>
      </w:tr>
      <w:tr>
        <w:tc>
          <w:tcPr>
            <w:tcW w:type="dxa" w:w="4560"/>
            <w:tcBorders>
              <w:top w:val="single" w:color="C8CDD6" w:sz="1"/>
              <w:left w:val="single" w:color="C8CDD6" w:sz="1"/>
              <w:bottom w:val="single" w:color="C8CDD6" w:sz="1"/>
              <w:right w:val="single" w:color="C8CDD6" w:sz="1"/>
            </w:tcBorders>
            <w:shd w:fill="FFFFFF" w:val="clear"/>
            <w:tcMar>
              <w:top w:type="dxa" w:w="200"/>
              <w:left w:type="dxa" w:w="140"/>
              <w:bottom w:type="dxa" w:w="200"/>
              <w:right w:type="dxa" w:w="140"/>
            </w:tcMar>
          </w:tcPr>
          <w:p>
            <w:pPr>
              <w:spacing w:after="80" w:before="80"/>
            </w:pPr>
            <w:r>
              <w:rPr>
                <w:rFonts w:ascii="Calibri" w:cs="Calibri" w:eastAsia="Calibri" w:hAnsi="Calibri"/>
                <w:color w:val="444B57"/>
                <w:sz w:val="20"/>
                <w:szCs w:val="20"/>
              </w:rPr>
              <w:t xml:space="preserve">Signature: </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444B57"/>
                <w:sz w:val="20"/>
                <w:szCs w:val="20"/>
              </w:rPr>
              <w:t xml:space="preserve">Date: </w:t>
            </w:r>
          </w:p>
        </w:tc>
        <w:tc>
          <w:tcPr>
            <w:tcW w:type="dxa" w:w="360"/>
            <w:tcBorders>
              <w:top w:val="none" w:color="FFFFFF" w:sz="0"/>
              <w:left w:val="none" w:color="FFFFFF" w:sz="0"/>
              <w:bottom w:val="none" w:color="FFFFFF" w:sz="0"/>
              <w:right w:val="none" w:color="FFFFFF" w:sz="0"/>
            </w:tcBorders>
          </w:tcPr>
          <w:p>
            <w:pPr>
              <w:spacing w:after="80" w:before="80"/>
            </w:pPr>
          </w:p>
        </w:tc>
        <w:tc>
          <w:tcPr>
            <w:tcW w:type="dxa" w:w="4440"/>
            <w:tcBorders>
              <w:top w:val="single" w:color="C8CDD6" w:sz="1"/>
              <w:left w:val="single" w:color="C8CDD6" w:sz="1"/>
              <w:bottom w:val="single" w:color="C8CDD6" w:sz="1"/>
              <w:right w:val="single" w:color="C8CDD6" w:sz="1"/>
            </w:tcBorders>
            <w:shd w:fill="FFFFFF" w:val="clear"/>
            <w:tcMar>
              <w:top w:type="dxa" w:w="200"/>
              <w:left w:type="dxa" w:w="140"/>
              <w:bottom w:type="dxa" w:w="200"/>
              <w:right w:type="dxa" w:w="140"/>
            </w:tcMar>
          </w:tcPr>
          <w:p>
            <w:pPr>
              <w:spacing w:after="80" w:before="80"/>
            </w:pPr>
            <w:r>
              <w:rPr>
                <w:rFonts w:ascii="Calibri" w:cs="Calibri" w:eastAsia="Calibri" w:hAnsi="Calibri"/>
                <w:color w:val="444B57"/>
                <w:sz w:val="20"/>
                <w:szCs w:val="20"/>
              </w:rPr>
              <w:t xml:space="preserve">Signature: </w:t>
            </w:r>
          </w:p>
          <w:p>
            <w:pPr>
              <w:spacing w:after="0" w:before="80"/>
            </w:pPr>
            <w:r>
              <w:rPr>
                <w:rFonts w:ascii="Calibri" w:cs="Calibri" w:eastAsia="Calibri" w:hAnsi="Calibri"/>
                <w:color w:val="1A1A1A"/>
                <w:sz w:val="22"/>
                <w:szCs w:val="22"/>
              </w:rPr>
              <w:t xml:space="preserve"/>
            </w:r>
          </w:p>
          <w:p>
            <w:pPr>
              <w:spacing w:after="80" w:before="80"/>
            </w:pPr>
            <w:r>
              <w:rPr>
                <w:rFonts w:ascii="Calibri" w:cs="Calibri" w:eastAsia="Calibri" w:hAnsi="Calibri"/>
                <w:color w:val="444B57"/>
                <w:sz w:val="20"/>
                <w:szCs w:val="20"/>
              </w:rPr>
              <w:t xml:space="preserve">Date: </w:t>
            </w:r>
          </w:p>
        </w:tc>
      </w:tr>
    </w:tbl>
    <w:p>
      <w:pPr>
        <w:spacing w:after="0" w:before="200"/>
      </w:pPr>
      <w:r>
        <w:rPr>
          <w:rFonts w:ascii="Calibri" w:cs="Calibri" w:eastAsia="Calibri" w:hAnsi="Calibri"/>
          <w:color w:val="1A1A1A"/>
          <w:sz w:val="22"/>
          <w:szCs w:val="22"/>
        </w:rPr>
        <w:t xml:space="preserve"/>
      </w:r>
    </w:p>
    <w:p>
      <w:pPr>
        <w:pBdr>
          <w:bottom w:val="single" w:color="C8CDD6" w:sz="2"/>
        </w:pBdr>
        <w:spacing w:after="120" w:before="120"/>
      </w:pPr>
    </w:p>
    <w:p>
      <w:pPr>
        <w:spacing w:after="0" w:before="120"/>
        <w:jc w:val="center"/>
      </w:pPr>
      <w:r>
        <w:rPr>
          <w:rFonts w:ascii="Calibri" w:cs="Calibri" w:eastAsia="Calibri" w:hAnsi="Calibri"/>
          <w:i/>
          <w:iCs/>
          <w:color w:val="444B57"/>
          <w:sz w:val="16"/>
          <w:szCs w:val="16"/>
        </w:rPr>
        <w:t xml:space="preserve">IT Issue Tracking Platform — Phase 2 SOW  ·  City of Rancho Cordova  ·  Confidential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6" w:sz="2"/>
      </w:pBdr>
      <w:tabs>
        <w:tab w:val="right" w:pos="9026"/>
      </w:tabs>
      <w:spacing w:after="0" w:before="100"/>
    </w:pPr>
    <w:r>
      <w:rPr>
        <w:rFonts w:ascii="Calibri" w:cs="Calibri" w:eastAsia="Calibri" w:hAnsi="Calibri"/>
        <w:color w:val="444B57"/>
        <w:sz w:val="16"/>
        <w:szCs w:val="16"/>
      </w:rPr>
      <w:t xml:space="preserve">Confidential — For Internal Review Only</w:t>
    </w:r>
    <w:r>
      <w:rPr>
        <w:rFonts w:ascii="Calibri" w:cs="Calibri" w:eastAsia="Calibri" w:hAnsi="Calibri"/>
        <w:color w:val="444B57"/>
        <w:sz w:val="16"/>
        <w:szCs w:val="16"/>
      </w:rPr>
      <w:t xml:space="preserve">	© 2026 Consulting Group.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tabs>
        <w:tab w:val="right" w:pos="9026"/>
      </w:tabs>
      <w:spacing w:after="120" w:before="0"/>
    </w:pPr>
    <w:r>
      <w:rPr>
        <w:rFonts w:ascii="Calibri" w:cs="Calibri" w:eastAsia="Calibri" w:hAnsi="Calibri"/>
        <w:color w:val="444B57"/>
        <w:sz w:val="17"/>
        <w:szCs w:val="17"/>
      </w:rPr>
      <w:t xml:space="preserve">City of Rancho Cordova  ·  IT Issue Tracking Platform</w:t>
    </w:r>
    <w:r>
      <w:rPr>
        <w:rFonts w:ascii="Calibri" w:cs="Calibri" w:eastAsia="Calibri" w:hAnsi="Calibri"/>
        <w:sz w:val="17"/>
        <w:szCs w:val="17"/>
      </w:rPr>
      <w:t xml:space="preserve">	</w:t>
    </w:r>
    <w:r>
      <w:rPr>
        <w:rFonts w:ascii="Calibri" w:cs="Calibri" w:eastAsia="Calibri" w:hAnsi="Calibri"/>
        <w:b/>
        <w:bCs/>
        <w:color w:val="1B3A6B"/>
        <w:sz w:val="17"/>
        <w:szCs w:val="17"/>
      </w:rPr>
      <w:t xml:space="preserve">Statement of Work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1B3A6B"/>
      <w:sz w:val="34"/>
      <w:szCs w:val="34"/>
    </w:rPr>
  </w:style>
  <w:style w:type="paragraph" w:styleId="Heading2">
    <w:name w:val="Heading 2"/>
    <w:basedOn w:val="Normal"/>
    <w:next w:val="Normal"/>
    <w:pPr>
      <w:spacing w:after="100" w:before="240"/>
      <w:outlineLvl w:val="1"/>
    </w:pPr>
    <w:rPr>
      <w:rFonts w:ascii="Calibri" w:cs="Calibri" w:eastAsia="Calibri" w:hAnsi="Calibri"/>
      <w:b/>
      <w:bCs/>
      <w:color w:val="0D7377"/>
      <w:sz w:val="26"/>
      <w:szCs w:val="26"/>
    </w:rPr>
  </w:style>
  <w:style w:type="paragraph" w:styleId="Heading3">
    <w:name w:val="Heading 3"/>
    <w:basedOn w:val="Normal"/>
    <w:next w:val="Normal"/>
    <w:pPr>
      <w:spacing w:after="80" w:before="180"/>
      <w:outlineLvl w:val="2"/>
    </w:pPr>
    <w:rPr>
      <w:rFonts w:ascii="Calibri" w:cs="Calibri" w:eastAsia="Calibri" w:hAnsi="Calibri"/>
      <w:b/>
      <w:bCs/>
      <w:color w:val="444B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2026-05-02T20:58:54.740Z</dcterms:created>
  <dcterms:modified xsi:type="dcterms:W3CDTF">2026-05-02T20:58:54.758Z</dcterms:modified>
</cp:coreProperties>
</file>

<file path=docProps/custom.xml><?xml version="1.0" encoding="utf-8"?>
<Properties xmlns="http://schemas.openxmlformats.org/officeDocument/2006/custom-properties" xmlns:vt="http://schemas.openxmlformats.org/officeDocument/2006/docPropsVTypes"/>
</file>