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D275" w14:textId="3E38126F" w:rsidR="00935C3E" w:rsidRDefault="004C3C04">
      <w:r>
        <w:t>Matt Larriva, CFA</w:t>
      </w:r>
      <w:r>
        <w:br/>
        <w:t>Brookfield Asset Management</w:t>
      </w:r>
      <w:r>
        <w:br/>
        <w:t>matt.larriva@brookfield.com</w:t>
      </w:r>
      <w:r>
        <w:br/>
        <w:t>June 16, 2025</w:t>
      </w:r>
      <w:r>
        <w:br/>
      </w:r>
      <w:r>
        <w:br/>
        <w:t>Editor-in-Chief</w:t>
      </w:r>
      <w:r>
        <w:br/>
        <w:t>Regional Science and Urban Economics</w:t>
      </w:r>
      <w:r>
        <w:br/>
      </w:r>
      <w:r>
        <w:br/>
        <w:t>Re: Manuscript Submission – “A Novel Proxy of Latent Rental Housing Demand: Evidence from US Markets”</w:t>
      </w:r>
      <w:r>
        <w:br/>
      </w:r>
      <w:r>
        <w:br/>
        <w:t>Dear Editor,</w:t>
      </w:r>
      <w:r>
        <w:br/>
      </w:r>
      <w:r>
        <w:br/>
        <w:t xml:space="preserve">I am </w:t>
      </w:r>
      <w:r>
        <w:t xml:space="preserve">pleased to submit my manuscript, “A Novel Proxy of Latent Rental Housing Demand: Evidence from US Markets,” for consideration by Regional Science and Urban Economics. This paper proposes a novel approach to segmenting urban rental markets by quantifying latent demand through changes in the Rental Density Index (ΔRDI). Using a series of pooled panel regressions and out-of-sample classification techniques, the paper demonstrates that ΔRDI offers a consistent, forward-looking signal of market tightness — even </w:t>
      </w:r>
      <w:r>
        <w:t>when traditional indicators like occupancy remain stable.</w:t>
      </w:r>
      <w:r>
        <w:br/>
      </w:r>
      <w:r>
        <w:br/>
        <w:t>This research contributes to the literature on housing demand modeling and market segmentation by:</w:t>
      </w:r>
      <w:r>
        <w:br/>
        <w:t>- Introducing a crowding-based measure of demand pressure,</w:t>
      </w:r>
      <w:r>
        <w:br/>
        <w:t>- Demonstrating its predictive power for future rent growth across markets and regimes,</w:t>
      </w:r>
      <w:r>
        <w:br/>
        <w:t>- Classifying supply-demand imbalances in a way that improves out-of-sample forecasting.</w:t>
      </w:r>
      <w:r>
        <w:br/>
      </w:r>
      <w:r>
        <w:br/>
        <w:t>I believe this work aligns well with RSUE’s focus on urban market dynamics, housing economics, and empirically ground</w:t>
      </w:r>
      <w:r>
        <w:t>ed modeling. While the paper is a sole-authored submission, it has benefited from internal peer review and reflects independent academic work conducted alongside my role at Brookfield, a real estate investment firm. The views expressed are solely my own.</w:t>
      </w:r>
      <w:r>
        <w:br/>
      </w:r>
      <w:r>
        <w:br/>
        <w:t>As required, I have included a highlights document and a Declaration of Competing Interest. I confirm that this manuscript is original, has not been published elsewhere, and is not under consideration by any other publication.</w:t>
      </w:r>
      <w:r>
        <w:br/>
      </w:r>
      <w:r>
        <w:br/>
        <w:t>Thank you for considering th</w:t>
      </w:r>
      <w:r>
        <w:t>is submission. I would be honored to contribute to your journal and welcome any feedback from the editorial team or reviewers.</w:t>
      </w:r>
      <w:r>
        <w:br/>
      </w:r>
      <w:r>
        <w:br/>
        <w:t>Sincerely,</w:t>
      </w:r>
      <w:r>
        <w:br/>
        <w:t>Matt Larriva, CFA</w:t>
      </w:r>
      <w:r>
        <w:br/>
      </w:r>
    </w:p>
    <w:sectPr w:rsidR="00935C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474201">
    <w:abstractNumId w:val="8"/>
  </w:num>
  <w:num w:numId="2" w16cid:durableId="609241917">
    <w:abstractNumId w:val="6"/>
  </w:num>
  <w:num w:numId="3" w16cid:durableId="218058317">
    <w:abstractNumId w:val="5"/>
  </w:num>
  <w:num w:numId="4" w16cid:durableId="1745564787">
    <w:abstractNumId w:val="4"/>
  </w:num>
  <w:num w:numId="5" w16cid:durableId="1181551884">
    <w:abstractNumId w:val="7"/>
  </w:num>
  <w:num w:numId="6" w16cid:durableId="1553686177">
    <w:abstractNumId w:val="3"/>
  </w:num>
  <w:num w:numId="7" w16cid:durableId="2091273439">
    <w:abstractNumId w:val="2"/>
  </w:num>
  <w:num w:numId="8" w16cid:durableId="413749920">
    <w:abstractNumId w:val="1"/>
  </w:num>
  <w:num w:numId="9" w16cid:durableId="208680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2DA"/>
    <w:rsid w:val="004C3C04"/>
    <w:rsid w:val="00935C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830BF"/>
  <w14:defaultImageDpi w14:val="300"/>
  <w15:docId w15:val="{DFF77C18-1DDB-4135-9104-9C2FDEDF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Larriva, Matt</cp:lastModifiedBy>
  <cp:revision>2</cp:revision>
  <dcterms:created xsi:type="dcterms:W3CDTF">2025-06-16T16:26:00Z</dcterms:created>
  <dcterms:modified xsi:type="dcterms:W3CDTF">2025-06-16T16:26:00Z</dcterms:modified>
  <cp:category/>
</cp:coreProperties>
</file>