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CC3D" w14:textId="77777777" w:rsidR="00055FD6" w:rsidRPr="00055FD6" w:rsidRDefault="00055FD6" w:rsidP="00055FD6">
      <w:r w:rsidRPr="00055FD6">
        <w:rPr>
          <w:b/>
          <w:bCs/>
        </w:rPr>
        <w:t>Response to the Editor and Referee</w:t>
      </w:r>
    </w:p>
    <w:p w14:paraId="52E51A4D" w14:textId="77777777" w:rsidR="00055FD6" w:rsidRPr="00055FD6" w:rsidRDefault="00055FD6" w:rsidP="00055FD6">
      <w:r w:rsidRPr="00055FD6">
        <w:rPr>
          <w:b/>
          <w:bCs/>
        </w:rPr>
        <w:t>Manuscript:</w:t>
      </w:r>
      <w:r w:rsidRPr="00055FD6">
        <w:t xml:space="preserve"> Crowded Out: Measuring Rental Market Pressure with Household Density</w:t>
      </w:r>
    </w:p>
    <w:p w14:paraId="3A2EDA28" w14:textId="77777777" w:rsidR="00055FD6" w:rsidRPr="00055FD6" w:rsidRDefault="00055FD6" w:rsidP="00055FD6">
      <w:r w:rsidRPr="00055FD6">
        <w:rPr>
          <w:b/>
          <w:bCs/>
        </w:rPr>
        <w:t>Submission ID:</w:t>
      </w:r>
      <w:r w:rsidRPr="00055FD6">
        <w:t xml:space="preserve"> b0ba1fee-cadd-4b77-9203-e280b45601d1</w:t>
      </w:r>
    </w:p>
    <w:p w14:paraId="327416BC" w14:textId="77777777" w:rsidR="00055FD6" w:rsidRPr="00055FD6" w:rsidRDefault="000750C6" w:rsidP="00055FD6">
      <w:r>
        <w:pict w14:anchorId="2740F035">
          <v:rect id="_x0000_i1025" style="width:0;height:1.5pt" o:hralign="center" o:hrstd="t" o:hr="t" fillcolor="#a0a0a0" stroked="f"/>
        </w:pict>
      </w:r>
    </w:p>
    <w:p w14:paraId="2A98FAD9" w14:textId="77777777" w:rsidR="00055FD6" w:rsidRPr="00055FD6" w:rsidRDefault="00055FD6" w:rsidP="00055FD6">
      <w:r w:rsidRPr="00055FD6">
        <w:t>Dear Professor Ambrose,</w:t>
      </w:r>
    </w:p>
    <w:p w14:paraId="49DC146C" w14:textId="77777777" w:rsidR="00055FD6" w:rsidRPr="00055FD6" w:rsidRDefault="00055FD6" w:rsidP="00055FD6">
      <w:r w:rsidRPr="00055FD6">
        <w:t>Thank you for continuing the editorial process and for the referee's careful and constructive engagement with our revision. We are grateful that Referee 2 finds merit in the paper. Below we provide a point-by-point response to each of the three remaining comments. We believe the revision addresses all three concerns fully, and we hope the referee will agree.</w:t>
      </w:r>
    </w:p>
    <w:p w14:paraId="1B0858EA" w14:textId="77777777" w:rsidR="00055FD6" w:rsidRPr="00055FD6" w:rsidRDefault="000750C6" w:rsidP="00055FD6">
      <w:r>
        <w:pict w14:anchorId="014BDF39">
          <v:rect id="_x0000_i1026" style="width:0;height:1.5pt" o:hralign="center" o:hrstd="t" o:hr="t" fillcolor="#a0a0a0" stroked="f"/>
        </w:pict>
      </w:r>
    </w:p>
    <w:p w14:paraId="2A47CF24" w14:textId="77777777" w:rsidR="00055FD6" w:rsidRPr="00055FD6" w:rsidRDefault="00055FD6" w:rsidP="00055FD6">
      <w:r w:rsidRPr="00055FD6">
        <w:rPr>
          <w:b/>
          <w:bCs/>
        </w:rPr>
        <w:t>Comment 1:</w:t>
      </w:r>
      <w:r w:rsidRPr="00055FD6">
        <w:t xml:space="preserve"> </w:t>
      </w:r>
      <w:r w:rsidRPr="00055FD6">
        <w:rPr>
          <w:i/>
          <w:iCs/>
        </w:rPr>
        <w:t xml:space="preserve">"I had suggested in my previous report that renter population per bedroom would be a more appropriate measure of excess demand than renters per unit. The author has done something different with this insight. An 'equilibrium' RDI is created, which is a function of the age distribution of the population and the number of bedrooms per renter. </w:t>
      </w:r>
      <w:proofErr w:type="gramStart"/>
      <w:r w:rsidRPr="00055FD6">
        <w:rPr>
          <w:i/>
          <w:iCs/>
        </w:rPr>
        <w:t>So</w:t>
      </w:r>
      <w:proofErr w:type="gramEnd"/>
      <w:r w:rsidRPr="00055FD6">
        <w:rPr>
          <w:i/>
          <w:iCs/>
        </w:rPr>
        <w:t xml:space="preserve"> in effect the author is regressing renters per unit on renters per bedroom, which looks a lot like a regression of (the inverse of) bedrooms per unit, so it's no wonder that the coefficient looks like the number of bedrooms per unit (2.4). The author doesn't really explain this model and I am not sure what it is telling us, but it may not be telling us very much."</w:t>
      </w:r>
    </w:p>
    <w:p w14:paraId="1FE27285" w14:textId="47C93B70" w:rsidR="00055FD6" w:rsidRPr="00055FD6" w:rsidRDefault="00055FD6" w:rsidP="00055FD6">
      <w:r w:rsidRPr="00055FD6">
        <w:rPr>
          <w:b/>
          <w:bCs/>
        </w:rPr>
        <w:t>Response:</w:t>
      </w:r>
      <w:r w:rsidRPr="00055FD6">
        <w:t xml:space="preserve"> The referee's concern is well-taken, and we agree that the prior approach was difficult to interpret and potentially circular. In this revision, we have abandoned the two-stage "equilibrium RDI" construction entirely. We no longer regress renters per unit on renters per bedroom to generate a residual. Instead, we incorporate bedroom density (renters per rented bedroom) directly as a control variable in a single-stage panel ARDL specification (Section 4.1, Table 4). This resolves the circularity the referee identified: bedroom density now enters as an explicit covariate.</w:t>
      </w:r>
      <w:r w:rsidR="00C47980">
        <w:t xml:space="preserve"> We intend this variable to capture </w:t>
      </w:r>
      <w:r w:rsidR="00CB4EDA">
        <w:t>specific housing preferences even beyond the fixed effects we use for the metro.</w:t>
      </w:r>
      <w:r w:rsidRPr="00055FD6">
        <w:t xml:space="preserve"> The coefficient on bedroom density in the ARDL (κ = −0.0846, p &lt; 0.05) has </w:t>
      </w:r>
      <w:proofErr w:type="gramStart"/>
      <w:r w:rsidRPr="00055FD6">
        <w:t>a clear</w:t>
      </w:r>
      <w:proofErr w:type="gramEnd"/>
      <w:r w:rsidRPr="00055FD6">
        <w:t xml:space="preserve"> and intuitive interpretation — markets where renters are more crowded per </w:t>
      </w:r>
      <w:proofErr w:type="gramStart"/>
      <w:r w:rsidRPr="00055FD6">
        <w:t>bedroom</w:t>
      </w:r>
      <w:proofErr w:type="gramEnd"/>
      <w:r w:rsidRPr="00055FD6">
        <w:t xml:space="preserve"> exhibit lower subsequent rent growth, conditional on aggregate demand intensity, consistent with households already at their budget limit. The RDI level and change terms now stand on their own as predictors of rent growth, without the </w:t>
      </w:r>
      <w:proofErr w:type="gramStart"/>
      <w:r w:rsidRPr="00055FD6">
        <w:t>generated-regressor</w:t>
      </w:r>
      <w:proofErr w:type="gramEnd"/>
      <w:r w:rsidRPr="00055FD6">
        <w:t xml:space="preserve"> concerns that attended the prior approach.</w:t>
      </w:r>
    </w:p>
    <w:p w14:paraId="4D501502" w14:textId="77777777" w:rsidR="00055FD6" w:rsidRPr="00055FD6" w:rsidRDefault="000750C6" w:rsidP="00055FD6">
      <w:r>
        <w:pict w14:anchorId="56BF4980">
          <v:rect id="_x0000_i1027" style="width:0;height:1.5pt" o:hralign="center" o:hrstd="t" o:hr="t" fillcolor="#a0a0a0" stroked="f"/>
        </w:pict>
      </w:r>
    </w:p>
    <w:p w14:paraId="1442CC84" w14:textId="77777777" w:rsidR="00055FD6" w:rsidRPr="00055FD6" w:rsidRDefault="00055FD6" w:rsidP="00055FD6">
      <w:r w:rsidRPr="00055FD6">
        <w:rPr>
          <w:b/>
          <w:bCs/>
        </w:rPr>
        <w:lastRenderedPageBreak/>
        <w:t>Comment 2:</w:t>
      </w:r>
      <w:r w:rsidRPr="00055FD6">
        <w:t xml:space="preserve"> </w:t>
      </w:r>
      <w:r w:rsidRPr="00055FD6">
        <w:rPr>
          <w:i/>
          <w:iCs/>
        </w:rPr>
        <w:t xml:space="preserve">"In order to avoid confusion the author should note that this is not really an error correction model as that term is usually understood. That model is generally of the form </w:t>
      </w:r>
      <w:proofErr w:type="spellStart"/>
      <w:r w:rsidRPr="00055FD6">
        <w:rPr>
          <w:i/>
          <w:iCs/>
        </w:rPr>
        <w:t>dy</w:t>
      </w:r>
      <w:proofErr w:type="spellEnd"/>
      <w:r w:rsidRPr="00055FD6">
        <w:rPr>
          <w:i/>
          <w:iCs/>
        </w:rPr>
        <w:t xml:space="preserve">(t) = </w:t>
      </w:r>
      <w:proofErr w:type="spellStart"/>
      <w:r w:rsidRPr="00055FD6">
        <w:rPr>
          <w:i/>
          <w:iCs/>
        </w:rPr>
        <w:t>dy</w:t>
      </w:r>
      <w:proofErr w:type="spellEnd"/>
      <w:r w:rsidRPr="00055FD6">
        <w:rPr>
          <w:i/>
          <w:iCs/>
        </w:rPr>
        <w:t>(t-1) + dx(t-1) + (y-</w:t>
      </w:r>
      <w:proofErr w:type="gramStart"/>
      <w:r w:rsidRPr="00055FD6">
        <w:rPr>
          <w:i/>
          <w:iCs/>
        </w:rPr>
        <w:t>x)(</w:t>
      </w:r>
      <w:proofErr w:type="gramEnd"/>
      <w:r w:rsidRPr="00055FD6">
        <w:rPr>
          <w:i/>
          <w:iCs/>
        </w:rPr>
        <w:t xml:space="preserve">t-1) (coefficients omitted). This model is </w:t>
      </w:r>
      <w:proofErr w:type="spellStart"/>
      <w:r w:rsidRPr="00055FD6">
        <w:rPr>
          <w:i/>
          <w:iCs/>
        </w:rPr>
        <w:t>dy</w:t>
      </w:r>
      <w:proofErr w:type="spellEnd"/>
      <w:r w:rsidRPr="00055FD6">
        <w:rPr>
          <w:i/>
          <w:iCs/>
        </w:rPr>
        <w:t xml:space="preserve">(t) = </w:t>
      </w:r>
      <w:proofErr w:type="spellStart"/>
      <w:r w:rsidRPr="00055FD6">
        <w:rPr>
          <w:i/>
          <w:iCs/>
        </w:rPr>
        <w:t>dy</w:t>
      </w:r>
      <w:proofErr w:type="spellEnd"/>
      <w:r w:rsidRPr="00055FD6">
        <w:rPr>
          <w:i/>
          <w:iCs/>
        </w:rPr>
        <w:t>(t-1) + (x-</w:t>
      </w:r>
      <w:proofErr w:type="gramStart"/>
      <w:r w:rsidRPr="00055FD6">
        <w:rPr>
          <w:i/>
          <w:iCs/>
        </w:rPr>
        <w:t>z)(</w:t>
      </w:r>
      <w:proofErr w:type="gramEnd"/>
      <w:r w:rsidRPr="00055FD6">
        <w:rPr>
          <w:i/>
          <w:iCs/>
        </w:rPr>
        <w:t>t-1). The dependent variable is normally part of the error calculation. It's not like the present formulation is wrong, but it is non-standard."</w:t>
      </w:r>
    </w:p>
    <w:p w14:paraId="61AC8ECF" w14:textId="6913347A" w:rsidR="00055FD6" w:rsidRPr="00055FD6" w:rsidRDefault="00055FD6" w:rsidP="00055FD6">
      <w:r w:rsidRPr="00055FD6">
        <w:rPr>
          <w:b/>
          <w:bCs/>
        </w:rPr>
        <w:t>Response:</w:t>
      </w:r>
      <w:r w:rsidRPr="00055FD6">
        <w:t xml:space="preserve"> The referee is correct, and we thank them for the clarifying note. We have revised the terminology throughout the paper. The specification is now consistently described as a panel Autoregressive Distributed Lag (ARDL) model rather than an error correction model. Where we describe the role of the lagged level of RDI, we now explicitly characterize it as playing a role </w:t>
      </w:r>
      <w:r w:rsidRPr="00055FD6">
        <w:rPr>
          <w:i/>
          <w:iCs/>
        </w:rPr>
        <w:t>analogous</w:t>
      </w:r>
      <w:r w:rsidRPr="00055FD6">
        <w:t xml:space="preserve"> to an error-correction term</w:t>
      </w:r>
      <w:r w:rsidR="00644FCD">
        <w:t xml:space="preserve">. That is, it </w:t>
      </w:r>
      <w:r w:rsidR="00C52E85">
        <w:t>serves to capture</w:t>
      </w:r>
      <w:r w:rsidRPr="00055FD6">
        <w:t xml:space="preserve"> accumulated demand pressure</w:t>
      </w:r>
      <w:r w:rsidR="00C52E85">
        <w:t xml:space="preserve">. We also note </w:t>
      </w:r>
      <w:r w:rsidRPr="00055FD6">
        <w:t>that the specification is a stationary ARDL rather than a cointegrating ECM in the Engle-Granger sense. Specifically, Section 4.1 now reads: "</w:t>
      </w:r>
      <w:r w:rsidR="00F2249C" w:rsidRPr="00F2249C">
        <w:t>The specification follows the ARDL representation of an error-correction model.</w:t>
      </w:r>
      <w:r w:rsidR="00F2249C">
        <w:t xml:space="preserve"> </w:t>
      </w:r>
      <w:r w:rsidR="00F2249C" w:rsidRPr="00F2249C">
        <w:t xml:space="preserve">The lagged level </w:t>
      </w:r>
      <w:proofErr w:type="spellStart"/>
      <w:r w:rsidR="00F2249C" w:rsidRPr="00F2249C">
        <w:t>RDI</w:t>
      </w:r>
      <w:r w:rsidR="00F2249C">
        <w:rPr>
          <w:vertAlign w:val="subscript"/>
        </w:rPr>
        <w:t>_</w:t>
      </w:r>
      <w:proofErr w:type="gramStart"/>
      <w:r w:rsidR="00F2249C">
        <w:rPr>
          <w:vertAlign w:val="subscript"/>
        </w:rPr>
        <w:t>m,t</w:t>
      </w:r>
      <w:proofErr w:type="spellEnd"/>
      <w:proofErr w:type="gramEnd"/>
      <w:r w:rsidR="00F2249C" w:rsidRPr="00F2249C">
        <w:t xml:space="preserve"> plays a role analogous to an error-correction</w:t>
      </w:r>
      <w:r w:rsidR="00F2249C">
        <w:t xml:space="preserve"> </w:t>
      </w:r>
      <w:r w:rsidR="00F2249C" w:rsidRPr="00F2249C">
        <w:t>term in a traditional ECM, capturing accumulated demand pressure, though we</w:t>
      </w:r>
      <w:r w:rsidR="00F2249C">
        <w:t xml:space="preserve"> </w:t>
      </w:r>
      <w:r w:rsidR="00F2249C" w:rsidRPr="00F2249C">
        <w:t>note that because the series are stationary rather than integrated, this is properly</w:t>
      </w:r>
      <w:r w:rsidR="00F2249C">
        <w:t xml:space="preserve"> </w:t>
      </w:r>
      <w:r w:rsidR="00F2249C" w:rsidRPr="00F2249C">
        <w:t>understood as a stationary ARDL rather than a cointegrating relationship.</w:t>
      </w:r>
      <w:r w:rsidRPr="00055FD6">
        <w:t>"</w:t>
      </w:r>
      <w:r w:rsidR="00F2249C">
        <w:t xml:space="preserve"> </w:t>
      </w:r>
      <w:r w:rsidRPr="00055FD6">
        <w:t xml:space="preserve">The same clarification is carried into the stock-flow motivation in Section 4.3 and wherever ECM language previously appeared. The abstract and </w:t>
      </w:r>
      <w:r w:rsidR="00F2249C">
        <w:t xml:space="preserve">conclusion </w:t>
      </w:r>
      <w:proofErr w:type="gramStart"/>
      <w:r w:rsidR="00F2249C">
        <w:t>has</w:t>
      </w:r>
      <w:proofErr w:type="gramEnd"/>
      <w:r w:rsidR="00F2249C">
        <w:t xml:space="preserve"> </w:t>
      </w:r>
      <w:r w:rsidRPr="00055FD6">
        <w:t>also been updated accordingly.</w:t>
      </w:r>
    </w:p>
    <w:p w14:paraId="33EF9782" w14:textId="77777777" w:rsidR="00055FD6" w:rsidRPr="00055FD6" w:rsidRDefault="000750C6" w:rsidP="00055FD6">
      <w:r>
        <w:pict w14:anchorId="03738B65">
          <v:rect id="_x0000_i1028" style="width:0;height:1.5pt" o:hralign="center" o:hrstd="t" o:hr="t" fillcolor="#a0a0a0" stroked="f"/>
        </w:pict>
      </w:r>
    </w:p>
    <w:p w14:paraId="099416D2" w14:textId="77777777" w:rsidR="00055FD6" w:rsidRPr="00055FD6" w:rsidRDefault="00055FD6" w:rsidP="00055FD6">
      <w:r w:rsidRPr="00055FD6">
        <w:rPr>
          <w:b/>
          <w:bCs/>
        </w:rPr>
        <w:t>Comment 3:</w:t>
      </w:r>
      <w:r w:rsidRPr="00055FD6">
        <w:t xml:space="preserve"> </w:t>
      </w:r>
      <w:r w:rsidRPr="00055FD6">
        <w:rPr>
          <w:i/>
          <w:iCs/>
        </w:rPr>
        <w:t xml:space="preserve">"Nevertheless, the equilibrium adjustment model is not estimated correctly. In the classic Engle-Granger error correction model estimation, it is correct to estimate the (long run) equilibrium relationship in a first </w:t>
      </w:r>
      <w:proofErr w:type="gramStart"/>
      <w:r w:rsidRPr="00055FD6">
        <w:rPr>
          <w:i/>
          <w:iCs/>
        </w:rPr>
        <w:t>stage, and</w:t>
      </w:r>
      <w:proofErr w:type="gramEnd"/>
      <w:r w:rsidRPr="00055FD6">
        <w:rPr>
          <w:i/>
          <w:iCs/>
        </w:rPr>
        <w:t xml:space="preserve"> place the error in the dynamic model in the second. This works only because the variables are integrated (of order 1) and the estimates of the first stage are super consistent. I don't think this data is integrated — you could of course do the panel ADF test, but it seems unlikely — so this doesn't work. The equilibrium error has all the problems of a generated regressor. The model should be estimated in a single step, basically regressing the rent change on the lagged changes and the lagged levels."</w:t>
      </w:r>
    </w:p>
    <w:p w14:paraId="113C196F" w14:textId="77777777" w:rsidR="00055FD6" w:rsidRPr="00055FD6" w:rsidRDefault="00055FD6" w:rsidP="00055FD6">
      <w:r w:rsidRPr="00055FD6">
        <w:rPr>
          <w:b/>
          <w:bCs/>
        </w:rPr>
        <w:t>Response:</w:t>
      </w:r>
      <w:r w:rsidRPr="00055FD6">
        <w:t xml:space="preserve"> This comment identifies the most important econometric issue with the prior version, and we have addressed it fully and directly. Following the referee's recommendation, we now estimate the model in a single step. The revised specification (Equation 14, Section 4.1) regresses </w:t>
      </w:r>
      <w:proofErr w:type="gramStart"/>
      <w:r w:rsidRPr="00055FD6">
        <w:t>next-year</w:t>
      </w:r>
      <w:proofErr w:type="gramEnd"/>
      <w:r w:rsidRPr="00055FD6">
        <w:t xml:space="preserve"> real rent growth on the lagged level of RDI, the contemporaneous change in RDI, the lagged level and change of supply growth, lagged rent growth, and bedroom density, all within a panel ARDL framework with metropolitan and year fixed effects. This is precisely the </w:t>
      </w:r>
      <w:proofErr w:type="gramStart"/>
      <w:r w:rsidRPr="00055FD6">
        <w:t>single-stage</w:t>
      </w:r>
      <w:proofErr w:type="gramEnd"/>
      <w:r w:rsidRPr="00055FD6">
        <w:t xml:space="preserve"> approach the referee recommends.</w:t>
      </w:r>
    </w:p>
    <w:p w14:paraId="49A87211" w14:textId="4F3442F6" w:rsidR="00055FD6" w:rsidRPr="00055FD6" w:rsidRDefault="00055FD6" w:rsidP="00055FD6">
      <w:r w:rsidRPr="00055FD6">
        <w:lastRenderedPageBreak/>
        <w:t xml:space="preserve">We also directly test the stationarity assumption the referee raises. Using an </w:t>
      </w:r>
      <w:proofErr w:type="spellStart"/>
      <w:r w:rsidRPr="00055FD6">
        <w:t>Im</w:t>
      </w:r>
      <w:proofErr w:type="spellEnd"/>
      <w:r w:rsidRPr="00055FD6">
        <w:t>-</w:t>
      </w:r>
      <w:proofErr w:type="spellStart"/>
      <w:r w:rsidRPr="00055FD6">
        <w:t>Pesaran</w:t>
      </w:r>
      <w:proofErr w:type="spellEnd"/>
      <w:r w:rsidRPr="00055FD6">
        <w:t xml:space="preserve">-Shin-style panel unit root test we obtain t-statistics of −3.07 for </w:t>
      </w:r>
      <m:oMath>
        <m:sSub>
          <m:sSubPr>
            <m:ctrlPr>
              <w:rPr>
                <w:rFonts w:ascii="Cambria Math" w:hAnsi="Cambria Math"/>
              </w:rPr>
            </m:ctrlPr>
          </m:sSubPr>
          <m:e>
            <m:r>
              <w:rPr>
                <w:rFonts w:ascii="Cambria Math" w:hAnsi="Cambria Math"/>
              </w:rPr>
              <m:t>RDI</m:t>
            </m:r>
          </m:e>
          <m:sub>
            <m:r>
              <w:rPr>
                <w:rFonts w:ascii="Cambria Math" w:hAnsi="Cambria Math"/>
              </w:rPr>
              <m:t>m,t</m:t>
            </m:r>
          </m:sub>
        </m:sSub>
      </m:oMath>
      <w:r w:rsidRPr="00055FD6">
        <w:t xml:space="preserve"> and −3.25 for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m,t+1</m:t>
            </m:r>
          </m:sub>
        </m:sSub>
      </m:oMath>
      <w:r w:rsidRPr="00055FD6">
        <w:t xml:space="preserve">, both below the 5% critical value of −2.98. This confirms that both series are stationary, consistent with the referee's intuition that the data are unlikely to be </w:t>
      </w:r>
      <w:r w:rsidR="009B3A8C">
        <w:t>co</w:t>
      </w:r>
      <w:r w:rsidRPr="00055FD6">
        <w:t>integrated. As the referee notes, this means the super-consistency justification for two-stage Engle-Granger estimation does not apply, and a single-stage approach is both appropriate and necessary. We state this explicitly in Section 4.1: "Single-stage estimation is therefore appropriate and avoids the generated-regressor problems that would arise from a two-stage approach. This also confirms that the lagged level of RDI enters as a stationary predictor rather than a cointegrating vector, so the specification is an ARDL rather than an error-correction model in the Engle-Granger sense."</w:t>
      </w:r>
    </w:p>
    <w:p w14:paraId="5E2CDF99" w14:textId="77777777" w:rsidR="00055FD6" w:rsidRPr="00055FD6" w:rsidRDefault="00055FD6" w:rsidP="00055FD6">
      <w:r w:rsidRPr="00055FD6">
        <w:t>The shift to single-stage estimation yields meaningful improvements in model fit. The within-R² rises to 0.141 from the lower values in the prior specification, and Ljung-Box tests at lag lengths 1 through 4 find no evidence of residual autocorrelation (lag 1: p = 0.458; lag 2: p = 0.676; lag 3: p = 0.785; lag 4: p = 0.111), confirming that the dynamic structure is well-specified.</w:t>
      </w:r>
    </w:p>
    <w:p w14:paraId="7A8AE039" w14:textId="77777777" w:rsidR="00055FD6" w:rsidRPr="00055FD6" w:rsidRDefault="000750C6" w:rsidP="00055FD6">
      <w:r>
        <w:pict w14:anchorId="02B7631C">
          <v:rect id="_x0000_i1029" style="width:0;height:1.5pt" o:hralign="center" o:hrstd="t" o:hr="t" fillcolor="#a0a0a0" stroked="f"/>
        </w:pict>
      </w:r>
    </w:p>
    <w:p w14:paraId="3CC8DD46" w14:textId="77777777" w:rsidR="00055FD6" w:rsidRPr="00055FD6" w:rsidRDefault="00055FD6" w:rsidP="00055FD6">
      <w:r w:rsidRPr="00055FD6">
        <w:t>We believe these revisions fully address the referee's remaining concerns. The paper is stronger for them. We are grateful for the referee's expert econometric guidance and hope this version is suitable for publication.</w:t>
      </w:r>
    </w:p>
    <w:p w14:paraId="259ACEF3" w14:textId="27B00873" w:rsidR="00962358" w:rsidRPr="00055FD6" w:rsidRDefault="00962358" w:rsidP="00055FD6"/>
    <w:sectPr w:rsidR="00962358" w:rsidRPr="00055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1BE"/>
    <w:multiLevelType w:val="hybridMultilevel"/>
    <w:tmpl w:val="6E565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0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93"/>
    <w:rsid w:val="00055FD6"/>
    <w:rsid w:val="000F0BC1"/>
    <w:rsid w:val="002A702A"/>
    <w:rsid w:val="003C7296"/>
    <w:rsid w:val="00527E93"/>
    <w:rsid w:val="00563AB2"/>
    <w:rsid w:val="00644FCD"/>
    <w:rsid w:val="00962358"/>
    <w:rsid w:val="009A1E60"/>
    <w:rsid w:val="009B3A8C"/>
    <w:rsid w:val="00A444D5"/>
    <w:rsid w:val="00C47980"/>
    <w:rsid w:val="00C52E85"/>
    <w:rsid w:val="00CA21C8"/>
    <w:rsid w:val="00CB4EDA"/>
    <w:rsid w:val="00E61AFC"/>
    <w:rsid w:val="00EC5C42"/>
    <w:rsid w:val="00EF27A2"/>
    <w:rsid w:val="00F2249C"/>
    <w:rsid w:val="00FD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9406"/>
  <w15:chartTrackingRefBased/>
  <w15:docId w15:val="{DFA3195F-B853-4B66-A4ED-BDA538AA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93"/>
    <w:rPr>
      <w:rFonts w:eastAsiaTheme="majorEastAsia" w:cstheme="majorBidi"/>
      <w:color w:val="272727" w:themeColor="text1" w:themeTint="D8"/>
    </w:rPr>
  </w:style>
  <w:style w:type="paragraph" w:styleId="Title">
    <w:name w:val="Title"/>
    <w:basedOn w:val="Normal"/>
    <w:next w:val="Normal"/>
    <w:link w:val="TitleChar"/>
    <w:uiPriority w:val="10"/>
    <w:qFormat/>
    <w:rsid w:val="0052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93"/>
    <w:pPr>
      <w:spacing w:before="160"/>
      <w:jc w:val="center"/>
    </w:pPr>
    <w:rPr>
      <w:i/>
      <w:iCs/>
      <w:color w:val="404040" w:themeColor="text1" w:themeTint="BF"/>
    </w:rPr>
  </w:style>
  <w:style w:type="character" w:customStyle="1" w:styleId="QuoteChar">
    <w:name w:val="Quote Char"/>
    <w:basedOn w:val="DefaultParagraphFont"/>
    <w:link w:val="Quote"/>
    <w:uiPriority w:val="29"/>
    <w:rsid w:val="00527E93"/>
    <w:rPr>
      <w:i/>
      <w:iCs/>
      <w:color w:val="404040" w:themeColor="text1" w:themeTint="BF"/>
    </w:rPr>
  </w:style>
  <w:style w:type="paragraph" w:styleId="ListParagraph">
    <w:name w:val="List Paragraph"/>
    <w:basedOn w:val="Normal"/>
    <w:uiPriority w:val="34"/>
    <w:qFormat/>
    <w:rsid w:val="00527E93"/>
    <w:pPr>
      <w:ind w:left="720"/>
      <w:contextualSpacing/>
    </w:pPr>
  </w:style>
  <w:style w:type="character" w:styleId="IntenseEmphasis">
    <w:name w:val="Intense Emphasis"/>
    <w:basedOn w:val="DefaultParagraphFont"/>
    <w:uiPriority w:val="21"/>
    <w:qFormat/>
    <w:rsid w:val="00527E93"/>
    <w:rPr>
      <w:i/>
      <w:iCs/>
      <w:color w:val="0F4761" w:themeColor="accent1" w:themeShade="BF"/>
    </w:rPr>
  </w:style>
  <w:style w:type="paragraph" w:styleId="IntenseQuote">
    <w:name w:val="Intense Quote"/>
    <w:basedOn w:val="Normal"/>
    <w:next w:val="Normal"/>
    <w:link w:val="IntenseQuoteChar"/>
    <w:uiPriority w:val="30"/>
    <w:qFormat/>
    <w:rsid w:val="0052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93"/>
    <w:rPr>
      <w:i/>
      <w:iCs/>
      <w:color w:val="0F4761" w:themeColor="accent1" w:themeShade="BF"/>
    </w:rPr>
  </w:style>
  <w:style w:type="character" w:styleId="IntenseReference">
    <w:name w:val="Intense Reference"/>
    <w:basedOn w:val="DefaultParagraphFont"/>
    <w:uiPriority w:val="32"/>
    <w:qFormat/>
    <w:rsid w:val="00527E93"/>
    <w:rPr>
      <w:b/>
      <w:bCs/>
      <w:smallCaps/>
      <w:color w:val="0F4761" w:themeColor="accent1" w:themeShade="BF"/>
      <w:spacing w:val="5"/>
    </w:rPr>
  </w:style>
  <w:style w:type="character" w:styleId="PlaceholderText">
    <w:name w:val="Placeholder Text"/>
    <w:basedOn w:val="DefaultParagraphFont"/>
    <w:uiPriority w:val="99"/>
    <w:semiHidden/>
    <w:rsid w:val="00C52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1092</Words>
  <Characters>5921</Characters>
  <Application>Microsoft Office Word</Application>
  <DocSecurity>0</DocSecurity>
  <Lines>91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12</cp:revision>
  <dcterms:created xsi:type="dcterms:W3CDTF">2026-04-27T18:45:00Z</dcterms:created>
  <dcterms:modified xsi:type="dcterms:W3CDTF">2026-06-22T16:59:00Z</dcterms:modified>
</cp:coreProperties>
</file>