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3EEC8">
      <w:pPr>
        <w:pStyle w:val="3"/>
        <w:rPr>
          <w:lang w:eastAsia="zh-CN"/>
        </w:rPr>
      </w:pPr>
      <w:r>
        <w:rPr>
          <w:rFonts w:ascii="黑体" w:hAnsi="黑体"/>
          <w:sz w:val="44"/>
          <w:lang w:eastAsia="zh-CN"/>
        </w:rPr>
        <w:t>人工智能产品的"免费增值"定价策略研究——以OpenAI为例</w:t>
      </w:r>
    </w:p>
    <w:p w14:paraId="72FC1970">
      <w:pPr>
        <w:rPr>
          <w:lang w:eastAsia="zh-CN"/>
        </w:rPr>
      </w:pPr>
      <w:r>
        <w:rPr>
          <w:rFonts w:ascii="仿宋" w:hAnsi="仿宋"/>
          <w:sz w:val="24"/>
          <w:lang w:eastAsia="zh-CN"/>
        </w:rPr>
        <w:t>学生姓名：陈欢欣　　学号：2120223396</w:t>
      </w:r>
    </w:p>
    <w:p w14:paraId="4C68D306">
      <w:pPr>
        <w:rPr>
          <w:lang w:eastAsia="zh-CN"/>
        </w:rPr>
      </w:pPr>
      <w:r>
        <w:rPr>
          <w:rFonts w:ascii="仿宋" w:hAnsi="仿宋"/>
          <w:sz w:val="24"/>
          <w:lang w:eastAsia="zh-CN"/>
        </w:rPr>
        <w:t>学院：营销与物流管理学院　　专业：市场营销</w:t>
      </w:r>
    </w:p>
    <w:p w14:paraId="6C747840">
      <w:pPr>
        <w:rPr>
          <w:lang w:eastAsia="zh-CN"/>
        </w:rPr>
      </w:pPr>
      <w:r>
        <w:rPr>
          <w:rFonts w:ascii="仿宋" w:hAnsi="仿宋"/>
          <w:sz w:val="24"/>
          <w:lang w:eastAsia="zh-CN"/>
        </w:rPr>
        <w:t>指导教师：徐冬莉</w:t>
      </w:r>
    </w:p>
    <w:p w14:paraId="4B361EBE">
      <w:pPr>
        <w:rPr>
          <w:lang w:eastAsia="zh-CN"/>
        </w:rPr>
      </w:pPr>
      <w:r>
        <w:rPr>
          <w:lang w:eastAsia="zh-CN"/>
        </w:rPr>
        <w:br w:type="page"/>
      </w:r>
    </w:p>
    <w:p w14:paraId="764643A6">
      <w:pPr>
        <w:pStyle w:val="3"/>
        <w:rPr>
          <w:lang w:eastAsia="zh-CN"/>
        </w:rPr>
      </w:pPr>
      <w:r>
        <w:rPr>
          <w:rFonts w:ascii="黑体" w:hAnsi="黑体"/>
          <w:lang w:eastAsia="zh-CN"/>
        </w:rPr>
        <w:t>摘要</w:t>
      </w:r>
    </w:p>
    <w:p w14:paraId="009E3557">
      <w:pPr>
        <w:rPr>
          <w:lang w:eastAsia="zh-CN"/>
        </w:rPr>
      </w:pPr>
      <w:r>
        <w:rPr>
          <w:rFonts w:ascii="仿宋" w:hAnsi="仿宋"/>
          <w:sz w:val="20"/>
          <w:lang w:eastAsia="zh-CN"/>
        </w:rPr>
        <w:t>随着ChatGPT的发布，生成式人工智能技术迅速席卷全球。然而，大语言模型的每一次交互都伴随着昂贵的推理成本，这使得传统的"免费增值"（Freemium）商业模式面临挑战。本文以OpenAI为核心案例，运用案例分析法、文献研究法和比较分析法，系统剖析其多层级定价体系，探讨在高推理成本约束下免费策略的经济学逻辑。研究发现：OpenAI通过功能限制实现用户筛选，通过免费用户的数据贡献获取非货币化收益，以20美元的Plus订阅价格确立行业锚点。最后，结合DeepSeek等中国企业的竞争策略，为中国AI企业提供策略建议。</w:t>
      </w:r>
    </w:p>
    <w:p w14:paraId="5070EBA6">
      <w:pPr>
        <w:rPr>
          <w:lang w:eastAsia="zh-CN"/>
        </w:rPr>
      </w:pPr>
      <w:r>
        <w:rPr>
          <w:rFonts w:ascii="仿宋" w:hAnsi="仿宋"/>
          <w:b/>
          <w:sz w:val="20"/>
          <w:lang w:eastAsia="zh-CN"/>
        </w:rPr>
        <w:t>关键词：免费增值；人工智能；定价策略；OpenAI；价格歧视</w:t>
      </w:r>
    </w:p>
    <w:p w14:paraId="170D1D1E">
      <w:pPr>
        <w:rPr>
          <w:lang w:eastAsia="zh-CN"/>
        </w:rPr>
      </w:pPr>
      <w:r>
        <w:rPr>
          <w:lang w:eastAsia="zh-CN"/>
        </w:rPr>
        <w:br w:type="page"/>
      </w:r>
    </w:p>
    <w:p w14:paraId="6D22D6B8">
      <w:pPr>
        <w:pStyle w:val="3"/>
      </w:pPr>
      <w:r>
        <w:rPr>
          <w:rFonts w:ascii="Times New Roman" w:hAnsi="Times New Roman"/>
        </w:rPr>
        <w:t>Abstract</w:t>
      </w:r>
    </w:p>
    <w:p w14:paraId="6C945457">
      <w:r>
        <w:rPr>
          <w:rFonts w:ascii="Times New Roman" w:hAnsi="Times New Roman"/>
          <w:sz w:val="20"/>
        </w:rPr>
        <w:t>With the release of ChatGPT, generative AI technology has rapidly swept the globe. However, each interaction with large language models incurs expensive inference costs, challenging the traditional freemium business model. This paper takes OpenAI as a case study, employing case analysis, literature research, and comparative methods to systematically analyze its multi-tiered pricing system and explore the economic logic of free strategies under high inference cost constraints. The research finds that OpenAI achieves user screening through feature limitations, obtains non-monetary returns through free users' data contributions (RLHF), and establishes industry anchor points with the $20 Plus subscription. Finally, combined with competitive strategies of Chinese companies such as DeepSeek, this paper provides strategic recommendations for Chinese AI enterprises.</w:t>
      </w:r>
    </w:p>
    <w:p w14:paraId="1174856B">
      <w:r>
        <w:rPr>
          <w:rFonts w:ascii="Times New Roman" w:hAnsi="Times New Roman"/>
          <w:b/>
          <w:sz w:val="20"/>
        </w:rPr>
        <w:t>Keywords: Freemium; Artificial Intelligence; Pricing Strategy; OpenAI; Price Discrimination</w:t>
      </w:r>
    </w:p>
    <w:p w14:paraId="3E2F1E6E">
      <w:r>
        <w:br w:type="page"/>
      </w:r>
    </w:p>
    <w:p w14:paraId="30AF4385">
      <w:pPr>
        <w:pStyle w:val="3"/>
        <w:rPr>
          <w:lang w:eastAsia="zh-CN"/>
        </w:rPr>
      </w:pPr>
      <w:r>
        <w:rPr>
          <w:rFonts w:ascii="黑体" w:hAnsi="黑体"/>
          <w:lang w:eastAsia="zh-CN"/>
        </w:rPr>
        <w:t>一、引言</w:t>
      </w:r>
    </w:p>
    <w:p w14:paraId="4EBE0BD3">
      <w:pPr>
        <w:rPr>
          <w:lang w:eastAsia="zh-CN"/>
        </w:rPr>
      </w:pPr>
      <w:r>
        <w:rPr>
          <w:rFonts w:ascii="仿宋" w:hAnsi="仿宋"/>
          <w:sz w:val="24"/>
          <w:lang w:eastAsia="zh-CN"/>
        </w:rPr>
        <w:t>2022年末，OpenAI发布的ChatGPT标志着生成式人工智能技术从实验室走向大众市场。这一技术突破不仅引发了全球范围内的产业变革，更被广泛视为继蒸汽机、电力和互联网之后第四次工业革命的核心驱动力。根据瑞银集团（UBS）分析师报告，ChatGPT在发布后仅两个月便突破1亿月活跃用户，创造了互联网产品增长的新纪录（Hu, 2023）。这一现象级应用不仅引发了全球范围内的AI创业热潮，也推动了微软、谷歌、百度、阿里等科技巨头纷纷加速布局大语言模型赛道。</w:t>
      </w:r>
    </w:p>
    <w:p w14:paraId="6BD87491">
      <w:pPr>
        <w:rPr>
          <w:lang w:eastAsia="zh-CN"/>
        </w:rPr>
      </w:pPr>
      <w:r>
        <w:rPr>
          <w:rFonts w:ascii="仿宋" w:hAnsi="仿宋"/>
          <w:sz w:val="24"/>
          <w:lang w:eastAsia="zh-CN"/>
        </w:rPr>
        <w:t>然而，伴随着技术热潮而来的，是行业对于商业化变现路径的深刻思考。与移动互联网时代边际成本趋近于零的软件分发模式不同，大语言模型的每一次交互都伴随着昂贵的推理（Inference）成本。根据半导体分析机构SemiAnalysis的测算，ChatGPT每次查询的推理成本约为0.36美分，以GPT-4为例，单次对话的推理成本约为0.01至0.07美元，重度用户每月可能产生数十美元的算力消耗（Patel &amp; Ahmad, 2023）。这种"高固定成本+高边际成本"的特殊成本结构，使得传统的互联网商业模式面临前所未有的挑战。</w:t>
      </w:r>
    </w:p>
    <w:p w14:paraId="69FCD37D">
      <w:pPr>
        <w:rPr>
          <w:lang w:eastAsia="zh-CN"/>
        </w:rPr>
      </w:pPr>
      <w:r>
        <w:rPr>
          <w:rFonts w:ascii="仿宋" w:hAnsi="仿宋"/>
          <w:sz w:val="24"/>
          <w:lang w:eastAsia="zh-CN"/>
        </w:rPr>
        <w:t>OpenAI作为行业的领头羊，其采取的"免费增值"（Freemium）定价策略成为了全行业关注的焦点。免费增值模式是指企业提供免费的基础版本以获取海量用户，同时通过付费高级版本实现变现的商业模式（Anderson, 2009）。OpenAI目前形成了包括ChatGPT Free、Plus、Team和Enterprise在内的多层级产品矩阵。这一策略不仅关乎OpenAI自身的生存与盈利，更对全球AI创业公司具有极强的示范效应。特别是在中国市场，随着大模型竞争的持续升级，DeepSeek等本土模型厂商正在通过开源和低价策略重塑市场格局，引发了新一轮的价格竞争。</w:t>
      </w:r>
    </w:p>
    <w:p w14:paraId="234A4325">
      <w:pPr>
        <w:rPr>
          <w:lang w:eastAsia="zh-CN"/>
        </w:rPr>
      </w:pPr>
      <w:r>
        <w:rPr>
          <w:rFonts w:ascii="仿宋" w:hAnsi="仿宋"/>
          <w:sz w:val="24"/>
          <w:lang w:eastAsia="zh-CN"/>
        </w:rPr>
        <w:t>在此背景下，深入研究OpenAI的定价策略兼具理论价值与实践意义。在理论层面，本研究的意义在于，生成式AI的高推理成本特性对传统免费增值理论的零边际成本假设构成了根本挑战，通过剖析OpenAI的定价策略，可以丰富和拓展现有的互联网定价理论体系。在实践层面，OpenAI作为行业领头羊，其定价策略对全球AI企业具有强烈的示范效应，深入研究其策略逻辑可为中国AI企业在处理"高昂边际成本"与"市场规模扩张"这一核心矛盾时提供决策参考。</w:t>
      </w:r>
    </w:p>
    <w:p w14:paraId="72FEA905">
      <w:pPr>
        <w:rPr>
          <w:lang w:eastAsia="zh-CN"/>
        </w:rPr>
      </w:pPr>
      <w:r>
        <w:rPr>
          <w:rFonts w:ascii="仿宋" w:hAnsi="仿宋"/>
          <w:sz w:val="24"/>
          <w:lang w:eastAsia="zh-CN"/>
        </w:rPr>
        <w:t>本研究综合运用文献研究法、案例分析法和比较分析法三种研究方法，三者之间形成"理论—案例—比较"的三角验证关系。其中，文献研究法为研究奠定理论基础，通过系统查阅国内外关于价格歧视、双边市场、SaaS定价以及AI经济学的核心文献，构建分析框架。案例分析法提供微观洞察，以OpenAI为核心案例，系统梳理其从2022年至今的产品迭代与价格调整路径，深入剖析其定价决策的内在逻辑。比较分析法则提供宏观视野，将OpenAI置于全球AI竞争格局中进行横向对比，特别是与中国的DeepSeek以及Google Gemini、Anthropic Claude等竞品进行策略对比分析，以揭示不同市场环境下定价策略的差异与趋同。</w:t>
      </w:r>
    </w:p>
    <w:p w14:paraId="2EA72911">
      <w:pPr>
        <w:rPr>
          <w:lang w:eastAsia="zh-CN"/>
        </w:rPr>
      </w:pPr>
      <w:r>
        <w:rPr>
          <w:rFonts w:ascii="仿宋" w:hAnsi="仿宋"/>
          <w:sz w:val="24"/>
          <w:lang w:eastAsia="zh-CN"/>
        </w:rPr>
        <w:t>本文的结构安排如下：第二部分阐述理论基础并对国内外相关研究进行综述；第三部分分析OpenAI"免费增值"定价策略的现状；第四部分探讨定价策略的经济学机制与成本收益；第五部分讨论行业竞争视角下的挑战与启示；第六部分总结研究结论并提出建议。</w:t>
      </w:r>
    </w:p>
    <w:p w14:paraId="5DDF3B94">
      <w:pPr>
        <w:pStyle w:val="3"/>
        <w:rPr>
          <w:lang w:eastAsia="zh-CN"/>
        </w:rPr>
      </w:pPr>
      <w:r>
        <w:rPr>
          <w:rFonts w:ascii="黑体" w:hAnsi="黑体"/>
          <w:lang w:eastAsia="zh-CN"/>
        </w:rPr>
        <w:t>二、理论基础与国内外研究综述</w:t>
      </w:r>
    </w:p>
    <w:p w14:paraId="57FD84C4">
      <w:pPr>
        <w:rPr>
          <w:lang w:eastAsia="zh-CN"/>
        </w:rPr>
      </w:pPr>
      <w:r>
        <w:rPr>
          <w:rFonts w:ascii="仿宋" w:hAnsi="仿宋"/>
          <w:b/>
          <w:sz w:val="24"/>
          <w:lang w:eastAsia="zh-CN"/>
        </w:rPr>
        <w:t>（一）理论基础</w:t>
      </w:r>
    </w:p>
    <w:p w14:paraId="33DB318A">
      <w:pPr>
        <w:rPr>
          <w:lang w:eastAsia="zh-CN"/>
        </w:rPr>
      </w:pPr>
      <w:r>
        <w:rPr>
          <w:rFonts w:ascii="仿宋" w:hAnsi="仿宋"/>
          <w:sz w:val="24"/>
          <w:lang w:eastAsia="zh-CN"/>
        </w:rPr>
        <w:t>本研究的分析框架建立在以下四个相互关联的理论基础之上，它们分别从成本结构、定价策略、市场结构和消费者心理四个维度为理解人工智能产品的免费增值定价策略提供了理论支撑。</w:t>
      </w:r>
    </w:p>
    <w:p w14:paraId="7B0848E8">
      <w:pPr>
        <w:rPr>
          <w:lang w:eastAsia="zh-CN"/>
        </w:rPr>
      </w:pPr>
      <w:r>
        <w:rPr>
          <w:rFonts w:ascii="仿宋" w:hAnsi="仿宋"/>
          <w:sz w:val="24"/>
          <w:lang w:eastAsia="zh-CN"/>
        </w:rPr>
        <w:t>免费增值模式理论是本研究的核心出发点。Anderson（2009）在其著作中系统阐述了数字经济时代"免费"商业模式的经济学逻辑，指出数字产品的边际成本趋近于零，使得企业能够以免费的基础版本吸引海量用户，再通过增值功能向部分用户收取费用，从而实现"交叉补贴"式的盈利。然而，人工智能产品对这一经典假设提出了新的挑战：大语言模型每次推理都需要消耗大量算力资源，其边际成本远非零，这意味着免费增值模式在AI领域的适用条件和实施路径需要重新审视。</w:t>
      </w:r>
    </w:p>
    <w:p w14:paraId="07E1DAF4">
      <w:pPr>
        <w:rPr>
          <w:lang w:eastAsia="zh-CN"/>
        </w:rPr>
      </w:pPr>
      <w:r>
        <w:rPr>
          <w:rFonts w:ascii="仿宋" w:hAnsi="仿宋"/>
          <w:sz w:val="24"/>
          <w:lang w:eastAsia="zh-CN"/>
        </w:rPr>
        <w:t>在明确了免费增值模式的成本约束之后，如何通过差异化定价实现利润最大化便成为关键问题，这正是价格歧视理论的研究范畴。Varian（1989）提出的二级价格歧视理论指出，信息产品的卖方可以通过"版本划分"策略，设计功能差异化的产品版本，引导消费者根据自身需求和支付意愿进行自我选择，从而在无需获知每位消费者确切保留价格的前提下有效提取消费者剩余。Shapiro和Varian（1999）进一步将这一理论拓展至信息商品领域，提出了系统的版本化定价框架。OpenAI将产品划分为免费版、Plus版、Pro版及团队版等多个层级，正是对这一理论的典型应用实践。</w:t>
      </w:r>
    </w:p>
    <w:p w14:paraId="7E99810D">
      <w:pPr>
        <w:rPr>
          <w:lang w:eastAsia="zh-CN"/>
        </w:rPr>
      </w:pPr>
      <w:r>
        <w:rPr>
          <w:rFonts w:ascii="仿宋" w:hAnsi="仿宋"/>
          <w:sz w:val="24"/>
          <w:lang w:eastAsia="zh-CN"/>
        </w:rPr>
        <w:t>价格歧视理论解释了单一平台内部的定价逻辑，但人工智能平台往往同时服务于多类用户群体，因此还需要从市场结构的角度加以理解。Rochet和Tirole（2003，2006）提出的双边市场理论为此提供了分析工具。该理论指出，平台型企业连接两个或多个相互依存的用户群体，各群体之间存在交叉网络外部性，平台可以通过对一侧用户实施补贴来吸引另一侧的付费用户。在OpenAI的商业生态中，免费用户不仅是潜在的付费转化对象，更通过使用行为为模型提供了宝贵的反馈数据，而付费用户和API开发者则构成了主要的收入来源，这种交叉补贴结构体现了典型的双边市场特征。</w:t>
      </w:r>
    </w:p>
    <w:p w14:paraId="61F8DBB0">
      <w:pPr>
        <w:rPr>
          <w:lang w:eastAsia="zh-CN"/>
        </w:rPr>
      </w:pPr>
      <w:r>
        <w:rPr>
          <w:rFonts w:ascii="仿宋" w:hAnsi="仿宋"/>
          <w:sz w:val="24"/>
          <w:lang w:eastAsia="zh-CN"/>
        </w:rPr>
        <w:t>上述三个理论均基于理性经济人假设，但消费者的实际决策行为往往受到认知偏误的显著影响。Tversky和Kahneman（1974）提出的锚定效应理论揭示了这一现象：个体在进行数量估计和价值判断时，会过度依赖最初获得的信息作为参照点，后续的调整往往不够充分。在人工智能产品定价领域，OpenAI率先设定的每月20美元订阅价格已经成为行业性的价格锚点，后续进入市场的竞争者在制定定价策略时不可避免地受到这一锚点的深刻影响，消费者对AI产品的价值认知和支付意愿也因此被框定在特定范围之内。</w:t>
      </w:r>
    </w:p>
    <w:p w14:paraId="2310D478">
      <w:pPr>
        <w:rPr>
          <w:lang w:eastAsia="zh-CN"/>
        </w:rPr>
      </w:pPr>
      <w:r>
        <w:rPr>
          <w:rFonts w:ascii="仿宋" w:hAnsi="仿宋"/>
          <w:sz w:val="24"/>
          <w:lang w:eastAsia="zh-CN"/>
        </w:rPr>
        <w:t>综上所述，免费增值模式理论提供了商业模式的基本框架，价格歧视理论解释了多层级定价的内在机理，双边市场理论揭示了平台生态中不同用户群体间的交叉补贴关系，锚定效应理论则阐明了定价决策对消费者心理和市场竞争格局的深层影响。这四个理论从供给侧的成本与定价逻辑、需求侧的消费者行为以及市场结构的平台经济特征三个层面相互衔接、互为补充，共同构成了本文分析OpenAI免费增值定价策略的理论分析框架。</w:t>
      </w:r>
    </w:p>
    <w:p w14:paraId="57B3B7CA">
      <w:pPr>
        <w:rPr>
          <w:lang w:eastAsia="zh-CN"/>
        </w:rPr>
      </w:pPr>
      <w:r>
        <w:rPr>
          <w:rFonts w:ascii="仿宋" w:hAnsi="仿宋"/>
          <w:b/>
          <w:sz w:val="24"/>
          <w:lang w:eastAsia="zh-CN"/>
        </w:rPr>
        <w:t>（二）国内相关研究综述</w:t>
      </w:r>
    </w:p>
    <w:p w14:paraId="249EA311">
      <w:pPr>
        <w:rPr>
          <w:lang w:eastAsia="zh-CN"/>
        </w:rPr>
      </w:pPr>
      <w:r>
        <w:rPr>
          <w:rFonts w:ascii="仿宋" w:hAnsi="仿宋"/>
          <w:sz w:val="24"/>
          <w:lang w:eastAsia="zh-CN"/>
        </w:rPr>
        <w:t>国内学术界对"免费增值"模式的研究主要从互联网平台经济领域起步，早期侧重于网络效应下的用户转化机制，认为免费服务是建立用户信任和转移成本的关键。随着人工智能与数字经济的深度融合，研究焦点逐渐转向数据要素价值和AI商业模式的特殊性。</w:t>
      </w:r>
    </w:p>
    <w:p w14:paraId="74E27F1E">
      <w:pPr>
        <w:rPr>
          <w:lang w:eastAsia="zh-CN"/>
        </w:rPr>
      </w:pPr>
      <w:r>
        <w:rPr>
          <w:rFonts w:ascii="仿宋" w:hAnsi="仿宋"/>
          <w:sz w:val="24"/>
          <w:lang w:eastAsia="zh-CN"/>
        </w:rPr>
        <w:t>关于免费增值与平台定价机制的研究，国内学者积累了丰富成果。陈鹏宇等（2024）构建了信息产品在免费增值模式下的定价与广告策略博弈模型，证明了免费增值模式相比纯付费模式能够为开发者带来更高利润，为理解AI产品采用免费增值策略的合理性提供了直接的理论支撑。刘旭旺等（2023）进一步研究了免费增值模式下服务产品的最优定价与捆绑策略，基于多项Logit模型比较了单独销售与捆绑销售的效果，发现在网络效应作用下，免费版与付费版之间的质量差异程度是决定最优策略的关键因素，这一发现对OpenAI多层级产品设计的分析具有重要启示。在平台定价方面，李丹等（2023）系统比较了线上平台统一定价、商家发券和平台发券三种策略的均衡效果，揭示了不同定价模式对企业利润和消费者剩余的差异化影响。上述研究为本文分析OpenAI的多层级定价策略提供了重要的理论基础和方法论借鉴。</w:t>
      </w:r>
    </w:p>
    <w:p w14:paraId="303387BA">
      <w:pPr>
        <w:rPr>
          <w:lang w:eastAsia="zh-CN"/>
        </w:rPr>
      </w:pPr>
      <w:r>
        <w:rPr>
          <w:rFonts w:ascii="仿宋" w:hAnsi="仿宋"/>
          <w:sz w:val="24"/>
          <w:lang w:eastAsia="zh-CN"/>
        </w:rPr>
        <w:t>针对生成式AI的高成本特性，国内研究开始反思传统SaaS模式的适用性。在数据驱动的营销研究方面，杨扬等（2020）对过去十年的大数据营销文献进行了系统综述，梳理了从互联网时代到大数据与人工智能时代的营销演进历程，提炼出搜索营销、移动营销、口碑营销、社交媒体营销等热点主题，为理解数据要素在AI产品定价中的基础性作用提供了分析视角。在人工智能营销领域，朱国玮等（2021）通过对72篇国内外文献的系统梳理，构建了人工智能营销的三层理论框架，将其定义为"以大数据和人工智能为基础，智能分析和预测营销活动中隐藏的模式和发展趋势，最终实现企业与用户之间价值共创的营销模式"。该框架由基础层、特征层和目的层三个维度构成：基础层强调大数据与人工智能的结合是AI营销的底层逻辑，数据是不可或缺的关键要素，人工智能是支撑要素；特征层指出人工智能赋予营销智能化的特征，体现在数据处理、决策判断和任务执行三个方面的智能提升；目的层则揭示AI营销的终极目标是实现企业与用户之间的价值共创。这一框架对理解OpenAI的免费增值定价策略具有重要的理论启示。就基础层而言，OpenAI通过海量用户交互收集多样化数据，并以此为基础持续训练和优化大语言模型，形成了"数据采集—模型训练—服务输出"的完整闭环，体现了大数据与人工智能深度融合的底层逻辑。就特征层而言，GPT-4o相较于GPT-3.5在推理能力、多模态理解等方面的显著提升，正是智能化特征在AI产品中的具体呈现，这种智能能力的差异化构成了OpenAI实施功能分层与差异化定价的技术基础。就目的层而言，价值共创的理论视角为理解免费用户的非货币化贡献提供了全新解释——免费用户并非单纯的"搭便车者"，而是通过对话交互、反馈评价等行为持续为模型优化贡献数据价值，与企业共同创造了更优质的AI服务。</w:t>
      </w:r>
    </w:p>
    <w:p w14:paraId="43EABEB7">
      <w:pPr>
        <w:rPr>
          <w:lang w:eastAsia="zh-CN"/>
        </w:rPr>
      </w:pPr>
      <w:r>
        <w:rPr>
          <w:rFonts w:ascii="仿宋" w:hAnsi="仿宋"/>
          <w:sz w:val="24"/>
          <w:lang w:eastAsia="zh-CN"/>
        </w:rPr>
        <w:t>在竞争策略方面，近期文献开始关注中国本土AI企业的崛起。DeepSeek等企业的开源策略被视为对美国闭源模型的有力挑战。研究指出，中国企业在应用层部署和成本控制上具有优势，通过"开源模型+低价API"的模式，正在构建不同于OpenAI的商业生态。与此同时，科技部等六部门（2022）发布的《关于加快场景创新以人工智能高水平应用促进经济高质量发展的指导意见》为中国AI产业的商业化提供了政策指引，鼓励企业探索多元化的商业模式和应用场景创新，这也为中国AI企业在定价策略上的差异化探索奠定了政策基础。</w:t>
      </w:r>
    </w:p>
    <w:p w14:paraId="1FA34BA6">
      <w:pPr>
        <w:rPr>
          <w:lang w:eastAsia="zh-CN"/>
        </w:rPr>
      </w:pPr>
      <w:r>
        <w:rPr>
          <w:rFonts w:ascii="仿宋" w:hAnsi="仿宋"/>
          <w:b/>
          <w:sz w:val="24"/>
          <w:lang w:eastAsia="zh-CN"/>
        </w:rPr>
        <w:t>（三）国外相关研究综述</w:t>
      </w:r>
    </w:p>
    <w:p w14:paraId="5699D8A0">
      <w:pPr>
        <w:rPr>
          <w:lang w:eastAsia="zh-CN"/>
        </w:rPr>
      </w:pPr>
      <w:r>
        <w:rPr>
          <w:rFonts w:ascii="仿宋" w:hAnsi="仿宋"/>
          <w:sz w:val="24"/>
          <w:lang w:eastAsia="zh-CN"/>
        </w:rPr>
        <w:t>国外对于SaaS定价策略的研究较为成熟，且近期对生成式AI的经济学分析反应迅速，形成了较为系统的理论流派。在SaaS与免费增值经济学领域，Anderson（2009）在《免费：商业的未来》一书中系统阐述了免费增值模式的经济学基础，其核心观点是数字产品的边际成本趋近于零，因此企业可以通过海量免费用户分摊固定成本，并依靠极低比例的付费转化率实现盈利。Kumar（2014）进一步研究了免费增值模式中的用户转化机制，发现产品体验质量和功能差异化是驱动用户付费的关键因素。Gu等（2018）基于大规模用户数据，实证分析了免费用户向付费用户转化的影响因素，为理解AI产品的用户转化提供了方法论参考。</w:t>
      </w:r>
    </w:p>
    <w:p w14:paraId="67184A3D">
      <w:pPr>
        <w:rPr>
          <w:lang w:eastAsia="zh-CN"/>
        </w:rPr>
      </w:pPr>
      <w:r>
        <w:rPr>
          <w:rFonts w:ascii="仿宋" w:hAnsi="仿宋"/>
          <w:sz w:val="24"/>
          <w:lang w:eastAsia="zh-CN"/>
        </w:rPr>
        <w:t>针对AI时代的定价模式变革，Agrawal等（2018）在《预测机器》一书中从经济学角度系统分析了人工智能对商业的影响，指出AI本质上是一种预测技术，其价值在于降低预测成本，这一观点为理解AI产品定价提供了重要的理论基础。Varian（2019）作为Google首席经济学家，探讨了AI技术对传统经济学理论的挑战，指出AI产品的规模经济与范围经济特性需要新的定价理论框架。关于价格歧视理论在数字产品中的应用，Shapiro和Varian（1999）的经典著作《信息规则》提出了版本划分（Versioning）策略，即通过设计不同版本的产品来实现对不同支付意愿消费者的价格歧视。Bhargava和Choudhary（2008）进一步研究了数字产品版本划分的最优策略，发现功能差异化是实现有效价格歧视的关键机制。在AI推理成本研究方面，Patterson等（2021）在《Carbon Emissions and Large Neural Network Training》中详细测算了大模型训练与推理的能源消耗和成本结构，为理解AI产品的边际成本提供了技术基础。Kaplan等（2020）提出的神经网络规模定律（Scaling Laws）揭示了模型参数、数据量与计算量之间的关系，为分析推理成本随模型规模的变化提供了理论依据。</w:t>
      </w:r>
    </w:p>
    <w:p w14:paraId="29E4F761">
      <w:pPr>
        <w:rPr>
          <w:lang w:eastAsia="zh-CN"/>
        </w:rPr>
      </w:pPr>
      <w:r>
        <w:rPr>
          <w:rFonts w:ascii="仿宋" w:hAnsi="仿宋"/>
          <w:sz w:val="24"/>
          <w:lang w:eastAsia="zh-CN"/>
        </w:rPr>
        <w:t>通过对上述国内外文献的梳理，可以发现现有研究在以下方面已形成基本共识：免费增值模式的核心在于通过免费服务积累用户基数、依靠功能差异化驱动付费转化；价格歧视理论为多层级定价提供了坚实的理论基础；网络效应和用户锁定是平台型产品定价的关键考量。然而，学界对于AI产品是否适用传统免费增值框架尚存分歧：乐观者认为数据网络效应可以补偿高边际成本，而审慎者则指出持续的推理成本消耗可能使免费策略在长期内不可持续。综合来看，国内外现有研究多集中在低边际成本的传统互联网产品上，关于生成式AI这种"高技术门槛、高边际成本"产品的定价策略研究尚处于起步阶段。本研究将尝试填补上述空白。</w:t>
      </w:r>
    </w:p>
    <w:p w14:paraId="4FF30952">
      <w:pPr>
        <w:pStyle w:val="3"/>
        <w:rPr>
          <w:lang w:eastAsia="zh-CN"/>
        </w:rPr>
      </w:pPr>
      <w:r>
        <w:rPr>
          <w:rFonts w:ascii="黑体" w:hAnsi="黑体"/>
          <w:lang w:eastAsia="zh-CN"/>
        </w:rPr>
        <w:t>三、OpenAI"免费增值"定价策略现状分析</w:t>
      </w:r>
    </w:p>
    <w:p w14:paraId="39B97AC3">
      <w:pPr>
        <w:rPr>
          <w:lang w:eastAsia="zh-CN"/>
        </w:rPr>
      </w:pPr>
      <w:r>
        <w:rPr>
          <w:rFonts w:ascii="仿宋" w:hAnsi="仿宋"/>
          <w:b/>
          <w:sz w:val="24"/>
          <w:lang w:eastAsia="zh-CN"/>
        </w:rPr>
        <w:t>（一）OpenAI产品矩阵与定价体系演变</w:t>
      </w:r>
    </w:p>
    <w:p w14:paraId="1BA75ADE">
      <w:r>
        <w:rPr>
          <w:rFonts w:ascii="仿宋" w:hAnsi="仿宋"/>
          <w:sz w:val="24"/>
          <w:lang w:eastAsia="zh-CN"/>
        </w:rPr>
        <w:t>OpenAI的定价策略经历了从完全免费到多层级商业化的演变过程，这一演变过程反映了公司在市场教育、用户获取和商业变现之间的战略权衡。</w:t>
      </w:r>
      <w:r>
        <w:rPr>
          <w:rFonts w:ascii="仿宋" w:hAnsi="仿宋"/>
          <w:sz w:val="24"/>
        </w:rPr>
        <w:t>表1展示了OpenAI定价策略的演变历程。</w:t>
      </w:r>
    </w:p>
    <w:p w14:paraId="7E55A9D2">
      <w:r>
        <w:rPr>
          <w:rFonts w:ascii="仿宋" w:hAnsi="仿宋"/>
          <w:b/>
          <w:sz w:val="24"/>
        </w:rPr>
        <w:t>表1  OpenAI定价策略演变时间线</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138"/>
        <w:gridCol w:w="2126"/>
        <w:gridCol w:w="2124"/>
      </w:tblGrid>
      <w:tr w14:paraId="5BC0E901">
        <w:tc>
          <w:tcPr>
            <w:tcW w:w="2160" w:type="dxa"/>
          </w:tcPr>
          <w:p w14:paraId="3760DFD1">
            <w:pPr>
              <w:spacing w:after="0" w:line="240" w:lineRule="auto"/>
            </w:pPr>
            <w:r>
              <w:t>时间</w:t>
            </w:r>
          </w:p>
        </w:tc>
        <w:tc>
          <w:tcPr>
            <w:tcW w:w="2160" w:type="dxa"/>
          </w:tcPr>
          <w:p w14:paraId="1A771870">
            <w:pPr>
              <w:spacing w:after="0" w:line="240" w:lineRule="auto"/>
            </w:pPr>
            <w:r>
              <w:t>事件</w:t>
            </w:r>
          </w:p>
        </w:tc>
        <w:tc>
          <w:tcPr>
            <w:tcW w:w="2160" w:type="dxa"/>
          </w:tcPr>
          <w:p w14:paraId="65F14D69">
            <w:pPr>
              <w:spacing w:after="0" w:line="240" w:lineRule="auto"/>
            </w:pPr>
            <w:r>
              <w:t>定价策略</w:t>
            </w:r>
          </w:p>
        </w:tc>
        <w:tc>
          <w:tcPr>
            <w:tcW w:w="2160" w:type="dxa"/>
          </w:tcPr>
          <w:p w14:paraId="7533B558">
            <w:pPr>
              <w:spacing w:after="0" w:line="240" w:lineRule="auto"/>
            </w:pPr>
            <w:r>
              <w:t>战略意图</w:t>
            </w:r>
          </w:p>
        </w:tc>
      </w:tr>
      <w:tr w14:paraId="44750DF0">
        <w:tc>
          <w:tcPr>
            <w:tcW w:w="2160" w:type="dxa"/>
          </w:tcPr>
          <w:p w14:paraId="12B7A4C1">
            <w:pPr>
              <w:spacing w:after="0" w:line="240" w:lineRule="auto"/>
            </w:pPr>
            <w:r>
              <w:t>2022.11</w:t>
            </w:r>
          </w:p>
        </w:tc>
        <w:tc>
          <w:tcPr>
            <w:tcW w:w="2160" w:type="dxa"/>
          </w:tcPr>
          <w:p w14:paraId="2A384E57">
            <w:pPr>
              <w:spacing w:after="0" w:line="240" w:lineRule="auto"/>
            </w:pPr>
            <w:r>
              <w:t>ChatGPT发布</w:t>
            </w:r>
          </w:p>
        </w:tc>
        <w:tc>
          <w:tcPr>
            <w:tcW w:w="2160" w:type="dxa"/>
          </w:tcPr>
          <w:p w14:paraId="4D222B5C">
            <w:pPr>
              <w:spacing w:after="0" w:line="240" w:lineRule="auto"/>
            </w:pPr>
            <w:r>
              <w:t>完全免费</w:t>
            </w:r>
          </w:p>
        </w:tc>
        <w:tc>
          <w:tcPr>
            <w:tcW w:w="2160" w:type="dxa"/>
          </w:tcPr>
          <w:p w14:paraId="32E63466">
            <w:pPr>
              <w:spacing w:after="0" w:line="240" w:lineRule="auto"/>
              <w:rPr>
                <w:lang w:eastAsia="zh-CN"/>
              </w:rPr>
            </w:pPr>
            <w:r>
              <w:rPr>
                <w:lang w:eastAsia="zh-CN"/>
              </w:rPr>
              <w:t>市场教育、用户冷启动、数据积累</w:t>
            </w:r>
          </w:p>
        </w:tc>
      </w:tr>
      <w:tr w14:paraId="18F61437">
        <w:tc>
          <w:tcPr>
            <w:tcW w:w="2160" w:type="dxa"/>
          </w:tcPr>
          <w:p w14:paraId="59A484B5">
            <w:pPr>
              <w:spacing w:after="0" w:line="240" w:lineRule="auto"/>
            </w:pPr>
            <w:r>
              <w:t>2023.02</w:t>
            </w:r>
          </w:p>
        </w:tc>
        <w:tc>
          <w:tcPr>
            <w:tcW w:w="2160" w:type="dxa"/>
          </w:tcPr>
          <w:p w14:paraId="1783E966">
            <w:pPr>
              <w:spacing w:after="0" w:line="240" w:lineRule="auto"/>
            </w:pPr>
            <w:r>
              <w:t>ChatGPT Plus推出</w:t>
            </w:r>
          </w:p>
        </w:tc>
        <w:tc>
          <w:tcPr>
            <w:tcW w:w="2160" w:type="dxa"/>
          </w:tcPr>
          <w:p w14:paraId="3A9DB922">
            <w:pPr>
              <w:spacing w:after="0" w:line="240" w:lineRule="auto"/>
            </w:pPr>
            <w:r>
              <w:t>$20/月</w:t>
            </w:r>
          </w:p>
        </w:tc>
        <w:tc>
          <w:tcPr>
            <w:tcW w:w="2160" w:type="dxa"/>
          </w:tcPr>
          <w:p w14:paraId="4FD42757">
            <w:pPr>
              <w:spacing w:after="0" w:line="240" w:lineRule="auto"/>
              <w:rPr>
                <w:lang w:eastAsia="zh-CN"/>
              </w:rPr>
            </w:pPr>
            <w:r>
              <w:rPr>
                <w:lang w:eastAsia="zh-CN"/>
              </w:rPr>
              <w:t>商业化探索、确立行业锚点</w:t>
            </w:r>
          </w:p>
        </w:tc>
      </w:tr>
      <w:tr w14:paraId="36012C57">
        <w:tc>
          <w:tcPr>
            <w:tcW w:w="2160" w:type="dxa"/>
          </w:tcPr>
          <w:p w14:paraId="33725321">
            <w:pPr>
              <w:spacing w:after="0" w:line="240" w:lineRule="auto"/>
            </w:pPr>
            <w:r>
              <w:t>2023.03</w:t>
            </w:r>
          </w:p>
        </w:tc>
        <w:tc>
          <w:tcPr>
            <w:tcW w:w="2160" w:type="dxa"/>
          </w:tcPr>
          <w:p w14:paraId="43EBE7F6">
            <w:pPr>
              <w:spacing w:after="0" w:line="240" w:lineRule="auto"/>
            </w:pPr>
            <w:r>
              <w:t>GPT-4发布</w:t>
            </w:r>
          </w:p>
        </w:tc>
        <w:tc>
          <w:tcPr>
            <w:tcW w:w="2160" w:type="dxa"/>
          </w:tcPr>
          <w:p w14:paraId="4C2EB370">
            <w:pPr>
              <w:spacing w:after="0" w:line="240" w:lineRule="auto"/>
              <w:rPr>
                <w:lang w:eastAsia="zh-CN"/>
              </w:rPr>
            </w:pPr>
            <w:r>
              <w:rPr>
                <w:lang w:eastAsia="zh-CN"/>
              </w:rPr>
              <w:t>Plus专属优先访问</w:t>
            </w:r>
          </w:p>
        </w:tc>
        <w:tc>
          <w:tcPr>
            <w:tcW w:w="2160" w:type="dxa"/>
          </w:tcPr>
          <w:p w14:paraId="36A6BF2F">
            <w:pPr>
              <w:spacing w:after="0" w:line="240" w:lineRule="auto"/>
              <w:rPr>
                <w:lang w:eastAsia="zh-CN"/>
              </w:rPr>
            </w:pPr>
            <w:r>
              <w:rPr>
                <w:lang w:eastAsia="zh-CN"/>
              </w:rPr>
              <w:t>功能差异化、提升付费转化</w:t>
            </w:r>
          </w:p>
        </w:tc>
      </w:tr>
      <w:tr w14:paraId="05673312">
        <w:tc>
          <w:tcPr>
            <w:tcW w:w="2160" w:type="dxa"/>
          </w:tcPr>
          <w:p w14:paraId="660EDD45">
            <w:pPr>
              <w:spacing w:after="0" w:line="240" w:lineRule="auto"/>
            </w:pPr>
            <w:r>
              <w:t>2023.11</w:t>
            </w:r>
          </w:p>
        </w:tc>
        <w:tc>
          <w:tcPr>
            <w:tcW w:w="2160" w:type="dxa"/>
          </w:tcPr>
          <w:p w14:paraId="634B8DD6">
            <w:pPr>
              <w:spacing w:after="0" w:line="240" w:lineRule="auto"/>
            </w:pPr>
            <w:r>
              <w:t>GPT-4 Turbo发布</w:t>
            </w:r>
          </w:p>
        </w:tc>
        <w:tc>
          <w:tcPr>
            <w:tcW w:w="2160" w:type="dxa"/>
          </w:tcPr>
          <w:p w14:paraId="648D288D">
            <w:pPr>
              <w:spacing w:after="0" w:line="240" w:lineRule="auto"/>
            </w:pPr>
            <w:r>
              <w:t>API大幅降价</w:t>
            </w:r>
          </w:p>
        </w:tc>
        <w:tc>
          <w:tcPr>
            <w:tcW w:w="2160" w:type="dxa"/>
          </w:tcPr>
          <w:p w14:paraId="165992F3">
            <w:pPr>
              <w:spacing w:after="0" w:line="240" w:lineRule="auto"/>
              <w:rPr>
                <w:lang w:eastAsia="zh-CN"/>
              </w:rPr>
            </w:pPr>
            <w:r>
              <w:rPr>
                <w:lang w:eastAsia="zh-CN"/>
              </w:rPr>
              <w:t>扩大开发者生态、应对竞争</w:t>
            </w:r>
          </w:p>
        </w:tc>
      </w:tr>
      <w:tr w14:paraId="598CF58D">
        <w:tc>
          <w:tcPr>
            <w:tcW w:w="2160" w:type="dxa"/>
          </w:tcPr>
          <w:p w14:paraId="631EF541">
            <w:pPr>
              <w:spacing w:after="0" w:line="240" w:lineRule="auto"/>
            </w:pPr>
            <w:r>
              <w:t>2024.01</w:t>
            </w:r>
          </w:p>
        </w:tc>
        <w:tc>
          <w:tcPr>
            <w:tcW w:w="2160" w:type="dxa"/>
          </w:tcPr>
          <w:p w14:paraId="35B3B5E6">
            <w:pPr>
              <w:spacing w:after="0" w:line="240" w:lineRule="auto"/>
            </w:pPr>
            <w:r>
              <w:t>Team版推出</w:t>
            </w:r>
          </w:p>
        </w:tc>
        <w:tc>
          <w:tcPr>
            <w:tcW w:w="2160" w:type="dxa"/>
          </w:tcPr>
          <w:p w14:paraId="4A5618FD">
            <w:pPr>
              <w:spacing w:after="0" w:line="240" w:lineRule="auto"/>
            </w:pPr>
            <w:r>
              <w:t>$25-30/人/月</w:t>
            </w:r>
          </w:p>
        </w:tc>
        <w:tc>
          <w:tcPr>
            <w:tcW w:w="2160" w:type="dxa"/>
          </w:tcPr>
          <w:p w14:paraId="640972FB">
            <w:pPr>
              <w:spacing w:after="0" w:line="240" w:lineRule="auto"/>
            </w:pPr>
            <w:r>
              <w:t>中小企业市场渗透</w:t>
            </w:r>
          </w:p>
        </w:tc>
      </w:tr>
      <w:tr w14:paraId="2F904C00">
        <w:tc>
          <w:tcPr>
            <w:tcW w:w="2160" w:type="dxa"/>
          </w:tcPr>
          <w:p w14:paraId="0FB5116B">
            <w:pPr>
              <w:spacing w:after="0" w:line="240" w:lineRule="auto"/>
            </w:pPr>
            <w:r>
              <w:t>2023.08</w:t>
            </w:r>
            <w:bookmarkStart w:id="0" w:name="_GoBack"/>
            <w:bookmarkEnd w:id="0"/>
          </w:p>
        </w:tc>
        <w:tc>
          <w:tcPr>
            <w:tcW w:w="2160" w:type="dxa"/>
          </w:tcPr>
          <w:p w14:paraId="3069FEA1">
            <w:pPr>
              <w:spacing w:after="0" w:line="240" w:lineRule="auto"/>
            </w:pPr>
            <w:r>
              <w:t>Enterprise版推出</w:t>
            </w:r>
          </w:p>
        </w:tc>
        <w:tc>
          <w:tcPr>
            <w:tcW w:w="2160" w:type="dxa"/>
          </w:tcPr>
          <w:p w14:paraId="6D5A2846">
            <w:pPr>
              <w:spacing w:after="0" w:line="240" w:lineRule="auto"/>
            </w:pPr>
            <w:r>
              <w:t>定制化定价</w:t>
            </w:r>
          </w:p>
        </w:tc>
        <w:tc>
          <w:tcPr>
            <w:tcW w:w="2160" w:type="dxa"/>
          </w:tcPr>
          <w:p w14:paraId="36C7F1B4">
            <w:pPr>
              <w:spacing w:after="0" w:line="240" w:lineRule="auto"/>
              <w:rPr>
                <w:lang w:eastAsia="zh-CN"/>
              </w:rPr>
            </w:pPr>
            <w:r>
              <w:rPr>
                <w:lang w:eastAsia="zh-CN"/>
              </w:rPr>
              <w:t>大客户战略、数据隐私承诺</w:t>
            </w:r>
          </w:p>
        </w:tc>
      </w:tr>
    </w:tbl>
    <w:p w14:paraId="4DC06C06">
      <w:r>
        <w:rPr>
          <w:rFonts w:ascii="仿宋" w:hAnsi="仿宋"/>
          <w:sz w:val="20"/>
        </w:rPr>
        <w:t>资料来源：OpenAI官网公告整理（https://openai.com/pricing，访问日期：2026年3月）</w:t>
      </w:r>
    </w:p>
    <w:p>
      <w:pPr/>
      <w:r>
        <w:t>图1直观展示了OpenAI定价策略的演变历程。</w:t>
      </w:r>
    </w:p>
    <w:p>
      <w:pPr/>
      <w:r>
        <w:t>【请在此处手动插入图1 — 文件名：fig1_pricing_timeline.png | 建议宽度：14cm，居中】</w:t>
      </w:r>
    </w:p>
    <w:p>
      <w:pPr/>
      <w:r>
        <w:t>图1  OpenAI定价策略演变时间线（2022-2024）</w:t>
      </w:r>
    </w:p>
    <w:p w14:paraId="69FCFBB7">
      <w:pPr>
        <w:rPr>
          <w:lang w:eastAsia="zh-CN"/>
        </w:rPr>
      </w:pPr>
      <w:r>
        <w:rPr>
          <w:rFonts w:ascii="仿宋" w:hAnsi="仿宋"/>
          <w:sz w:val="24"/>
          <w:lang w:eastAsia="zh-CN"/>
        </w:rPr>
        <w:t>OpenAI于2022年11月30日发布ChatGPT时采取了零门槛准入的用户获取策略，其核心战略意图在于通过免费开放实现市场教育与用户基数的快速积累，即互联网行业所称的"冷启动"（Cold Start）。通过免费开放，ChatGPT在两个月内获得了超过1亿用户，免费策略帮助OpenAI快速建立了用户心智，确立了行业领导地位，同时也积累了大量用户交互数据用于模型优化。2023年2月，OpenAI推出ChatGPT Plus订阅服务，定价20美元每月，标志着公司正式开启商业化探索。Plus版本提供GPT-4优先访问权限、更快的响应速度、高峰期优先使用权以及早期功能体验等权益。20美元的定价具有重要的战略意义：从成本角度看，这一价格大致能够覆盖重度用户的推理成本；从市场角度看，这一价格设置了行业锚点，影响了后续竞争对手的定价决策。2023年下半年至2024年，OpenAI进一步丰富产品矩阵，推出Enterprise版（2023年8月）和Team版（2024年1月），进入规模化变现阶段。表2展示了当前OpenAI完整的产品分层与定价策略。</w:t>
      </w:r>
    </w:p>
    <w:p w14:paraId="29519E02">
      <w:r>
        <w:rPr>
          <w:rFonts w:ascii="仿宋" w:hAnsi="仿宋"/>
          <w:b/>
          <w:sz w:val="24"/>
        </w:rPr>
        <w:t>表2  OpenAI产品分层与定价策略（2024年）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1701"/>
        <w:gridCol w:w="1710"/>
        <w:gridCol w:w="1701"/>
        <w:gridCol w:w="1695"/>
      </w:tblGrid>
      <w:tr w14:paraId="2EFE1B04">
        <w:tc>
          <w:tcPr>
            <w:tcW w:w="1728" w:type="dxa"/>
          </w:tcPr>
          <w:p w14:paraId="3B27763D">
            <w:pPr>
              <w:spacing w:after="0" w:line="240" w:lineRule="auto"/>
            </w:pPr>
            <w:r>
              <w:t>产品层级</w:t>
            </w:r>
          </w:p>
        </w:tc>
        <w:tc>
          <w:tcPr>
            <w:tcW w:w="1728" w:type="dxa"/>
          </w:tcPr>
          <w:p w14:paraId="73EFCEE2">
            <w:pPr>
              <w:spacing w:after="0" w:line="240" w:lineRule="auto"/>
            </w:pPr>
            <w:r>
              <w:t>月费（美元）</w:t>
            </w:r>
          </w:p>
        </w:tc>
        <w:tc>
          <w:tcPr>
            <w:tcW w:w="1728" w:type="dxa"/>
          </w:tcPr>
          <w:p w14:paraId="51E0B44E">
            <w:pPr>
              <w:spacing w:after="0" w:line="240" w:lineRule="auto"/>
            </w:pPr>
            <w:r>
              <w:t>核心功能</w:t>
            </w:r>
          </w:p>
        </w:tc>
        <w:tc>
          <w:tcPr>
            <w:tcW w:w="1728" w:type="dxa"/>
          </w:tcPr>
          <w:p w14:paraId="3471E615">
            <w:pPr>
              <w:spacing w:after="0" w:line="240" w:lineRule="auto"/>
            </w:pPr>
            <w:r>
              <w:t>目标用户</w:t>
            </w:r>
          </w:p>
        </w:tc>
        <w:tc>
          <w:tcPr>
            <w:tcW w:w="1728" w:type="dxa"/>
          </w:tcPr>
          <w:p w14:paraId="109493FD">
            <w:pPr>
              <w:spacing w:after="0" w:line="240" w:lineRule="auto"/>
            </w:pPr>
            <w:r>
              <w:t>数据政策</w:t>
            </w:r>
          </w:p>
        </w:tc>
      </w:tr>
      <w:tr w14:paraId="041B9490">
        <w:tc>
          <w:tcPr>
            <w:tcW w:w="1728" w:type="dxa"/>
          </w:tcPr>
          <w:p w14:paraId="655F3494">
            <w:pPr>
              <w:spacing w:after="0" w:line="240" w:lineRule="auto"/>
            </w:pPr>
            <w:r>
              <w:t>Free</w:t>
            </w:r>
          </w:p>
        </w:tc>
        <w:tc>
          <w:tcPr>
            <w:tcW w:w="1728" w:type="dxa"/>
          </w:tcPr>
          <w:p w14:paraId="10710096">
            <w:pPr>
              <w:spacing w:after="0" w:line="240" w:lineRule="auto"/>
            </w:pPr>
            <w:r>
              <w:t>0</w:t>
            </w:r>
          </w:p>
        </w:tc>
        <w:tc>
          <w:tcPr>
            <w:tcW w:w="1728" w:type="dxa"/>
          </w:tcPr>
          <w:p w14:paraId="5A3046C5">
            <w:pPr>
              <w:spacing w:after="0" w:line="240" w:lineRule="auto"/>
            </w:pPr>
            <w:r>
              <w:t>GPT-4o-mini，限制访问次数</w:t>
            </w:r>
          </w:p>
        </w:tc>
        <w:tc>
          <w:tcPr>
            <w:tcW w:w="1728" w:type="dxa"/>
          </w:tcPr>
          <w:p w14:paraId="0917C9F6">
            <w:pPr>
              <w:spacing w:after="0" w:line="240" w:lineRule="auto"/>
            </w:pPr>
            <w:r>
              <w:t>个人体验用户、学生</w:t>
            </w:r>
          </w:p>
        </w:tc>
        <w:tc>
          <w:tcPr>
            <w:tcW w:w="1728" w:type="dxa"/>
          </w:tcPr>
          <w:p w14:paraId="70ABA666">
            <w:pPr>
              <w:spacing w:after="0" w:line="240" w:lineRule="auto"/>
            </w:pPr>
            <w:r>
              <w:t>用于模型训练</w:t>
            </w:r>
          </w:p>
        </w:tc>
      </w:tr>
      <w:tr w14:paraId="242FAB0A">
        <w:tc>
          <w:tcPr>
            <w:tcW w:w="1728" w:type="dxa"/>
          </w:tcPr>
          <w:p w14:paraId="311F1561">
            <w:pPr>
              <w:spacing w:after="0" w:line="240" w:lineRule="auto"/>
            </w:pPr>
            <w:r>
              <w:t>Plus</w:t>
            </w:r>
          </w:p>
        </w:tc>
        <w:tc>
          <w:tcPr>
            <w:tcW w:w="1728" w:type="dxa"/>
          </w:tcPr>
          <w:p w14:paraId="10840581">
            <w:pPr>
              <w:spacing w:after="0" w:line="240" w:lineRule="auto"/>
            </w:pPr>
            <w:r>
              <w:t>20</w:t>
            </w:r>
          </w:p>
        </w:tc>
        <w:tc>
          <w:tcPr>
            <w:tcW w:w="1728" w:type="dxa"/>
          </w:tcPr>
          <w:p w14:paraId="33D3E27B">
            <w:pPr>
              <w:spacing w:after="0" w:line="240" w:lineRule="auto"/>
            </w:pPr>
            <w:r>
              <w:t>GPT-4o优先访问，DALL·E 3，高级分析</w:t>
            </w:r>
          </w:p>
        </w:tc>
        <w:tc>
          <w:tcPr>
            <w:tcW w:w="1728" w:type="dxa"/>
          </w:tcPr>
          <w:p w14:paraId="62A4607F">
            <w:pPr>
              <w:spacing w:after="0" w:line="240" w:lineRule="auto"/>
              <w:rPr>
                <w:lang w:eastAsia="zh-CN"/>
              </w:rPr>
            </w:pPr>
            <w:r>
              <w:rPr>
                <w:lang w:eastAsia="zh-CN"/>
              </w:rPr>
              <w:t>重度个人用户、自由职业者</w:t>
            </w:r>
          </w:p>
        </w:tc>
        <w:tc>
          <w:tcPr>
            <w:tcW w:w="1728" w:type="dxa"/>
          </w:tcPr>
          <w:p w14:paraId="5716E3D8">
            <w:pPr>
              <w:spacing w:after="0" w:line="240" w:lineRule="auto"/>
            </w:pPr>
            <w:r>
              <w:t>用于模型训练</w:t>
            </w:r>
          </w:p>
        </w:tc>
      </w:tr>
      <w:tr w14:paraId="13578E29">
        <w:tc>
          <w:tcPr>
            <w:tcW w:w="1728" w:type="dxa"/>
          </w:tcPr>
          <w:p w14:paraId="53C162BE">
            <w:pPr>
              <w:spacing w:after="0" w:line="240" w:lineRule="auto"/>
            </w:pPr>
            <w:r>
              <w:t>Team</w:t>
            </w:r>
          </w:p>
        </w:tc>
        <w:tc>
          <w:tcPr>
            <w:tcW w:w="1728" w:type="dxa"/>
          </w:tcPr>
          <w:p w14:paraId="3CF5F122">
            <w:pPr>
              <w:spacing w:after="0" w:line="240" w:lineRule="auto"/>
            </w:pPr>
            <w:r>
              <w:t>25-30/人</w:t>
            </w:r>
          </w:p>
        </w:tc>
        <w:tc>
          <w:tcPr>
            <w:tcW w:w="1728" w:type="dxa"/>
          </w:tcPr>
          <w:p w14:paraId="42308496">
            <w:pPr>
              <w:spacing w:after="0" w:line="240" w:lineRule="auto"/>
              <w:rPr>
                <w:lang w:eastAsia="zh-CN"/>
              </w:rPr>
            </w:pPr>
            <w:r>
              <w:rPr>
                <w:lang w:eastAsia="zh-CN"/>
              </w:rPr>
              <w:t>更高消息上限，协作工作区</w:t>
            </w:r>
          </w:p>
        </w:tc>
        <w:tc>
          <w:tcPr>
            <w:tcW w:w="1728" w:type="dxa"/>
          </w:tcPr>
          <w:p w14:paraId="5A5B4329">
            <w:pPr>
              <w:spacing w:after="0" w:line="240" w:lineRule="auto"/>
            </w:pPr>
            <w:r>
              <w:t>中小企业团队</w:t>
            </w:r>
          </w:p>
        </w:tc>
        <w:tc>
          <w:tcPr>
            <w:tcW w:w="1728" w:type="dxa"/>
          </w:tcPr>
          <w:p w14:paraId="7A2C5F79">
            <w:pPr>
              <w:spacing w:after="0" w:line="240" w:lineRule="auto"/>
            </w:pPr>
            <w:r>
              <w:t>不用于训练</w:t>
            </w:r>
          </w:p>
        </w:tc>
      </w:tr>
      <w:tr w14:paraId="29708221">
        <w:tc>
          <w:tcPr>
            <w:tcW w:w="1728" w:type="dxa"/>
          </w:tcPr>
          <w:p w14:paraId="20F56F46">
            <w:pPr>
              <w:spacing w:after="0" w:line="240" w:lineRule="auto"/>
            </w:pPr>
            <w:r>
              <w:t>Enterprise</w:t>
            </w:r>
          </w:p>
        </w:tc>
        <w:tc>
          <w:tcPr>
            <w:tcW w:w="1728" w:type="dxa"/>
          </w:tcPr>
          <w:p w14:paraId="02BA82A3">
            <w:pPr>
              <w:spacing w:after="0" w:line="240" w:lineRule="auto"/>
            </w:pPr>
            <w:r>
              <w:t>定制</w:t>
            </w:r>
          </w:p>
        </w:tc>
        <w:tc>
          <w:tcPr>
            <w:tcW w:w="1728" w:type="dxa"/>
          </w:tcPr>
          <w:p w14:paraId="48324F27">
            <w:pPr>
              <w:spacing w:after="0" w:line="240" w:lineRule="auto"/>
              <w:rPr>
                <w:lang w:eastAsia="zh-CN"/>
              </w:rPr>
            </w:pPr>
            <w:r>
              <w:rPr>
                <w:lang w:eastAsia="zh-CN"/>
              </w:rPr>
              <w:t>无限GPT-4o，企业级安全，专属客服</w:t>
            </w:r>
          </w:p>
        </w:tc>
        <w:tc>
          <w:tcPr>
            <w:tcW w:w="1728" w:type="dxa"/>
          </w:tcPr>
          <w:p w14:paraId="4D135DE4">
            <w:pPr>
              <w:spacing w:after="0" w:line="240" w:lineRule="auto"/>
            </w:pPr>
            <w:r>
              <w:t>大型企业</w:t>
            </w:r>
          </w:p>
        </w:tc>
        <w:tc>
          <w:tcPr>
            <w:tcW w:w="1728" w:type="dxa"/>
          </w:tcPr>
          <w:p w14:paraId="7B05D2AF">
            <w:pPr>
              <w:spacing w:after="0" w:line="240" w:lineRule="auto"/>
            </w:pPr>
            <w:r>
              <w:t>不用于训练</w:t>
            </w:r>
          </w:p>
        </w:tc>
      </w:tr>
    </w:tbl>
    <w:p w14:paraId="5C3CFDE2">
      <w:r>
        <w:rPr>
          <w:rFonts w:ascii="仿宋" w:hAnsi="仿宋"/>
          <w:sz w:val="20"/>
        </w:rPr>
        <w:t>资料来源：OpenAI官网（https://openai.com/pricing，访问日期：2026年3月）</w:t>
      </w:r>
    </w:p>
    <w:p w14:paraId="2AE4B566">
      <w:pPr>
        <w:rPr>
          <w:lang w:eastAsia="zh-CN"/>
        </w:rPr>
      </w:pPr>
      <w:r>
        <w:rPr>
          <w:rFonts w:ascii="仿宋" w:hAnsi="仿宋"/>
          <w:b/>
          <w:sz w:val="24"/>
          <w:lang w:eastAsia="zh-CN"/>
        </w:rPr>
        <w:t>（二）免费层价值逻辑的重构</w:t>
      </w:r>
    </w:p>
    <w:p w14:paraId="230FCBEB">
      <w:pPr>
        <w:rPr>
          <w:lang w:eastAsia="zh-CN"/>
        </w:rPr>
      </w:pPr>
      <w:r>
        <w:rPr>
          <w:rFonts w:ascii="仿宋" w:hAnsi="仿宋"/>
          <w:sz w:val="24"/>
          <w:lang w:eastAsia="zh-CN"/>
        </w:rPr>
        <w:t>在传统免费增值模式中，免费用户的主要价值在于流量和潜在转化。然而在AI领域，免费用户的角色发生了根本性转变：他们不仅是服务的消费者，更是数据的生产者。通过RLHF（Reinforcement Learning from Human Feedback，基于人类反馈的强化学习）机制，用户与AI的每一次交互都会产生有价值的数据。RLHF是一种训练大语言模型的方法，通过收集人类对模型输出的偏好反馈来优化模型行为（Ouyang et al., 2022）。用户对AI回答的评价、对话的上下文、提问的方式等，都可以用于优化模型。这种"数据众包"使得免费用户即使不付费，也在为产品改进做出贡献。从这个角度看，免费用户的价值不仅在于潜在的付费转化，更在于其持续的数据贡献。</w:t>
      </w:r>
    </w:p>
    <w:p w14:paraId="300EC340">
      <w:pPr>
        <w:rPr>
          <w:lang w:eastAsia="zh-CN"/>
        </w:rPr>
      </w:pPr>
      <w:r>
        <w:rPr>
          <w:rFonts w:ascii="仿宋" w:hAnsi="仿宋"/>
          <w:sz w:val="24"/>
          <w:lang w:eastAsia="zh-CN"/>
        </w:rPr>
        <w:t>从价值共创的理论视角进一步审视，朱国玮等（2021）指出人工智能营销的最终目的是实现企业与用户之间的价值共创。将这一框架应用于OpenAI的免费层分析，可以发现免费用户与OpenAI之间已形成一种典型的价值共创关系。在"用户洞察"环节，免费用户的每一次对话都构成了对用户需求、表达习惯、知识偏好的深度洞察；在"内容管理"环节，用户反馈数据经由RLHF机制转化为模型优化的训练信号，实现了内容质量的持续迭代。这一过程恰好印证了"数据飞轮"（Data Flywheel）概念：免费用户贡献交互数据，数据驱动模型优化，优化后的模型提供更高质量的服务体验，更好的体验反过来吸引更多用户加入，形成"用户贡献—模型优化—服务提升—更多用户"的价值共创飞轮。这一飞轮效应赋予了免费用户超越传统"潜在付费转化"的战略意义——即便免费用户永远不升级为付费用户，其持续的数据贡献本身就在不断推高整个产品生态的价值。</w:t>
      </w:r>
    </w:p>
    <w:p w14:paraId="41652FAA">
      <w:pPr>
        <w:rPr>
          <w:lang w:eastAsia="zh-CN"/>
        </w:rPr>
      </w:pPr>
      <w:r>
        <w:rPr>
          <w:rFonts w:ascii="仿宋" w:hAnsi="仿宋"/>
          <w:sz w:val="24"/>
        </w:rPr>
        <w:t>此外，传统互联网公司需要投入大量营销费用获取用户，而OpenAI通过免费策略实现了用户的自然增长和口碑传播（Word-of-Mouth, WoM）效应，大幅降低了用户获取成本（Customer Acquisition Cost, CAC）。</w:t>
      </w:r>
      <w:r>
        <w:rPr>
          <w:rFonts w:ascii="仿宋" w:hAnsi="仿宋"/>
          <w:sz w:val="24"/>
          <w:lang w:eastAsia="zh-CN"/>
        </w:rPr>
        <w:t>ChatGPT发布初期几乎没有营销投入，却实现了史无前例的用户增长，这说明产品力本身就是最好的营销。免费策略还帮助OpenAI抢占了用户心智中的"AI助手"这一品类认知，当用户想到AI对话时，首先想到的是ChatGPT，这种品牌联想构成了强大的竞争壁垒，增加了竞争对手的渗透难度。</w:t>
      </w:r>
    </w:p>
    <w:p w14:paraId="61E25630">
      <w:pPr>
        <w:rPr>
          <w:lang w:eastAsia="zh-CN"/>
        </w:rPr>
      </w:pPr>
      <w:r>
        <w:rPr>
          <w:rFonts w:ascii="仿宋" w:hAnsi="仿宋"/>
          <w:b/>
          <w:sz w:val="24"/>
          <w:lang w:eastAsia="zh-CN"/>
        </w:rPr>
        <w:t>（三）付费层的差异化设计</w:t>
      </w:r>
    </w:p>
    <w:p w14:paraId="43114994">
      <w:pPr>
        <w:rPr>
          <w:lang w:eastAsia="zh-CN"/>
        </w:rPr>
      </w:pPr>
      <w:r>
        <w:rPr>
          <w:rFonts w:ascii="仿宋" w:hAnsi="仿宋"/>
          <w:sz w:val="24"/>
          <w:lang w:eastAsia="zh-CN"/>
        </w:rPr>
        <w:t>OpenAI通过精心设计的功能差异实现用户筛选，这种策略在经济学中被称为筛选机制（Screening Mechanism），即通过设计不同版本的产品让消费者自我选择，从而揭示其支付意愿（Shapiro &amp; Varian, 1999）。OpenAI的筛选机制主要体现在四个维度：模型智力、响应速度、使用额度和多模态能力。在模型智力方面，免费版使用受限的GPT-4o-mini，付费版则使用完整的GPT-4o；在响应速度方面，付费用户享有优先访问权，高峰期无需排队；在使用额度方面，免费版有严格的消息数量限制，付费版额度大幅提升；在多模态能力方面，DALL·E图像生成、高级数据分析等功能仅对付费用户开放。这种设计确保了高支付意愿的用户无法通过免费版满足需求，从而自愿升级，避免了高价值用户的"向下兼容"问题。</w:t>
      </w:r>
    </w:p>
    <w:p w14:paraId="094079F3">
      <w:pPr>
        <w:rPr>
          <w:lang w:eastAsia="zh-CN"/>
        </w:rPr>
      </w:pPr>
      <w:r>
        <w:rPr>
          <w:rFonts w:ascii="仿宋" w:hAnsi="仿宋"/>
          <w:sz w:val="24"/>
          <w:lang w:eastAsia="zh-CN"/>
        </w:rPr>
        <w:t>朱国玮等（2021）归纳的人工智能营销四大应用环节——用户洞察、内容管理、交互投放、监测评估——为系统审视OpenAI付费层的差异化设计提供了更具纵深的分析框架。在用户洞察环节，Enterprise版为企业客户提供了更精细的用户需求分析能力；在内容管理环节，付费版本解锁了多模态内容生成能力，使用户能够在单一平台内完成多种内容管理任务；在交互投放环节，付费用户享有更快的响应速度、更高的消息额度以及高峰时段的优先访问权；在监测评估环节，Enterprise版提供了使用分析仪表盘（Admin Console），管理者可以监测团队成员的使用频率、对话主题分布、功能利用率等数据。由此可见，OpenAI的付费差异化并非简单的功能堆叠，而是沿着四个环节构建了系统性的营销能力升级路径，使付费层级的价值从"更多功能"上升为"更强的智能化营销能力"。</w:t>
      </w:r>
    </w:p>
    <w:p w14:paraId="09932830">
      <w:pPr>
        <w:rPr>
          <w:lang w:eastAsia="zh-CN"/>
        </w:rPr>
      </w:pPr>
      <w:r>
        <w:rPr>
          <w:rFonts w:ascii="仿宋" w:hAnsi="仿宋"/>
          <w:sz w:val="24"/>
          <w:lang w:eastAsia="zh-CN"/>
        </w:rPr>
        <w:t>20美元每月的Plus定价具有深刻的心理学考量。这一价格低于许多专业软件订阅（如Adobe Creative Cloud），但高于普通娱乐订阅（如Netflix），暗示了AI服务的专业工具属性。根据行为经济学中的锚定效应理论，消费者在做出判断时会受到初始信息的强烈影响（Tversky &amp; Kahneman, 1974）。20美元形成了消费者心理账户中的"可接受区间"，既不会造成决策障碍，又能筛选出真正有需求的用户。研究表明，这一价格已经成为行业锚点，后来者如Anthropic、Google在定价时都参考了这一基准。</w:t>
      </w:r>
    </w:p>
    <w:p w14:paraId="6D7962CC">
      <w:pPr>
        <w:pStyle w:val="3"/>
        <w:rPr>
          <w:lang w:eastAsia="zh-CN"/>
        </w:rPr>
      </w:pPr>
      <w:r>
        <w:rPr>
          <w:rFonts w:ascii="黑体" w:hAnsi="黑体"/>
          <w:lang w:eastAsia="zh-CN"/>
        </w:rPr>
        <w:t>四、定价策略的经济学机制与成本收益分析</w:t>
      </w:r>
    </w:p>
    <w:p w14:paraId="64D01023">
      <w:pPr>
        <w:rPr>
          <w:lang w:eastAsia="zh-CN"/>
        </w:rPr>
      </w:pPr>
      <w:r>
        <w:rPr>
          <w:rFonts w:ascii="仿宋" w:hAnsi="仿宋"/>
          <w:b/>
          <w:sz w:val="24"/>
          <w:lang w:eastAsia="zh-CN"/>
        </w:rPr>
        <w:t>（一）基于成本结构的定价约束</w:t>
      </w:r>
    </w:p>
    <w:p w14:paraId="1D07FB70">
      <w:r>
        <w:rPr>
          <w:rFonts w:ascii="仿宋" w:hAnsi="仿宋"/>
          <w:sz w:val="24"/>
          <w:lang w:eastAsia="zh-CN"/>
        </w:rPr>
        <w:t>大语言模型的推理成本主要包括GPU算力、电力、带宽和运维费用。与传统软件边际成本趋近于零不同，AI产品呈现出"用量越大，成本越高"的特征，类似于公用事业（Utility）的成本结构。</w:t>
      </w:r>
      <w:r>
        <w:rPr>
          <w:rFonts w:ascii="仿宋" w:hAnsi="仿宋"/>
          <w:sz w:val="24"/>
        </w:rPr>
        <w:t>表3展示了大模型推理成本的估算范围。</w:t>
      </w:r>
    </w:p>
    <w:p w14:paraId="5645C0AB">
      <w:r>
        <w:rPr>
          <w:rFonts w:ascii="仿宋" w:hAnsi="仿宋"/>
          <w:b/>
          <w:sz w:val="24"/>
        </w:rPr>
        <w:t>表3  大语言模型推理成本估算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2"/>
        <w:gridCol w:w="2129"/>
        <w:gridCol w:w="2132"/>
      </w:tblGrid>
      <w:tr w14:paraId="10BF450A">
        <w:tc>
          <w:tcPr>
            <w:tcW w:w="2160" w:type="dxa"/>
          </w:tcPr>
          <w:p w14:paraId="4CFD36D0">
            <w:pPr>
              <w:spacing w:after="0" w:line="240" w:lineRule="auto"/>
            </w:pPr>
            <w:r>
              <w:t>模型</w:t>
            </w:r>
          </w:p>
        </w:tc>
        <w:tc>
          <w:tcPr>
            <w:tcW w:w="2160" w:type="dxa"/>
          </w:tcPr>
          <w:p w14:paraId="292CA979">
            <w:pPr>
              <w:spacing w:after="0" w:line="240" w:lineRule="auto"/>
            </w:pPr>
            <w:r>
              <w:t>单次对话成本（美元）</w:t>
            </w:r>
          </w:p>
        </w:tc>
        <w:tc>
          <w:tcPr>
            <w:tcW w:w="2160" w:type="dxa"/>
          </w:tcPr>
          <w:p w14:paraId="316E4D9E">
            <w:pPr>
              <w:spacing w:after="0" w:line="240" w:lineRule="auto"/>
            </w:pPr>
            <w:r>
              <w:t>每百万Token成本（美元）</w:t>
            </w:r>
          </w:p>
        </w:tc>
        <w:tc>
          <w:tcPr>
            <w:tcW w:w="2160" w:type="dxa"/>
          </w:tcPr>
          <w:p w14:paraId="6FA464E3">
            <w:pPr>
              <w:spacing w:after="0" w:line="240" w:lineRule="auto"/>
            </w:pPr>
            <w:r>
              <w:t>数据来源</w:t>
            </w:r>
          </w:p>
        </w:tc>
      </w:tr>
      <w:tr w14:paraId="00D0FD33">
        <w:tc>
          <w:tcPr>
            <w:tcW w:w="2160" w:type="dxa"/>
          </w:tcPr>
          <w:p w14:paraId="14C84BC1">
            <w:pPr>
              <w:spacing w:after="0" w:line="240" w:lineRule="auto"/>
            </w:pPr>
            <w:r>
              <w:t>GPT-3.5 Turbo</w:t>
            </w:r>
          </w:p>
        </w:tc>
        <w:tc>
          <w:tcPr>
            <w:tcW w:w="2160" w:type="dxa"/>
          </w:tcPr>
          <w:p w14:paraId="630EEAA7">
            <w:pPr>
              <w:spacing w:after="0" w:line="240" w:lineRule="auto"/>
            </w:pPr>
            <w:r>
              <w:t>0.001-0.005</w:t>
            </w:r>
          </w:p>
        </w:tc>
        <w:tc>
          <w:tcPr>
            <w:tcW w:w="2160" w:type="dxa"/>
          </w:tcPr>
          <w:p w14:paraId="4E4CE3B5">
            <w:pPr>
              <w:spacing w:after="0" w:line="240" w:lineRule="auto"/>
            </w:pPr>
            <w:r>
              <w:t>0.5-2</w:t>
            </w:r>
          </w:p>
        </w:tc>
        <w:tc>
          <w:tcPr>
            <w:tcW w:w="2160" w:type="dxa"/>
          </w:tcPr>
          <w:p w14:paraId="76C864D3">
            <w:pPr>
              <w:spacing w:after="0" w:line="240" w:lineRule="auto"/>
            </w:pPr>
            <w:r>
              <w:t>OpenAI API定价页</w:t>
            </w:r>
          </w:p>
        </w:tc>
      </w:tr>
      <w:tr w14:paraId="211C395F">
        <w:tc>
          <w:tcPr>
            <w:tcW w:w="2160" w:type="dxa"/>
          </w:tcPr>
          <w:p w14:paraId="6C8E3B75">
            <w:pPr>
              <w:spacing w:after="0" w:line="240" w:lineRule="auto"/>
            </w:pPr>
            <w:r>
              <w:t>GPT-4</w:t>
            </w:r>
          </w:p>
        </w:tc>
        <w:tc>
          <w:tcPr>
            <w:tcW w:w="2160" w:type="dxa"/>
          </w:tcPr>
          <w:p w14:paraId="278BDE9C">
            <w:pPr>
              <w:spacing w:after="0" w:line="240" w:lineRule="auto"/>
            </w:pPr>
            <w:r>
              <w:t>0.01-0.07</w:t>
            </w:r>
          </w:p>
        </w:tc>
        <w:tc>
          <w:tcPr>
            <w:tcW w:w="2160" w:type="dxa"/>
          </w:tcPr>
          <w:p w14:paraId="3BE7C34A">
            <w:pPr>
              <w:spacing w:after="0" w:line="240" w:lineRule="auto"/>
            </w:pPr>
            <w:r>
              <w:t>30-60</w:t>
            </w:r>
          </w:p>
        </w:tc>
        <w:tc>
          <w:tcPr>
            <w:tcW w:w="2160" w:type="dxa"/>
          </w:tcPr>
          <w:p w14:paraId="453BC5B3">
            <w:pPr>
              <w:spacing w:after="0" w:line="240" w:lineRule="auto"/>
            </w:pPr>
            <w:r>
              <w:t>OpenAI API定价页</w:t>
            </w:r>
          </w:p>
        </w:tc>
      </w:tr>
      <w:tr w14:paraId="34DC9525">
        <w:tc>
          <w:tcPr>
            <w:tcW w:w="2160" w:type="dxa"/>
          </w:tcPr>
          <w:p w14:paraId="52D1C714">
            <w:pPr>
              <w:spacing w:after="0" w:line="240" w:lineRule="auto"/>
            </w:pPr>
            <w:r>
              <w:t>GPT-4 Turbo</w:t>
            </w:r>
          </w:p>
        </w:tc>
        <w:tc>
          <w:tcPr>
            <w:tcW w:w="2160" w:type="dxa"/>
          </w:tcPr>
          <w:p w14:paraId="54CF34BD">
            <w:pPr>
              <w:spacing w:after="0" w:line="240" w:lineRule="auto"/>
            </w:pPr>
            <w:r>
              <w:t>0.005-0.03</w:t>
            </w:r>
          </w:p>
        </w:tc>
        <w:tc>
          <w:tcPr>
            <w:tcW w:w="2160" w:type="dxa"/>
          </w:tcPr>
          <w:p w14:paraId="2C2714C6">
            <w:pPr>
              <w:spacing w:after="0" w:line="240" w:lineRule="auto"/>
            </w:pPr>
            <w:r>
              <w:t>10-30</w:t>
            </w:r>
          </w:p>
        </w:tc>
        <w:tc>
          <w:tcPr>
            <w:tcW w:w="2160" w:type="dxa"/>
          </w:tcPr>
          <w:p w14:paraId="7254A8CC">
            <w:pPr>
              <w:spacing w:after="0" w:line="240" w:lineRule="auto"/>
            </w:pPr>
            <w:r>
              <w:t>OpenAI API定价页</w:t>
            </w:r>
          </w:p>
        </w:tc>
      </w:tr>
      <w:tr w14:paraId="7DB98885">
        <w:tc>
          <w:tcPr>
            <w:tcW w:w="2160" w:type="dxa"/>
          </w:tcPr>
          <w:p w14:paraId="0D5269A9">
            <w:pPr>
              <w:spacing w:after="0" w:line="240" w:lineRule="auto"/>
            </w:pPr>
            <w:r>
              <w:t>GPT-4o</w:t>
            </w:r>
          </w:p>
        </w:tc>
        <w:tc>
          <w:tcPr>
            <w:tcW w:w="2160" w:type="dxa"/>
          </w:tcPr>
          <w:p w14:paraId="2DAC3B3B">
            <w:pPr>
              <w:spacing w:after="0" w:line="240" w:lineRule="auto"/>
            </w:pPr>
            <w:r>
              <w:t>0.003-0.02</w:t>
            </w:r>
          </w:p>
        </w:tc>
        <w:tc>
          <w:tcPr>
            <w:tcW w:w="2160" w:type="dxa"/>
          </w:tcPr>
          <w:p w14:paraId="4369212C">
            <w:pPr>
              <w:spacing w:after="0" w:line="240" w:lineRule="auto"/>
            </w:pPr>
            <w:r>
              <w:t>2.50-10</w:t>
            </w:r>
          </w:p>
        </w:tc>
        <w:tc>
          <w:tcPr>
            <w:tcW w:w="2160" w:type="dxa"/>
          </w:tcPr>
          <w:p w14:paraId="332A6D8D">
            <w:pPr>
              <w:spacing w:after="0" w:line="240" w:lineRule="auto"/>
            </w:pPr>
            <w:r>
              <w:t>OpenAI API定价页</w:t>
            </w:r>
          </w:p>
        </w:tc>
      </w:tr>
    </w:tbl>
    <w:p w14:paraId="51B74F66">
      <w:r>
        <w:rPr>
          <w:rFonts w:ascii="仿宋" w:hAnsi="仿宋"/>
          <w:sz w:val="20"/>
        </w:rPr>
        <w:t>资料来源：OpenAI API定价页（https://openai.com/api/pricing，访问日期：2026年3月）；SemiAnalysis（Patel &amp; Ahmad, 2023）</w:t>
      </w:r>
    </w:p>
    <w:p>
      <w:pPr/>
      <w:r>
        <w:t>从生成式AI企业的整体成本结构来看，推理成本在总成本中占据主导地位。图2展示了生成式AI企业的成本结构估算。</w:t>
      </w:r>
    </w:p>
    <w:p>
      <w:pPr/>
      <w:r>
        <w:t>【请在此处手动插入图2 — 文件名：fig3_cost_structure.png | 建议宽度：12cm，居中】</w:t>
      </w:r>
    </w:p>
    <w:p>
      <w:pPr/>
      <w:r>
        <w:t>图2  生成式AI企业成本结构估算</w:t>
      </w:r>
    </w:p>
    <w:p w14:paraId="006DEA47">
      <w:r>
        <w:rPr>
          <w:rFonts w:ascii="仿宋" w:hAnsi="仿宋"/>
          <w:sz w:val="24"/>
        </w:rPr>
        <w:t>由图2可以看出，GPU算力与推理成本约占生成式AI企业总成本的50%，远超传统软件企业的服务器成本占比。这种成本结构决定了AI企业必须在用户规模与成本控制之间寻求平衡，也解释了为什么OpenAI需要通过多层级定价来覆盖不同用户群体的差异化成本。以此推算，一个重度用户每月可能产生数百次对话，对应的推理成本可能达到10至30美元。这意味着20美元的Plus订阅费对于重度用户而言可能处于盈亏边缘甚至亏损，而轻度用户则能产生利润。这种内部交叉补贴是订阅模式的典型特征。正如Rochet和Tirole（2003）在双边市场理论中所揭示的，平台可以通过对价格敏感一侧的补贴来吸引价格不敏感一侧的参与，从而实现整体价值最大化。在OpenAI的案例中，轻度用户为重度用户提供了隐性补贴，使得订阅制在整体上维持盈利。</w:t>
      </w:r>
    </w:p>
    <w:p w14:paraId="13C160B1">
      <w:r>
        <w:rPr>
          <w:rFonts w:ascii="仿宋" w:hAnsi="仿宋"/>
          <w:b/>
          <w:sz w:val="24"/>
        </w:rPr>
        <w:t>（二）价格歧视的实施效果</w:t>
      </w:r>
    </w:p>
    <w:p>
      <w:pPr/>
      <w:r>
        <w:t>图3展示了OpenAI多层级定价的价格歧视效果示意图。</w:t>
      </w:r>
    </w:p>
    <w:p>
      <w:pPr/>
      <w:r>
        <w:t>【请在此处手动插入图3 — 文件名：fig4_price_discrimination.png | 建议宽度：13cm，居中】</w:t>
      </w:r>
    </w:p>
    <w:p>
      <w:pPr/>
      <w:r>
        <w:t>图3  OpenAI多层级定价的价格歧视效果示意</w:t>
      </w:r>
    </w:p>
    <w:p>
      <w:pPr/>
      <w:r>
        <w:t>说明：通过多层级定价，OpenAI提取了不同消费者群体的剩余价值</w:t>
      </w:r>
    </w:p>
    <w:p w14:paraId="7CA710EF">
      <w:r>
        <w:rPr>
          <w:rFonts w:ascii="仿宋" w:hAnsi="仿宋"/>
          <w:sz w:val="24"/>
        </w:rPr>
        <w:t>OpenAI的多层级定价实现了对不同支付意愿群体的差异化定价，这在经济学中被称为二级价格歧视（Second-degree Price Discrimination）。与三级价格歧视（Third-degree Price Discrimination）通过识别消费者身份进行差异化定价不同，二级价格歧视通过设计不同版本的产品让消费者自我选择来揭示其支付意愿（Varian, 1989）。从图3可以看出，相比单一定价，多层级定价使OpenAI能够从高支付意愿的企业用户处提取更多消费者剩余。个人用户支付20美元获得Plus服务，中小企业团队支付25至30美元每人获得Team服务，大型企业则支付定制化价格获得Enterprise服务。这种价格歧视提取了不同群体的消费者剩余，提高了总体收益。</w:t>
      </w:r>
    </w:p>
    <w:p w14:paraId="304193BA">
      <w:r>
        <w:rPr>
          <w:rFonts w:ascii="仿宋" w:hAnsi="仿宋"/>
          <w:sz w:val="24"/>
        </w:rPr>
        <w:t>然而，当前的定价可能存在效率损失。一方面，部分愿意支付更高价格的重度用户仅被收取20美元；另一方面，部分愿意支付10至15美元的潜在用户被排斥在付费服务之外。更精细的价格歧视，如按使用量计费，可能提高定价效率。OpenAI在API服务中采用的按Token计费模式正是这种思路的体现，与ChatGPT订阅服务的固定月费形成互补。两种定价模式针对不同场景：API适合开发者和企业集成，按需付费；ChatGPT适合终端用户，固定月费。这种双轨制避免了产品线蚕食效应（Cannibalization），使得有能力调用API的技术用户和偏好图形界面的普通用户各取所需。</w:t>
      </w:r>
    </w:p>
    <w:p w14:paraId="5ECD2235">
      <w:r>
        <w:rPr>
          <w:rFonts w:ascii="仿宋" w:hAnsi="仿宋"/>
          <w:b/>
          <w:sz w:val="24"/>
        </w:rPr>
        <w:t>（三）数据要素的隐性定价</w:t>
      </w:r>
    </w:p>
    <w:p w14:paraId="7EA62AB6">
      <w:r>
        <w:rPr>
          <w:rFonts w:ascii="仿宋" w:hAnsi="仿宋"/>
          <w:sz w:val="24"/>
        </w:rPr>
        <w:t>免费用户通过RLHF机制为模型优化贡献数据，这些数据具有经济价值但难以精确量化。从理论框架看，朱国玮等（2021）指出大数据是人工智能营销的基础要素，免费用户的交互数据正是构成这一基础的核心来源，其价值不仅体现在单次反馈的训练信号上，更在于海量异质性数据对模型泛化能力的系统性提升。从替代成本角度看，Ouyang等（2022）关于RLHF训练方法的研究表明，高质量的人类反馈数据的采集需要专业标注团队的持续投入，如果雇佣人工标注员完成同等规模和多样性的反馈标注，其成本将十分高昂，免费用户的自然交互数据在很大程度上替代了这一支出。从边际收益角度看，模型性能提升带来的付费转化率增长和用户满意度提升具有显著的商业价值。然而，数据价值的实现也伴随着隐私权与数据使用权之间的经济学权衡——免费用户以数据贡献换取免费服务，这一隐性交易的公平性正日益受到学界和监管层的关注。</w:t>
      </w:r>
    </w:p>
    <w:p w14:paraId="47C171B1">
      <w:r>
        <w:rPr>
          <w:rFonts w:ascii="仿宋" w:hAnsi="仿宋"/>
          <w:sz w:val="24"/>
        </w:rPr>
        <w:t>值得注意的是，OpenAI对不同层级用户采取差异化的数据政策。如表2所示，免费和Plus用户的对话默认用于模型训练，而Team和Enterprise用户明确承诺"不使用客户数据训练模型"。这种差异化政策体现了数据价值与隐私需求之间的权衡：愿意支付更高价格的企业用户获得了隐私保护，而价格敏感的用户则以数据换取免费或低价服务。这实际上构成了一种隐性的价格歧视，用户通过选择不同的隐私保护级别，间接表达了其支付意愿。</w:t>
      </w:r>
    </w:p>
    <w:p w14:paraId="63336A97">
      <w:pPr>
        <w:pStyle w:val="3"/>
      </w:pPr>
      <w:r>
        <w:rPr>
          <w:rFonts w:ascii="黑体" w:hAnsi="黑体"/>
        </w:rPr>
        <w:t>五、挑战与启示：行业竞争视角</w:t>
      </w:r>
    </w:p>
    <w:p w14:paraId="468D1426">
      <w:r>
        <w:rPr>
          <w:rFonts w:ascii="仿宋" w:hAnsi="仿宋"/>
          <w:b/>
          <w:sz w:val="24"/>
        </w:rPr>
        <w:t>（一）竞争对手的定价冲击</w:t>
      </w:r>
    </w:p>
    <w:p w14:paraId="2D4AC1DC">
      <w:r>
        <w:rPr>
          <w:rFonts w:ascii="仿宋" w:hAnsi="仿宋"/>
          <w:sz w:val="24"/>
        </w:rPr>
        <w:t>2024年，中国AI企业DeepSeek以其极致的性价比和开源策略引发了行业震动。表4展示了主要AI产品的定价对比。</w:t>
      </w:r>
    </w:p>
    <w:p w14:paraId="27FBD669">
      <w:r>
        <w:rPr>
          <w:rFonts w:ascii="仿宋" w:hAnsi="仿宋"/>
          <w:b/>
          <w:sz w:val="24"/>
        </w:rPr>
        <w:t>表4  主要AI产品定价对比（截至2025年初）</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726"/>
        <w:gridCol w:w="1706"/>
        <w:gridCol w:w="1693"/>
        <w:gridCol w:w="1685"/>
      </w:tblGrid>
      <w:tr w14:paraId="7362D716">
        <w:tc>
          <w:tcPr>
            <w:tcW w:w="1728" w:type="dxa"/>
          </w:tcPr>
          <w:p w14:paraId="035D4A8C">
            <w:pPr>
              <w:spacing w:after="0" w:line="240" w:lineRule="auto"/>
            </w:pPr>
            <w:r>
              <w:t>企业/产品</w:t>
            </w:r>
          </w:p>
        </w:tc>
        <w:tc>
          <w:tcPr>
            <w:tcW w:w="1728" w:type="dxa"/>
          </w:tcPr>
          <w:p w14:paraId="2D018C84">
            <w:pPr>
              <w:spacing w:after="0" w:line="240" w:lineRule="auto"/>
            </w:pPr>
            <w:r>
              <w:t>消费端定价</w:t>
            </w:r>
          </w:p>
        </w:tc>
        <w:tc>
          <w:tcPr>
            <w:tcW w:w="1728" w:type="dxa"/>
          </w:tcPr>
          <w:p w14:paraId="2F786B83">
            <w:pPr>
              <w:spacing w:after="0" w:line="240" w:lineRule="auto"/>
            </w:pPr>
            <w:r>
              <w:t>API定价（每百万Token）</w:t>
            </w:r>
          </w:p>
        </w:tc>
        <w:tc>
          <w:tcPr>
            <w:tcW w:w="1728" w:type="dxa"/>
          </w:tcPr>
          <w:p w14:paraId="39C145F9">
            <w:pPr>
              <w:spacing w:after="0" w:line="240" w:lineRule="auto"/>
            </w:pPr>
            <w:r>
              <w:t>商业模式</w:t>
            </w:r>
          </w:p>
        </w:tc>
        <w:tc>
          <w:tcPr>
            <w:tcW w:w="1728" w:type="dxa"/>
          </w:tcPr>
          <w:p w14:paraId="46A642F0">
            <w:pPr>
              <w:spacing w:after="0" w:line="240" w:lineRule="auto"/>
            </w:pPr>
            <w:r>
              <w:t>市场定位</w:t>
            </w:r>
          </w:p>
        </w:tc>
      </w:tr>
      <w:tr w14:paraId="32BF3C2B">
        <w:tc>
          <w:tcPr>
            <w:tcW w:w="1728" w:type="dxa"/>
          </w:tcPr>
          <w:p w14:paraId="31E26865">
            <w:pPr>
              <w:spacing w:after="0" w:line="240" w:lineRule="auto"/>
            </w:pPr>
            <w:r>
              <w:t>OpenAI ChatGPT</w:t>
            </w:r>
          </w:p>
        </w:tc>
        <w:tc>
          <w:tcPr>
            <w:tcW w:w="1728" w:type="dxa"/>
          </w:tcPr>
          <w:p w14:paraId="55CBB8D7">
            <w:pPr>
              <w:spacing w:after="0" w:line="240" w:lineRule="auto"/>
            </w:pPr>
            <w:r>
              <w:t>$20/月（Plus）</w:t>
            </w:r>
          </w:p>
        </w:tc>
        <w:tc>
          <w:tcPr>
            <w:tcW w:w="1728" w:type="dxa"/>
          </w:tcPr>
          <w:p w14:paraId="037EFB42">
            <w:pPr>
              <w:spacing w:after="0" w:line="240" w:lineRule="auto"/>
            </w:pPr>
            <w:r>
              <w:t>$5-60（按模型）</w:t>
            </w:r>
          </w:p>
        </w:tc>
        <w:tc>
          <w:tcPr>
            <w:tcW w:w="1728" w:type="dxa"/>
          </w:tcPr>
          <w:p w14:paraId="3979BCB6">
            <w:pPr>
              <w:spacing w:after="0" w:line="240" w:lineRule="auto"/>
            </w:pPr>
            <w:r>
              <w:t>闭源订阅+API</w:t>
            </w:r>
          </w:p>
        </w:tc>
        <w:tc>
          <w:tcPr>
            <w:tcW w:w="1728" w:type="dxa"/>
          </w:tcPr>
          <w:p w14:paraId="0E4972A1">
            <w:pPr>
              <w:spacing w:after="0" w:line="240" w:lineRule="auto"/>
            </w:pPr>
            <w:r>
              <w:t>全球领导者</w:t>
            </w:r>
          </w:p>
        </w:tc>
      </w:tr>
      <w:tr w14:paraId="018611DE">
        <w:tc>
          <w:tcPr>
            <w:tcW w:w="1728" w:type="dxa"/>
          </w:tcPr>
          <w:p w14:paraId="6D740181">
            <w:pPr>
              <w:spacing w:after="0" w:line="240" w:lineRule="auto"/>
            </w:pPr>
            <w:r>
              <w:t>Anthropic Claude</w:t>
            </w:r>
          </w:p>
        </w:tc>
        <w:tc>
          <w:tcPr>
            <w:tcW w:w="1728" w:type="dxa"/>
          </w:tcPr>
          <w:p w14:paraId="166AA16F">
            <w:pPr>
              <w:spacing w:after="0" w:line="240" w:lineRule="auto"/>
            </w:pPr>
            <w:r>
              <w:t>$20/月（Pro）</w:t>
            </w:r>
          </w:p>
        </w:tc>
        <w:tc>
          <w:tcPr>
            <w:tcW w:w="1728" w:type="dxa"/>
          </w:tcPr>
          <w:p w14:paraId="13BFE4A3">
            <w:pPr>
              <w:spacing w:after="0" w:line="240" w:lineRule="auto"/>
            </w:pPr>
            <w:r>
              <w:t>$3-75（按模型）</w:t>
            </w:r>
          </w:p>
        </w:tc>
        <w:tc>
          <w:tcPr>
            <w:tcW w:w="1728" w:type="dxa"/>
          </w:tcPr>
          <w:p w14:paraId="43B2F55D">
            <w:pPr>
              <w:spacing w:after="0" w:line="240" w:lineRule="auto"/>
            </w:pPr>
            <w:r>
              <w:t>闭源订阅+API</w:t>
            </w:r>
          </w:p>
        </w:tc>
        <w:tc>
          <w:tcPr>
            <w:tcW w:w="1728" w:type="dxa"/>
          </w:tcPr>
          <w:p w14:paraId="437BDACF">
            <w:pPr>
              <w:spacing w:after="0" w:line="240" w:lineRule="auto"/>
            </w:pPr>
            <w:r>
              <w:t>安全差异化</w:t>
            </w:r>
          </w:p>
        </w:tc>
      </w:tr>
      <w:tr w14:paraId="161C9AFC">
        <w:tc>
          <w:tcPr>
            <w:tcW w:w="1728" w:type="dxa"/>
          </w:tcPr>
          <w:p w14:paraId="0F681CE3">
            <w:pPr>
              <w:spacing w:after="0" w:line="240" w:lineRule="auto"/>
            </w:pPr>
            <w:r>
              <w:t>Google Gemini</w:t>
            </w:r>
          </w:p>
        </w:tc>
        <w:tc>
          <w:tcPr>
            <w:tcW w:w="1728" w:type="dxa"/>
          </w:tcPr>
          <w:p w14:paraId="2828DC87">
            <w:pPr>
              <w:spacing w:after="0" w:line="240" w:lineRule="auto"/>
            </w:pPr>
            <w:r>
              <w:t>$19.99/月（Advanced）</w:t>
            </w:r>
          </w:p>
        </w:tc>
        <w:tc>
          <w:tcPr>
            <w:tcW w:w="1728" w:type="dxa"/>
          </w:tcPr>
          <w:p w14:paraId="42A0DE87">
            <w:pPr>
              <w:spacing w:after="0" w:line="240" w:lineRule="auto"/>
            </w:pPr>
            <w:r>
              <w:t>$0.10-12</w:t>
            </w:r>
          </w:p>
        </w:tc>
        <w:tc>
          <w:tcPr>
            <w:tcW w:w="1728" w:type="dxa"/>
          </w:tcPr>
          <w:p w14:paraId="3085BB12">
            <w:pPr>
              <w:spacing w:after="0" w:line="240" w:lineRule="auto"/>
            </w:pPr>
            <w:r>
              <w:t>闭源，生态捆绑</w:t>
            </w:r>
          </w:p>
        </w:tc>
        <w:tc>
          <w:tcPr>
            <w:tcW w:w="1728" w:type="dxa"/>
          </w:tcPr>
          <w:p w14:paraId="1566717E">
            <w:pPr>
              <w:spacing w:after="0" w:line="240" w:lineRule="auto"/>
            </w:pPr>
            <w:r>
              <w:t>生态整合</w:t>
            </w:r>
          </w:p>
        </w:tc>
      </w:tr>
      <w:tr w14:paraId="40D61183">
        <w:tc>
          <w:tcPr>
            <w:tcW w:w="1728" w:type="dxa"/>
          </w:tcPr>
          <w:p w14:paraId="62726F77">
            <w:pPr>
              <w:spacing w:after="0" w:line="240" w:lineRule="auto"/>
            </w:pPr>
            <w:r>
              <w:t>DeepSeek</w:t>
            </w:r>
          </w:p>
        </w:tc>
        <w:tc>
          <w:tcPr>
            <w:tcW w:w="1728" w:type="dxa"/>
          </w:tcPr>
          <w:p w14:paraId="5B2B11BA">
            <w:pPr>
              <w:spacing w:after="0" w:line="240" w:lineRule="auto"/>
            </w:pPr>
            <w:r>
              <w:t>API按量（无订阅）</w:t>
            </w:r>
          </w:p>
        </w:tc>
        <w:tc>
          <w:tcPr>
            <w:tcW w:w="1728" w:type="dxa"/>
          </w:tcPr>
          <w:p w14:paraId="1E54032F">
            <w:pPr>
              <w:spacing w:after="0" w:line="240" w:lineRule="auto"/>
            </w:pPr>
            <w:r>
              <w:t>$0.14-2.19</w:t>
            </w:r>
          </w:p>
        </w:tc>
        <w:tc>
          <w:tcPr>
            <w:tcW w:w="1728" w:type="dxa"/>
          </w:tcPr>
          <w:p w14:paraId="180AEA28">
            <w:pPr>
              <w:spacing w:after="0" w:line="240" w:lineRule="auto"/>
            </w:pPr>
            <w:r>
              <w:t>开源+低价API</w:t>
            </w:r>
          </w:p>
        </w:tc>
        <w:tc>
          <w:tcPr>
            <w:tcW w:w="1728" w:type="dxa"/>
          </w:tcPr>
          <w:p w14:paraId="75C5D054">
            <w:pPr>
              <w:spacing w:after="0" w:line="240" w:lineRule="auto"/>
            </w:pPr>
            <w:r>
              <w:t>性价比</w:t>
            </w:r>
          </w:p>
        </w:tc>
      </w:tr>
      <w:tr w14:paraId="1C204E65">
        <w:tc>
          <w:tcPr>
            <w:tcW w:w="1728" w:type="dxa"/>
          </w:tcPr>
          <w:p w14:paraId="6F6AB71D">
            <w:pPr>
              <w:spacing w:after="0" w:line="240" w:lineRule="auto"/>
            </w:pPr>
            <w:r>
              <w:t>Microsoft Copilot</w:t>
            </w:r>
          </w:p>
        </w:tc>
        <w:tc>
          <w:tcPr>
            <w:tcW w:w="1728" w:type="dxa"/>
          </w:tcPr>
          <w:p w14:paraId="6BFFBC48">
            <w:pPr>
              <w:spacing w:after="0" w:line="240" w:lineRule="auto"/>
            </w:pPr>
            <w:r>
              <w:t>$20/月（Pro）</w:t>
            </w:r>
          </w:p>
        </w:tc>
        <w:tc>
          <w:tcPr>
            <w:tcW w:w="1728" w:type="dxa"/>
          </w:tcPr>
          <w:p w14:paraId="4CE713CF">
            <w:pPr>
              <w:spacing w:after="0" w:line="240" w:lineRule="auto"/>
            </w:pPr>
            <w:r>
              <w:t>捆绑Office 365</w:t>
            </w:r>
          </w:p>
        </w:tc>
        <w:tc>
          <w:tcPr>
            <w:tcW w:w="1728" w:type="dxa"/>
          </w:tcPr>
          <w:p w14:paraId="57EFDD91">
            <w:pPr>
              <w:spacing w:after="0" w:line="240" w:lineRule="auto"/>
            </w:pPr>
            <w:r>
              <w:t>闭源，捆绑销售</w:t>
            </w:r>
          </w:p>
        </w:tc>
        <w:tc>
          <w:tcPr>
            <w:tcW w:w="1728" w:type="dxa"/>
          </w:tcPr>
          <w:p w14:paraId="2813D6B3">
            <w:pPr>
              <w:spacing w:after="0" w:line="240" w:lineRule="auto"/>
            </w:pPr>
            <w:r>
              <w:t>企业市场</w:t>
            </w:r>
          </w:p>
        </w:tc>
      </w:tr>
    </w:tbl>
    <w:p w14:paraId="1E6C4977">
      <w:r>
        <w:rPr>
          <w:rFonts w:ascii="仿宋" w:hAnsi="仿宋"/>
          <w:sz w:val="20"/>
        </w:rPr>
        <w:t>资料来源：各公司官网（访问日期：2026年3月）</w:t>
      </w:r>
    </w:p>
    <w:p>
      <w:pPr/>
      <w:r>
        <w:t>图4更直观地展示了各AI产品的月订阅定价差异。</w:t>
      </w:r>
    </w:p>
    <w:p>
      <w:pPr/>
      <w:r>
        <w:t>【请在此处手动插入图4 — 文件名：fig2_competitor_pricing.png | 建议宽度：14cm，居中】</w:t>
      </w:r>
    </w:p>
    <w:p>
      <w:pPr/>
      <w:r>
        <w:t>图4  主要AI产品月订阅定价对比</w:t>
      </w:r>
    </w:p>
    <w:p w14:paraId="3B4B2CBA">
      <w:r>
        <w:rPr>
          <w:rFonts w:ascii="仿宋" w:hAnsi="仿宋"/>
          <w:sz w:val="24"/>
        </w:rPr>
        <w:t>从表4和图4可以看出，DeepSeek的API定价仅为OpenAI的十分之一甚至更低。DeepSeek-R1等模型在性能接近GPT-4的同时，采取了开源策略，允许企业免费使用和部署模型。这一策略对OpenAI的定价体系构成了直接挑战。如果开源模型的性能持续提升，用户可能会质疑为什么要为闭源服务支付高额费用。特别是DeepSeek-R1和DeepSeek-V3等模型的相继发布，以及2025年以来API定价的进一步下调，正在持续重塑全球AI服务的价格基准。这一趋势表明，在中国市场存在一条与美国闭源高价模式截然不同的商业化路径，其影响可能远超定价层面而触及整个行业的商业模式根基。</w:t>
      </w:r>
    </w:p>
    <w:p w14:paraId="4DFFB4E2">
      <w:r>
        <w:rPr>
          <w:rFonts w:ascii="仿宋" w:hAnsi="仿宋"/>
          <w:sz w:val="24"/>
        </w:rPr>
        <w:t>与此同时，科技巨头的捆绑策略也对OpenAI形成压力。微软将ChatGPT能力整合到Copilot中，与Office 365捆绑销售；谷歌将Gemini集成到Google Workspace和搜索中。这种捆绑策略利用了巨头在企业市场的既有优势，使得独立AI产品面临竞争压力。对于OpenAI而言，缺乏大型企业软件生态是一个劣势，这也解释了为什么OpenAI积极发展Enterprise业务，试图建立直接的企业客户关系。</w:t>
      </w:r>
    </w:p>
    <w:p w14:paraId="65CB2FB8">
      <w:r>
        <w:rPr>
          <w:rFonts w:ascii="仿宋" w:hAnsi="仿宋"/>
          <w:b/>
          <w:sz w:val="24"/>
        </w:rPr>
        <w:t>（二）对中国AI企业的启示</w:t>
      </w:r>
    </w:p>
    <w:p w14:paraId="3EF29C15">
      <w:r>
        <w:rPr>
          <w:rFonts w:ascii="仿宋" w:hAnsi="仿宋"/>
          <w:sz w:val="24"/>
        </w:rPr>
        <w:t>综合第三章的产品分层分析与第四章的成本收益讨论，并借鉴OpenAI在全球市场的实践经验与竞争格局的演变趋势，本研究认为中国AI企业在设计免费增值模式时应着重关注以下几个方面。在成本控制方面，免费层应设置合理的使用限制，避免推理成本失控。可以采用每日消息数限制、排队机制、降级模型等方式控制成本。DeepSeek的实践表明，通过算法优化和工程效率提升，可以在保持模型性能的同时大幅降低推理成本，这为中国企业提供了重要借鉴。在价值传递方面，付费层应提供明确的差异化价值，如更强的模型能力、更快的响应速度、更多的功能权限，使用户清楚知道付费能获得什么。OpenAI的成功之处在于其付费版本提供了显著优于免费版本的使用体验，这种差距足以驱动用户升级。在定价策略方面，从免费到付费的升级路径应该平滑，避免过高的价格跳跃。考虑到中国消费者对订阅制的接受度相对较低，而对一次性付费或按量计费更为熟悉，中国AI企业可能需要设计更灵活的付费方案，如按使用量计费、预付费包、会员充值等。在B2B市场，中国企业对数据安全和本地部署有更强的需求，提供私有化部署方案可能比纯SaaS订阅更具吸引力。在数据价值方面，应充分利用免费用户的数据价值，建立数据收集和模型优化的正向循环。用户反馈是模型迭代的重要资源，"用户越多、模型越好、吸引更多用户"的飞轮效应是AI产品区别于传统软件的独特优势。中国企业在设计产品时应将这一反馈机制纳入核心架构。</w:t>
      </w:r>
    </w:p>
    <w:p w14:paraId="7C5A9D3A">
      <w:pPr>
        <w:pStyle w:val="3"/>
      </w:pPr>
      <w:r>
        <w:rPr>
          <w:rFonts w:ascii="黑体" w:hAnsi="黑体"/>
        </w:rPr>
        <w:t>六、结论与建议</w:t>
      </w:r>
    </w:p>
    <w:p w14:paraId="3B4EC4D7">
      <w:r>
        <w:rPr>
          <w:rFonts w:ascii="仿宋" w:hAnsi="仿宋"/>
          <w:b/>
          <w:sz w:val="24"/>
        </w:rPr>
        <w:t>（一）研究结论</w:t>
      </w:r>
    </w:p>
    <w:p w14:paraId="57E22EDE">
      <w:r>
        <w:rPr>
          <w:rFonts w:ascii="仿宋" w:hAnsi="仿宋"/>
          <w:sz w:val="24"/>
        </w:rPr>
        <w:t>本研究通过对OpenAI"免费增值"定价策略的系统分析，针对三个核心问题得出以下结论。</w:t>
      </w:r>
    </w:p>
    <w:p w14:paraId="1B2CCE6C">
      <w:r>
        <w:rPr>
          <w:rFonts w:ascii="仿宋" w:hAnsi="仿宋"/>
          <w:sz w:val="24"/>
        </w:rPr>
        <w:t>关于免费层边际收益能否覆盖边际成本的问题，研究发现，OpenAI免费层的直接货币收益虽为零，但通过RLHF数据贡献、品牌传播效应和用户转化基础三个维度获取了显著的非货币化收益。根据公开报道，OpenAI的ChatGPT周活跃用户已从2023年初的约1300万增长至2025年的超过8亿，付费订阅用户约占总用户的5%至6%，这一转化率虽低于传统SaaS行业平均水平，但考虑到庞大的用户基数，仍为OpenAI贡献了可观的订阅收入。免费层的综合价值在一定程度上能够覆盖其推理成本，但精确的盈亏平衡点仍有待更详细的财务披露加以验证。</w:t>
      </w:r>
    </w:p>
    <w:p w14:paraId="20F7BB8F">
      <w:r>
        <w:rPr>
          <w:rFonts w:ascii="仿宋" w:hAnsi="仿宋"/>
          <w:sz w:val="24"/>
        </w:rPr>
        <w:t>关于20美元定价是否存在效率损失及锚定效应影响的问题，研究表明，20美元的定价确实存在一定的效率损失：一方面未能充分提取高支付意愿用户的消费者剩余，另一方面将部分中等支付意愿用户排斥在外。但这一定价的锚定效应显著：它成为全行业的参考基准，Anthropic、Google等竞争对手均采用相近定价，形成了行业默契。从长期看，这种锚定效应可能限制了行业整体的定价空间。</w:t>
      </w:r>
    </w:p>
    <w:p w14:paraId="5AE32AE0">
      <w:r>
        <w:rPr>
          <w:rFonts w:ascii="仿宋" w:hAnsi="仿宋"/>
          <w:sz w:val="24"/>
        </w:rPr>
        <w:t>关于面对DeepSeek等低成本竞争OpenAI竞争壁垒是否稳固的问题，研究发现，OpenAI的竞争壁垒主要建立在三个层面：品牌认知和用户习惯、模型能力的领先性、以及生态系统的网络效应。据公开数据，OpenAI的年化经常性收入（ARR）已从2023年底的约20亿美元增长至2025年底的约200亿美元，显示出其商业模式的强劲增长动力。然而，随着DeepSeek等开源模型性能的快速提升和成本的大幅下降——DeepSeek的API定价仅为OpenAI同类模型的十分之一——这一竞争壁垒正面临侵蚀。未来的竞争将不仅是模型能力的竞争，更是商业模式和成本效率的竞争。OpenAI需要持续创新以维持其领导地位。</w:t>
      </w:r>
    </w:p>
    <w:p w14:paraId="57F0A99E">
      <w:r>
        <w:rPr>
          <w:rFonts w:ascii="仿宋" w:hAnsi="仿宋"/>
          <w:b/>
          <w:sz w:val="24"/>
        </w:rPr>
        <w:t>（二）管理建议</w:t>
      </w:r>
    </w:p>
    <w:p w14:paraId="46A7EEDC">
      <w:r>
        <w:rPr>
          <w:rFonts w:ascii="仿宋" w:hAnsi="仿宋"/>
          <w:sz w:val="24"/>
        </w:rPr>
        <w:t>对于AI企业而言，在设计免费增值模式时应充分考虑推理成本约束，设置合理的免费层使用限制。付费转化策略应注重价值感知而非简单限制，让用户清楚知道付费能获得什么。企业应重视免费用户的数据价值，建立数据收集和模型优化的正向循环。此外，应根据不同市场的支付习惯设计灵活的定价方案，中国市场可能需要更多元化的付费选项。</w:t>
      </w:r>
    </w:p>
    <w:p w14:paraId="33834D4F">
      <w:r>
        <w:rPr>
          <w:rFonts w:ascii="仿宋" w:hAnsi="仿宋"/>
          <w:sz w:val="24"/>
        </w:rPr>
        <w:t>对于政策制定者而言，应关注AI产品中的数据使用问题，在促进创新与保护隐私之间寻求平衡。同时应警惕AI领域可能出现的价格战对行业健康发展的影响，避免恶性竞争导致的行业发展受阻。鼓励开源生态发展，促进AI技术的普惠化，可以在一定程度上平衡商业利益与社会效益。</w:t>
      </w:r>
    </w:p>
    <w:p w14:paraId="4F398BF1">
      <w:r>
        <w:rPr>
          <w:rFonts w:ascii="仿宋" w:hAnsi="仿宋"/>
          <w:b/>
          <w:sz w:val="24"/>
        </w:rPr>
        <w:t>（三）研究局限与未来展望</w:t>
      </w:r>
    </w:p>
    <w:p w14:paraId="6DBA77E3">
      <w:r>
        <w:rPr>
          <w:rFonts w:ascii="仿宋" w:hAnsi="仿宋"/>
          <w:sz w:val="24"/>
        </w:rPr>
        <w:t>本研究存在以下局限：首先，尽管公开报道显示OpenAI在2024年的净亏损约为50亿美元，但由于其尚未上市，详细的财务数据无法获取，推理成本和用户数据的量化分析主要依赖行业估算和媒体报道，精确度有限。其次，AI行业发展迅速，本研究的结论可能需要根据市场变化进行更新。最后，研究主要采用案例分析方法，缺乏大样本的定量实证支持。</w:t>
      </w:r>
    </w:p>
    <w:p w14:paraId="2596296A">
      <w:r>
        <w:rPr>
          <w:rFonts w:ascii="仿宋" w:hAnsi="仿宋"/>
          <w:sz w:val="24"/>
        </w:rPr>
        <w:t>未来研究可以在以下方向深入：随着更多AI企业上市披露财务数据，可以进行更精确的单位经济模型分析；可以通过用户调研探究付费意愿的影响因素及其异质性；可以跟踪研究开源模型对闭源付费模式的长期冲击效应。</w:t>
      </w:r>
    </w:p>
    <w:p w14:paraId="0CBF9B35">
      <w:r>
        <w:br w:type="page"/>
      </w:r>
    </w:p>
    <w:p w14:paraId="2DB1EF9C">
      <w:pPr>
        <w:pStyle w:val="3"/>
      </w:pPr>
      <w:r>
        <w:rPr>
          <w:rFonts w:ascii="黑体" w:hAnsi="黑体"/>
        </w:rPr>
        <w:t>参考文献</w:t>
      </w:r>
    </w:p>
    <w:p w14:paraId="1E4205B9">
      <w:r>
        <w:rPr>
          <w:rFonts w:ascii="仿宋" w:hAnsi="仿宋"/>
          <w:sz w:val="20"/>
        </w:rPr>
        <w:t>[1] 陈鹏宇, 韩会丽, 周品, 等. 基于免费增值模式的信息产品定价及广告策略研究[J]. 中国管理科学, 2024, 32(7): 212-224.</w:t>
      </w:r>
    </w:p>
    <w:p w14:paraId="65E239B6">
      <w:r>
        <w:rPr>
          <w:rFonts w:ascii="仿宋" w:hAnsi="仿宋"/>
          <w:sz w:val="20"/>
        </w:rPr>
        <w:t>[2] 科技部, 教育部, 工业和信息化部, 等. 关于加快场景创新以人工智能高水平应用促进经济高质量发展的指导意见[R]. 北京, 2022.</w:t>
      </w:r>
    </w:p>
    <w:p w14:paraId="32CCDB1A">
      <w:r>
        <w:rPr>
          <w:rFonts w:ascii="仿宋" w:hAnsi="仿宋"/>
          <w:sz w:val="20"/>
        </w:rPr>
        <w:t>[3] 李丹, 刘咏梅, 陈晓红. 线上平台的定价和优惠策略研究[J]. 中国管理科学, 2023, 31(11): 165-173.</w:t>
      </w:r>
    </w:p>
    <w:p w14:paraId="77FE4211">
      <w:r>
        <w:rPr>
          <w:rFonts w:ascii="仿宋" w:hAnsi="仿宋"/>
          <w:sz w:val="20"/>
        </w:rPr>
        <w:t>[4] 刘旭旺, 朱程娜, 齐卫, 等. 免费增值模式下服务产品的最优定价与捆绑策略[J]. 系统工程理论与实践, 2023, 43(6): 1722-1735.</w:t>
      </w:r>
    </w:p>
    <w:p w14:paraId="70398D45">
      <w:r>
        <w:rPr>
          <w:rFonts w:ascii="仿宋" w:hAnsi="仿宋"/>
          <w:sz w:val="20"/>
        </w:rPr>
        <w:t>[5] 杨扬, 刘圣, 李宜威, 等. 大数据营销：综述与展望[J]. 系统工程理论与实践, 2020, 40(8): 2150-2158.</w:t>
      </w:r>
    </w:p>
    <w:p w14:paraId="6AED7D16">
      <w:r>
        <w:rPr>
          <w:rFonts w:ascii="仿宋" w:hAnsi="仿宋"/>
          <w:sz w:val="20"/>
        </w:rPr>
        <w:t>[6] 朱国玮, 高文丽, 刘佳惠, 等. 人工智能营销：研究述评与展望[J]. 外国经济与管理, 2021, 43(7): 86-96.</w:t>
      </w:r>
    </w:p>
    <w:p w14:paraId="33E499EC">
      <w:r>
        <w:rPr>
          <w:rFonts w:ascii="Times New Roman" w:hAnsi="Times New Roman"/>
          <w:sz w:val="20"/>
        </w:rPr>
        <w:t>[7] Agrawal A, Gans J, Goldfarb A. Prediction Machines: The Simple Economics of Artificial Intelligence[M]. Boston: Harvard Business Review Press, 2018.</w:t>
      </w:r>
    </w:p>
    <w:p w14:paraId="63F1BFFC">
      <w:r>
        <w:rPr>
          <w:rFonts w:ascii="Times New Roman" w:hAnsi="Times New Roman"/>
          <w:sz w:val="20"/>
        </w:rPr>
        <w:t>[8] Anderson C. Free: The Future of a Radical Price[M]. New York: Hyperion, 2009.</w:t>
      </w:r>
    </w:p>
    <w:p w14:paraId="4C5F0ACD">
      <w:r>
        <w:rPr>
          <w:rFonts w:ascii="Times New Roman" w:hAnsi="Times New Roman"/>
          <w:sz w:val="20"/>
        </w:rPr>
        <w:t>[9] Bhargava H K, Choudhary V. Research Note: When Is Versioning Optimal for Information Goods?[J]. Management Science, 2008, 54(5): 1029-1035.</w:t>
      </w:r>
    </w:p>
    <w:p w14:paraId="752E35A8">
      <w:r>
        <w:rPr>
          <w:rFonts w:ascii="Times New Roman" w:hAnsi="Times New Roman"/>
          <w:sz w:val="20"/>
        </w:rPr>
        <w:t>[10] Gu X, Kannan P K, Ma L. Selling the Premium in Freemium[J]. Journal of Marketing, 2018, 82(6): 10-27.</w:t>
      </w:r>
    </w:p>
    <w:p w14:paraId="08CD7069">
      <w:r>
        <w:rPr>
          <w:rFonts w:ascii="Times New Roman" w:hAnsi="Times New Roman"/>
          <w:sz w:val="20"/>
        </w:rPr>
        <w:t>[11] Kaplan J, McCandlish S, Henighan T, et al. Scaling Laws for Neural Language Models[J]. arXiv preprint arXiv:2001.08361, 2020.</w:t>
      </w:r>
    </w:p>
    <w:p w14:paraId="4C5E21B8">
      <w:r>
        <w:rPr>
          <w:rFonts w:ascii="Times New Roman" w:hAnsi="Times New Roman"/>
          <w:sz w:val="20"/>
        </w:rPr>
        <w:t>[12] Kumar V. Making "Freemium" Work[J]. Harvard Business Review, 2014, 92(5): 27-29.</w:t>
      </w:r>
    </w:p>
    <w:p w14:paraId="524064D0">
      <w:r>
        <w:rPr>
          <w:rFonts w:ascii="Times New Roman" w:hAnsi="Times New Roman"/>
          <w:sz w:val="20"/>
        </w:rPr>
        <w:t>[13] Ouyang L, Wu J, Jiang X, et al. Training Language Models to Follow Instructions with Human Feedback[J]. Advances in Neural Information Processing Systems, 2022, 35: 27730-27744.</w:t>
      </w:r>
    </w:p>
    <w:p w14:paraId="0B6858A8">
      <w:r>
        <w:rPr>
          <w:rFonts w:ascii="Times New Roman" w:hAnsi="Times New Roman"/>
          <w:sz w:val="20"/>
        </w:rPr>
        <w:t>[14] Parker G G, Van Alstyne M W. Two-Sided Network Effects: A Theory of Information Product Design[J]. Management Science, 2005, 51(10): 1494-1504.</w:t>
      </w:r>
    </w:p>
    <w:p w14:paraId="3D1DD762">
      <w:r>
        <w:rPr>
          <w:rFonts w:ascii="Times New Roman" w:hAnsi="Times New Roman"/>
          <w:sz w:val="20"/>
        </w:rPr>
        <w:t>[15] Patterson D, Gonzalez J, Le Q, et al. Carbon Emissions and Large Neural Network Training[J]. arXiv preprint arXiv:2104.10350, 2021.</w:t>
      </w:r>
    </w:p>
    <w:p w14:paraId="3CDCA6D7">
      <w:r>
        <w:rPr>
          <w:rFonts w:ascii="Times New Roman" w:hAnsi="Times New Roman"/>
          <w:sz w:val="20"/>
        </w:rPr>
        <w:t>[16] Rochet J C, Tirole J. Platform Competition in Two-sided Markets[J]. Journal of the European Economic Association, 2003, 1(4): 990-1029.</w:t>
      </w:r>
    </w:p>
    <w:p w14:paraId="77F95095">
      <w:r>
        <w:rPr>
          <w:rFonts w:ascii="Times New Roman" w:hAnsi="Times New Roman"/>
          <w:sz w:val="20"/>
        </w:rPr>
        <w:t>[17] Rochet J C, Tirole J. Two-sided Markets: A Progress Report[J]. The RAND Journal of Economics, 2006, 37(3): 645-667.</w:t>
      </w:r>
    </w:p>
    <w:p w14:paraId="32955319">
      <w:r>
        <w:rPr>
          <w:rFonts w:ascii="Times New Roman" w:hAnsi="Times New Roman"/>
          <w:sz w:val="20"/>
        </w:rPr>
        <w:t>[18] Shapiro C, Varian H R. Information Rules: A Strategic Guide to the Network Economy[M]. Boston: Harvard Business School Press, 1999.</w:t>
      </w:r>
    </w:p>
    <w:p w14:paraId="25A1C05F">
      <w:r>
        <w:rPr>
          <w:rFonts w:ascii="Times New Roman" w:hAnsi="Times New Roman"/>
          <w:sz w:val="20"/>
        </w:rPr>
        <w:t>[19] Tversky A, Kahneman D. Judgment under Uncertainty: Heuristics and Biases[J]. Science, 1974, 185(4157): 1124-1131.</w:t>
      </w:r>
    </w:p>
    <w:p w14:paraId="495DD1A1">
      <w:r>
        <w:rPr>
          <w:rFonts w:ascii="Times New Roman" w:hAnsi="Times New Roman"/>
          <w:sz w:val="20"/>
        </w:rPr>
        <w:t>[20] Varian H R. Price Discrimination[A]. In: Schmalensee R, Willig R D. Handbook of Industrial Organization[C]. Amsterdam: Elsevier, 1989: 597-654.</w:t>
      </w:r>
    </w:p>
    <w:p w14:paraId="2F3FF484">
      <w:r>
        <w:rPr>
          <w:rFonts w:ascii="Times New Roman" w:hAnsi="Times New Roman"/>
          <w:sz w:val="20"/>
        </w:rPr>
        <w:t>[21] Varian H R. Artificial Intelligence, Economics, and Industrial Organization[A]. In: Agrawal A, Gans J, Goldfarb A. The Economics of Artificial Intelligence: An Agenda[C]. Chicago: University of Chicago Press, 2019: 399-422.</w:t>
      </w:r>
    </w:p>
    <w:p w14:paraId="43943C6D">
      <w:r>
        <w:rPr>
          <w:rFonts w:ascii="Times New Roman" w:hAnsi="Times New Roman"/>
          <w:sz w:val="20"/>
        </w:rPr>
        <w:t>[22] Zhu F, Iansiti M. Why Some Platforms Thrive and Others Don't[J]. Harvard Business Review, 2019, 97(1): 118-125.</w:t>
      </w:r>
    </w:p>
    <w:p w14:paraId="28DEFE96">
      <w:r>
        <w:rPr>
          <w:rFonts w:ascii="Times New Roman" w:hAnsi="Times New Roman"/>
          <w:sz w:val="20"/>
        </w:rPr>
        <w:t>[23] Hu K. ChatGPT Sets Record for Fastest-growing User Base — Analyst Note[EB/OL]. Reuters, 2023-02-02.</w:t>
      </w:r>
    </w:p>
    <w:p w14:paraId="0DD983EE">
      <w:r>
        <w:rPr>
          <w:rFonts w:ascii="Times New Roman" w:hAnsi="Times New Roman"/>
          <w:sz w:val="20"/>
        </w:rPr>
        <w:t>[24] Patel D, Ahmad A. The Inference Cost of Search Disruption — Large Language Model Cost Analysis[EB/OL]. SemiAnalysis, 2023-02-09.</w:t>
      </w:r>
    </w:p>
    <w:p w14:paraId="6CA70737">
      <w:r>
        <w:br w:type="page"/>
      </w:r>
    </w:p>
    <w:p w14:paraId="5ECCCD4D">
      <w:pPr>
        <w:pStyle w:val="3"/>
      </w:pPr>
      <w:r>
        <w:rPr>
          <w:rFonts w:ascii="黑体" w:hAnsi="黑体"/>
        </w:rPr>
        <w:t>致谢</w:t>
      </w:r>
    </w:p>
    <w:p w14:paraId="71ECFAA1">
      <w:r>
        <w:rPr>
          <w:rFonts w:ascii="仿宋" w:hAnsi="仿宋"/>
          <w:sz w:val="24"/>
        </w:rPr>
        <w:t>本论文是在导师徐冬莉老师的悉心指导下完成的。徐老师渊博的学识、严谨的治学态度和循循善诱的教导方式使我受益匪浅。在论文写作过程中，徐老师从选题、资料收集、论文框架设计到最终定稿，都给予了我耐心细致的指导，在此表示最诚挚的感谢。</w:t>
      </w:r>
    </w:p>
    <w:p w14:paraId="2B57F5C4">
      <w:r>
        <w:rPr>
          <w:rFonts w:ascii="仿宋" w:hAnsi="仿宋"/>
          <w:sz w:val="24"/>
        </w:rPr>
        <w:t>同时，感谢营销与物流管理学院的各位老师在大学四年中给予我的教导和帮助，感谢同学们在学习和生活中给予的支持与鼓励。最后，感谢我的家人一直以来的理解和支持。</w:t>
      </w:r>
    </w:p>
    <w:p w14:paraId="687C1CAB">
      <w:r>
        <w:br w:type="page"/>
      </w:r>
    </w:p>
    <w:p w14:paraId="7C64BC5C">
      <w:pPr>
        <w:pStyle w:val="3"/>
      </w:pPr>
      <w:r>
        <w:rPr>
          <w:rFonts w:ascii="黑体" w:hAnsi="黑体"/>
        </w:rPr>
        <w:t>附录：数据来源说明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483"/>
        <w:gridCol w:w="1226"/>
        <w:gridCol w:w="3436"/>
        <w:gridCol w:w="1189"/>
      </w:tblGrid>
      <w:tr w14:paraId="212A62D3">
        <w:tc>
          <w:tcPr>
            <w:tcW w:w="1728" w:type="dxa"/>
          </w:tcPr>
          <w:p w14:paraId="3F9B195F">
            <w:pPr>
              <w:spacing w:after="0" w:line="240" w:lineRule="auto"/>
            </w:pPr>
            <w:r>
              <w:t>序号</w:t>
            </w:r>
          </w:p>
        </w:tc>
        <w:tc>
          <w:tcPr>
            <w:tcW w:w="1728" w:type="dxa"/>
          </w:tcPr>
          <w:p w14:paraId="3C292668">
            <w:pPr>
              <w:spacing w:after="0" w:line="240" w:lineRule="auto"/>
            </w:pPr>
            <w:r>
              <w:t>数据项</w:t>
            </w:r>
          </w:p>
        </w:tc>
        <w:tc>
          <w:tcPr>
            <w:tcW w:w="1728" w:type="dxa"/>
          </w:tcPr>
          <w:p w14:paraId="11B335E8">
            <w:pPr>
              <w:spacing w:after="0" w:line="240" w:lineRule="auto"/>
            </w:pPr>
            <w:r>
              <w:t>用途位置</w:t>
            </w:r>
          </w:p>
        </w:tc>
        <w:tc>
          <w:tcPr>
            <w:tcW w:w="1728" w:type="dxa"/>
          </w:tcPr>
          <w:p w14:paraId="2327BBC2">
            <w:pPr>
              <w:spacing w:after="0" w:line="240" w:lineRule="auto"/>
            </w:pPr>
            <w:r>
              <w:t>来源</w:t>
            </w:r>
          </w:p>
        </w:tc>
        <w:tc>
          <w:tcPr>
            <w:tcW w:w="1728" w:type="dxa"/>
          </w:tcPr>
          <w:p w14:paraId="465AB6FA">
            <w:pPr>
              <w:spacing w:after="0" w:line="240" w:lineRule="auto"/>
            </w:pPr>
            <w:r>
              <w:t>状态</w:t>
            </w:r>
          </w:p>
        </w:tc>
      </w:tr>
      <w:tr w14:paraId="1AE3AAC4">
        <w:tc>
          <w:tcPr>
            <w:tcW w:w="1728" w:type="dxa"/>
          </w:tcPr>
          <w:p w14:paraId="721DEF7F">
            <w:pPr>
              <w:spacing w:after="0" w:line="240" w:lineRule="auto"/>
            </w:pPr>
            <w:r>
              <w:t>1</w:t>
            </w:r>
          </w:p>
        </w:tc>
        <w:tc>
          <w:tcPr>
            <w:tcW w:w="1728" w:type="dxa"/>
          </w:tcPr>
          <w:p w14:paraId="0179D9D8">
            <w:pPr>
              <w:spacing w:after="0" w:line="240" w:lineRule="auto"/>
            </w:pPr>
            <w:r>
              <w:t>ChatGPT 1亿用户数据</w:t>
            </w:r>
          </w:p>
        </w:tc>
        <w:tc>
          <w:tcPr>
            <w:tcW w:w="1728" w:type="dxa"/>
          </w:tcPr>
          <w:p w14:paraId="3AA6ECF0">
            <w:pPr>
              <w:spacing w:after="0" w:line="240" w:lineRule="auto"/>
            </w:pPr>
            <w:r>
              <w:t>引言</w:t>
            </w:r>
          </w:p>
        </w:tc>
        <w:tc>
          <w:tcPr>
            <w:tcW w:w="1728" w:type="dxa"/>
          </w:tcPr>
          <w:p w14:paraId="30DC993E">
            <w:pPr>
              <w:spacing w:after="0" w:line="240" w:lineRule="auto"/>
            </w:pPr>
            <w:r>
              <w:t>Reuters/UBS分析师报告（Hu, 2023）</w:t>
            </w:r>
          </w:p>
        </w:tc>
        <w:tc>
          <w:tcPr>
            <w:tcW w:w="1728" w:type="dxa"/>
          </w:tcPr>
          <w:p w14:paraId="19EFAD9A">
            <w:pPr>
              <w:spacing w:after="0" w:line="240" w:lineRule="auto"/>
            </w:pPr>
            <w:r>
              <w:t>已补充</w:t>
            </w:r>
          </w:p>
        </w:tc>
      </w:tr>
      <w:tr w14:paraId="7FB1081B">
        <w:tc>
          <w:tcPr>
            <w:tcW w:w="1728" w:type="dxa"/>
          </w:tcPr>
          <w:p w14:paraId="2B1ACF10">
            <w:pPr>
              <w:spacing w:after="0" w:line="240" w:lineRule="auto"/>
            </w:pPr>
            <w:r>
              <w:t>2</w:t>
            </w:r>
          </w:p>
        </w:tc>
        <w:tc>
          <w:tcPr>
            <w:tcW w:w="1728" w:type="dxa"/>
          </w:tcPr>
          <w:p w14:paraId="3E865295">
            <w:pPr>
              <w:spacing w:after="0" w:line="240" w:lineRule="auto"/>
            </w:pPr>
            <w:r>
              <w:t>大模型推理成本数据</w:t>
            </w:r>
          </w:p>
        </w:tc>
        <w:tc>
          <w:tcPr>
            <w:tcW w:w="1728" w:type="dxa"/>
          </w:tcPr>
          <w:p w14:paraId="421AF9B1">
            <w:pPr>
              <w:spacing w:after="0" w:line="240" w:lineRule="auto"/>
            </w:pPr>
            <w:r>
              <w:t>表3</w:t>
            </w:r>
          </w:p>
        </w:tc>
        <w:tc>
          <w:tcPr>
            <w:tcW w:w="1728" w:type="dxa"/>
          </w:tcPr>
          <w:p w14:paraId="1FE9D3CB">
            <w:pPr>
              <w:spacing w:after="0" w:line="240" w:lineRule="auto"/>
            </w:pPr>
            <w:r>
              <w:t>SemiAnalysis研报（Patel &amp; Ahmad, 2023）；OpenAI API定价页</w:t>
            </w:r>
          </w:p>
        </w:tc>
        <w:tc>
          <w:tcPr>
            <w:tcW w:w="1728" w:type="dxa"/>
          </w:tcPr>
          <w:p w14:paraId="686EDA13">
            <w:pPr>
              <w:spacing w:after="0" w:line="240" w:lineRule="auto"/>
            </w:pPr>
            <w:r>
              <w:t>已补充</w:t>
            </w:r>
          </w:p>
        </w:tc>
      </w:tr>
      <w:tr w14:paraId="0AEC07B5">
        <w:tc>
          <w:tcPr>
            <w:tcW w:w="1728" w:type="dxa"/>
          </w:tcPr>
          <w:p w14:paraId="4590E1A7">
            <w:pPr>
              <w:spacing w:after="0" w:line="240" w:lineRule="auto"/>
            </w:pPr>
            <w:r>
              <w:t>3</w:t>
            </w:r>
          </w:p>
        </w:tc>
        <w:tc>
          <w:tcPr>
            <w:tcW w:w="1728" w:type="dxa"/>
          </w:tcPr>
          <w:p w14:paraId="622DA872">
            <w:pPr>
              <w:spacing w:after="0" w:line="240" w:lineRule="auto"/>
            </w:pPr>
            <w:r>
              <w:t>OpenAI官网定价公告</w:t>
            </w:r>
          </w:p>
        </w:tc>
        <w:tc>
          <w:tcPr>
            <w:tcW w:w="1728" w:type="dxa"/>
          </w:tcPr>
          <w:p w14:paraId="0CA40305">
            <w:pPr>
              <w:spacing w:after="0" w:line="240" w:lineRule="auto"/>
            </w:pPr>
            <w:r>
              <w:t>表1、表2</w:t>
            </w:r>
          </w:p>
        </w:tc>
        <w:tc>
          <w:tcPr>
            <w:tcW w:w="1728" w:type="dxa"/>
          </w:tcPr>
          <w:p w14:paraId="0B1495FC">
            <w:pPr>
              <w:spacing w:after="0" w:line="240" w:lineRule="auto"/>
            </w:pPr>
            <w:r>
              <w:t>OpenAI官网（https://openai.com/pricing）</w:t>
            </w:r>
          </w:p>
        </w:tc>
        <w:tc>
          <w:tcPr>
            <w:tcW w:w="1728" w:type="dxa"/>
          </w:tcPr>
          <w:p w14:paraId="2FCA9CBF">
            <w:pPr>
              <w:spacing w:after="0" w:line="240" w:lineRule="auto"/>
            </w:pPr>
            <w:r>
              <w:t>已补充</w:t>
            </w:r>
          </w:p>
        </w:tc>
      </w:tr>
      <w:tr w14:paraId="3C540E0E">
        <w:tc>
          <w:tcPr>
            <w:tcW w:w="1728" w:type="dxa"/>
          </w:tcPr>
          <w:p w14:paraId="1BF066B3">
            <w:pPr>
              <w:spacing w:after="0" w:line="240" w:lineRule="auto"/>
            </w:pPr>
            <w:r>
              <w:t>4</w:t>
            </w:r>
          </w:p>
        </w:tc>
        <w:tc>
          <w:tcPr>
            <w:tcW w:w="1728" w:type="dxa"/>
          </w:tcPr>
          <w:p w14:paraId="70A0A07D">
            <w:pPr>
              <w:spacing w:after="0" w:line="240" w:lineRule="auto"/>
            </w:pPr>
            <w:r>
              <w:t>竞品定价数据</w:t>
            </w:r>
          </w:p>
        </w:tc>
        <w:tc>
          <w:tcPr>
            <w:tcW w:w="1728" w:type="dxa"/>
          </w:tcPr>
          <w:p w14:paraId="5D39D5D7">
            <w:pPr>
              <w:spacing w:after="0" w:line="240" w:lineRule="auto"/>
            </w:pPr>
            <w:r>
              <w:t>表4</w:t>
            </w:r>
          </w:p>
        </w:tc>
        <w:tc>
          <w:tcPr>
            <w:tcW w:w="1728" w:type="dxa"/>
          </w:tcPr>
          <w:p w14:paraId="0ECD91AB">
            <w:pPr>
              <w:spacing w:after="0" w:line="240" w:lineRule="auto"/>
            </w:pPr>
            <w:r>
              <w:t>各公司官网，访问日期2026年3月</w:t>
            </w:r>
          </w:p>
        </w:tc>
        <w:tc>
          <w:tcPr>
            <w:tcW w:w="1728" w:type="dxa"/>
          </w:tcPr>
          <w:p w14:paraId="7F5A0A8F">
            <w:pPr>
              <w:spacing w:after="0" w:line="240" w:lineRule="auto"/>
            </w:pPr>
            <w:r>
              <w:t>已补充</w:t>
            </w:r>
          </w:p>
        </w:tc>
      </w:tr>
      <w:tr w14:paraId="278C8AA3">
        <w:tc>
          <w:tcPr>
            <w:tcW w:w="1728" w:type="dxa"/>
          </w:tcPr>
          <w:p w14:paraId="7FABFD88">
            <w:pPr>
              <w:spacing w:after="0" w:line="240" w:lineRule="auto"/>
            </w:pPr>
            <w:r>
              <w:t>5</w:t>
            </w:r>
          </w:p>
        </w:tc>
        <w:tc>
          <w:tcPr>
            <w:tcW w:w="1728" w:type="dxa"/>
          </w:tcPr>
          <w:p w14:paraId="042A516E">
            <w:pPr>
              <w:spacing w:after="0" w:line="240" w:lineRule="auto"/>
            </w:pPr>
            <w:r>
              <w:t>OpenAI财务数据</w:t>
            </w:r>
          </w:p>
        </w:tc>
        <w:tc>
          <w:tcPr>
            <w:tcW w:w="1728" w:type="dxa"/>
          </w:tcPr>
          <w:p w14:paraId="6682A893">
            <w:pPr>
              <w:spacing w:after="0" w:line="240" w:lineRule="auto"/>
            </w:pPr>
            <w:r>
              <w:t>结论部分</w:t>
            </w:r>
          </w:p>
        </w:tc>
        <w:tc>
          <w:tcPr>
            <w:tcW w:w="1728" w:type="dxa"/>
          </w:tcPr>
          <w:p w14:paraId="3D89F169">
            <w:pPr>
              <w:spacing w:after="0" w:line="240" w:lineRule="auto"/>
            </w:pPr>
            <w:r>
              <w:t>受限于OpenAI未上市，详细财务数据不可公开获取</w:t>
            </w:r>
          </w:p>
        </w:tc>
        <w:tc>
          <w:tcPr>
            <w:tcW w:w="1728" w:type="dxa"/>
          </w:tcPr>
          <w:p w14:paraId="6FFF1319">
            <w:pPr>
              <w:spacing w:after="0" w:line="240" w:lineRule="auto"/>
            </w:pPr>
            <w:r>
              <w:t>已在研究局限中说明</w:t>
            </w:r>
          </w:p>
        </w:tc>
      </w:tr>
    </w:tbl>
    <w:p w14:paraId="55AF5FE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FangSong">
    <w:altName w:val="方正仿宋_GBK"/>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10F8"/>
    <w:rsid w:val="0077752D"/>
    <w:rsid w:val="007F4DF3"/>
    <w:rsid w:val="00AA1D8D"/>
    <w:rsid w:val="00B405F7"/>
    <w:rsid w:val="00B47730"/>
    <w:rsid w:val="00CB0664"/>
    <w:rsid w:val="00EC79AE"/>
    <w:rsid w:val="00FC693F"/>
    <w:rsid w:val="3DAE5C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2698</Words>
  <Characters>15379</Characters>
  <Lines>128</Lines>
  <Paragraphs>36</Paragraphs>
  <TotalTime>7</TotalTime>
  <ScaleCrop>false</ScaleCrop>
  <LinksUpToDate>false</LinksUpToDate>
  <CharactersWithSpaces>18041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陈欢欣</dc:creator>
  <dc:description>generated by python-docx</dc:description>
  <cp:lastModifiedBy>胡汇川</cp:lastModifiedBy>
  <dcterms:modified xsi:type="dcterms:W3CDTF">2026-03-12T19:16:18Z</dcterms:modified>
  <dc:title>人工智能产品的"免费增值"定价策略研究——以OpenAI为例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D57F1483F9666B0D82A0B2691DB3CD2C_42</vt:lpwstr>
  </property>
</Properties>
</file>