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4F8C" w14:textId="77777777" w:rsidR="00BF3060" w:rsidRDefault="00BF3060">
      <w:pPr>
        <w:pStyle w:val="a7"/>
        <w:adjustRightInd w:val="0"/>
        <w:snapToGrid w:val="0"/>
        <w:spacing w:line="440" w:lineRule="exact"/>
        <w:rPr>
          <w:b/>
          <w:bCs/>
          <w:sz w:val="28"/>
        </w:rPr>
      </w:pPr>
    </w:p>
    <w:p w14:paraId="0E656A08" w14:textId="77777777" w:rsidR="00BF3060" w:rsidRDefault="00BF3060">
      <w:pPr>
        <w:pStyle w:val="a7"/>
        <w:adjustRightInd w:val="0"/>
        <w:snapToGrid w:val="0"/>
        <w:spacing w:line="440" w:lineRule="exact"/>
        <w:rPr>
          <w:b/>
          <w:bCs/>
          <w:sz w:val="28"/>
        </w:rPr>
      </w:pPr>
    </w:p>
    <w:p w14:paraId="63A162E9" w14:textId="77777777" w:rsidR="00BF3060" w:rsidRDefault="00BF3060">
      <w:pPr>
        <w:pStyle w:val="a7"/>
        <w:adjustRightInd w:val="0"/>
        <w:snapToGrid w:val="0"/>
        <w:spacing w:line="440" w:lineRule="exact"/>
        <w:rPr>
          <w:b/>
          <w:bCs/>
          <w:sz w:val="28"/>
        </w:rPr>
      </w:pPr>
    </w:p>
    <w:p w14:paraId="415C72B7" w14:textId="77777777" w:rsidR="00BF3060" w:rsidRDefault="00BF3060">
      <w:pPr>
        <w:pStyle w:val="a7"/>
        <w:adjustRightInd w:val="0"/>
        <w:snapToGrid w:val="0"/>
        <w:spacing w:line="440" w:lineRule="exact"/>
        <w:rPr>
          <w:b/>
          <w:bCs/>
          <w:sz w:val="28"/>
        </w:rPr>
      </w:pPr>
    </w:p>
    <w:p w14:paraId="12A9A9CE" w14:textId="77777777" w:rsidR="00BF3060" w:rsidRDefault="00BF3060">
      <w:pPr>
        <w:pStyle w:val="a7"/>
        <w:adjustRightInd w:val="0"/>
        <w:snapToGrid w:val="0"/>
        <w:spacing w:line="440" w:lineRule="exact"/>
        <w:rPr>
          <w:b/>
          <w:bCs/>
          <w:sz w:val="28"/>
        </w:rPr>
      </w:pPr>
    </w:p>
    <w:p w14:paraId="11E3F6B7" w14:textId="77777777" w:rsidR="00BF3060" w:rsidRDefault="00817CB6">
      <w:pPr>
        <w:adjustRightInd w:val="0"/>
        <w:snapToGrid w:val="0"/>
        <w:jc w:val="center"/>
        <w:rPr>
          <w:rFonts w:ascii="华文行楷" w:eastAsia="华文行楷" w:hAnsi="华文楷体"/>
          <w:sz w:val="56"/>
        </w:rPr>
      </w:pPr>
      <w:r>
        <w:rPr>
          <w:rFonts w:ascii="华文行楷" w:eastAsia="华文行楷" w:hAnsi="华文楷体" w:hint="eastAsia"/>
          <w:sz w:val="56"/>
        </w:rPr>
        <w:t>南</w:t>
      </w:r>
      <w:r>
        <w:rPr>
          <w:rFonts w:ascii="华文行楷" w:eastAsia="华文行楷" w:hAnsi="华文楷体" w:hint="eastAsia"/>
          <w:sz w:val="56"/>
        </w:rPr>
        <w:t xml:space="preserve"> </w:t>
      </w:r>
      <w:r>
        <w:rPr>
          <w:rFonts w:ascii="华文行楷" w:eastAsia="华文行楷" w:hAnsi="华文楷体" w:hint="eastAsia"/>
          <w:sz w:val="56"/>
        </w:rPr>
        <w:t>京</w:t>
      </w:r>
      <w:r>
        <w:rPr>
          <w:rFonts w:ascii="华文行楷" w:eastAsia="华文行楷" w:hAnsi="华文楷体" w:hint="eastAsia"/>
          <w:sz w:val="56"/>
        </w:rPr>
        <w:t xml:space="preserve"> </w:t>
      </w:r>
      <w:r>
        <w:rPr>
          <w:rFonts w:ascii="华文行楷" w:eastAsia="华文行楷" w:hAnsi="华文楷体" w:hint="eastAsia"/>
          <w:sz w:val="56"/>
        </w:rPr>
        <w:t>财</w:t>
      </w:r>
      <w:r>
        <w:rPr>
          <w:rFonts w:ascii="华文行楷" w:eastAsia="华文行楷" w:hAnsi="华文楷体" w:hint="eastAsia"/>
          <w:sz w:val="56"/>
        </w:rPr>
        <w:t xml:space="preserve"> </w:t>
      </w:r>
      <w:r>
        <w:rPr>
          <w:rFonts w:ascii="华文行楷" w:eastAsia="华文行楷" w:hAnsi="华文楷体" w:hint="eastAsia"/>
          <w:sz w:val="56"/>
        </w:rPr>
        <w:t>经</w:t>
      </w:r>
      <w:r>
        <w:rPr>
          <w:rFonts w:ascii="华文行楷" w:eastAsia="华文行楷" w:hAnsi="华文楷体" w:hint="eastAsia"/>
          <w:sz w:val="56"/>
        </w:rPr>
        <w:t xml:space="preserve"> </w:t>
      </w:r>
      <w:r>
        <w:rPr>
          <w:rFonts w:ascii="华文行楷" w:eastAsia="华文行楷" w:hAnsi="华文楷体" w:hint="eastAsia"/>
          <w:sz w:val="56"/>
        </w:rPr>
        <w:t>大</w:t>
      </w:r>
      <w:r>
        <w:rPr>
          <w:rFonts w:ascii="华文行楷" w:eastAsia="华文行楷" w:hAnsi="华文楷体" w:hint="eastAsia"/>
          <w:sz w:val="56"/>
        </w:rPr>
        <w:t xml:space="preserve"> </w:t>
      </w:r>
      <w:r>
        <w:rPr>
          <w:rFonts w:ascii="华文行楷" w:eastAsia="华文行楷" w:hAnsi="华文楷体" w:hint="eastAsia"/>
          <w:sz w:val="56"/>
        </w:rPr>
        <w:t>学</w:t>
      </w:r>
    </w:p>
    <w:p w14:paraId="717C8AC4" w14:textId="77777777" w:rsidR="00BF3060" w:rsidRDefault="00BF3060">
      <w:pPr>
        <w:adjustRightInd w:val="0"/>
        <w:snapToGrid w:val="0"/>
        <w:jc w:val="center"/>
        <w:rPr>
          <w:rFonts w:ascii="华文行楷" w:eastAsia="华文行楷" w:hAnsi="华文楷体"/>
          <w:b/>
          <w:bCs/>
          <w:color w:val="0000FF"/>
          <w:sz w:val="6"/>
        </w:rPr>
      </w:pPr>
    </w:p>
    <w:p w14:paraId="51E47B8F" w14:textId="77777777" w:rsidR="00BF3060" w:rsidRDefault="00817CB6">
      <w:pPr>
        <w:pStyle w:val="a3"/>
        <w:adjustRightInd w:val="0"/>
        <w:snapToGrid w:val="0"/>
        <w:spacing w:after="0"/>
        <w:jc w:val="center"/>
        <w:rPr>
          <w:rFonts w:ascii="黑体" w:eastAsia="黑体"/>
          <w:sz w:val="50"/>
        </w:rPr>
      </w:pPr>
      <w:r>
        <w:rPr>
          <w:rFonts w:ascii="黑体" w:eastAsia="黑体" w:hint="eastAsia"/>
          <w:sz w:val="50"/>
        </w:rPr>
        <w:t>本科毕业论文（设计）开题报告</w:t>
      </w:r>
    </w:p>
    <w:p w14:paraId="45650E9E" w14:textId="77777777" w:rsidR="00BF3060" w:rsidRDefault="00BF3060">
      <w:pPr>
        <w:pStyle w:val="a3"/>
        <w:adjustRightInd w:val="0"/>
        <w:snapToGrid w:val="0"/>
        <w:spacing w:after="0" w:line="440" w:lineRule="exact"/>
        <w:ind w:right="-632"/>
        <w:rPr>
          <w:rFonts w:ascii="黑体" w:eastAsia="黑体"/>
          <w:sz w:val="72"/>
        </w:rPr>
      </w:pPr>
    </w:p>
    <w:p w14:paraId="50EE8BEE" w14:textId="77777777" w:rsidR="00BF3060" w:rsidRDefault="00BF3060">
      <w:pPr>
        <w:adjustRightInd w:val="0"/>
        <w:snapToGrid w:val="0"/>
        <w:spacing w:line="440" w:lineRule="exact"/>
        <w:ind w:rightChars="171" w:right="359" w:firstLineChars="224" w:firstLine="672"/>
        <w:rPr>
          <w:sz w:val="30"/>
        </w:rPr>
      </w:pPr>
    </w:p>
    <w:p w14:paraId="6A7AFCB4" w14:textId="77777777" w:rsidR="00BF3060" w:rsidRDefault="00BF3060">
      <w:pPr>
        <w:adjustRightInd w:val="0"/>
        <w:snapToGrid w:val="0"/>
        <w:spacing w:line="440" w:lineRule="exact"/>
        <w:ind w:rightChars="171" w:right="359" w:firstLineChars="224" w:firstLine="672"/>
        <w:rPr>
          <w:sz w:val="30"/>
        </w:rPr>
      </w:pPr>
    </w:p>
    <w:p w14:paraId="762B3076" w14:textId="77777777" w:rsidR="00BF3060" w:rsidRDefault="00817CB6">
      <w:pPr>
        <w:adjustRightInd w:val="0"/>
        <w:snapToGrid w:val="0"/>
        <w:spacing w:line="440" w:lineRule="exact"/>
        <w:ind w:rightChars="171" w:right="359" w:firstLineChars="224" w:firstLine="720"/>
        <w:rPr>
          <w:rFonts w:ascii="楷体_GB2312"/>
          <w:b/>
          <w:bCs/>
          <w:sz w:val="32"/>
          <w:u w:val="single"/>
        </w:rPr>
      </w:pPr>
      <w:r>
        <w:rPr>
          <w:rFonts w:hint="eastAsia"/>
          <w:b/>
          <w:bCs/>
          <w:sz w:val="32"/>
        </w:rPr>
        <w:t>题</w:t>
      </w:r>
      <w:r>
        <w:rPr>
          <w:b/>
          <w:bCs/>
          <w:sz w:val="32"/>
        </w:rPr>
        <w:t xml:space="preserve">    </w:t>
      </w:r>
      <w:r>
        <w:rPr>
          <w:rFonts w:hint="eastAsia"/>
          <w:b/>
          <w:bCs/>
          <w:sz w:val="32"/>
        </w:rPr>
        <w:t>目：</w:t>
      </w:r>
      <w:r>
        <w:rPr>
          <w:rFonts w:ascii="楷体_GB2312" w:hint="eastAsia"/>
          <w:sz w:val="32"/>
          <w:u w:val="single"/>
        </w:rPr>
        <w:t xml:space="preserve"> </w:t>
      </w:r>
      <w:r>
        <w:rPr>
          <w:rFonts w:ascii="楷体_GB2312"/>
          <w:b/>
          <w:bCs/>
          <w:sz w:val="32"/>
          <w:u w:val="single"/>
        </w:rPr>
        <w:t>人工智能产品的</w:t>
      </w:r>
      <w:r>
        <w:rPr>
          <w:rFonts w:ascii="楷体_GB2312"/>
          <w:b/>
          <w:bCs/>
          <w:sz w:val="32"/>
          <w:u w:val="single"/>
        </w:rPr>
        <w:t>“</w:t>
      </w:r>
      <w:r>
        <w:rPr>
          <w:rFonts w:ascii="楷体_GB2312"/>
          <w:b/>
          <w:bCs/>
          <w:sz w:val="32"/>
          <w:u w:val="single"/>
        </w:rPr>
        <w:t>免费增值</w:t>
      </w:r>
      <w:r>
        <w:rPr>
          <w:rFonts w:ascii="楷体_GB2312"/>
          <w:b/>
          <w:bCs/>
          <w:sz w:val="32"/>
          <w:u w:val="single"/>
        </w:rPr>
        <w:t>”</w:t>
      </w:r>
      <w:r>
        <w:rPr>
          <w:rFonts w:ascii="楷体_GB2312"/>
          <w:b/>
          <w:bCs/>
          <w:sz w:val="32"/>
          <w:u w:val="single"/>
        </w:rPr>
        <w:t>定价策略</w:t>
      </w:r>
    </w:p>
    <w:p w14:paraId="3763E243" w14:textId="77777777" w:rsidR="00BF3060" w:rsidRDefault="00817CB6">
      <w:pPr>
        <w:adjustRightInd w:val="0"/>
        <w:snapToGrid w:val="0"/>
        <w:spacing w:line="440" w:lineRule="exact"/>
        <w:ind w:rightChars="171" w:right="359" w:firstLineChars="674" w:firstLine="2165"/>
        <w:rPr>
          <w:rFonts w:ascii="楷体_GB2312"/>
          <w:sz w:val="32"/>
          <w:u w:val="single"/>
        </w:rPr>
      </w:pPr>
      <w:r>
        <w:rPr>
          <w:rFonts w:ascii="楷体_GB2312"/>
          <w:b/>
          <w:bCs/>
          <w:sz w:val="32"/>
          <w:u w:val="single"/>
        </w:rPr>
        <w:t>研究</w:t>
      </w:r>
      <w:r>
        <w:rPr>
          <w:rFonts w:ascii="楷体_GB2312"/>
          <w:b/>
          <w:bCs/>
          <w:sz w:val="32"/>
          <w:u w:val="single"/>
        </w:rPr>
        <w:t>——</w:t>
      </w:r>
      <w:r>
        <w:rPr>
          <w:rFonts w:ascii="楷体_GB2312"/>
          <w:b/>
          <w:bCs/>
          <w:sz w:val="32"/>
          <w:u w:val="single"/>
        </w:rPr>
        <w:t>以</w:t>
      </w:r>
      <w:r>
        <w:rPr>
          <w:rFonts w:ascii="楷体_GB2312"/>
          <w:b/>
          <w:bCs/>
          <w:sz w:val="32"/>
          <w:u w:val="single"/>
        </w:rPr>
        <w:t xml:space="preserve"> OpenAI </w:t>
      </w:r>
      <w:r>
        <w:rPr>
          <w:rFonts w:ascii="楷体_GB2312"/>
          <w:b/>
          <w:bCs/>
          <w:sz w:val="32"/>
          <w:u w:val="single"/>
        </w:rPr>
        <w:t>为例</w:t>
      </w:r>
      <w:r>
        <w:rPr>
          <w:rFonts w:ascii="楷体_GB2312" w:hint="eastAsia"/>
          <w:sz w:val="32"/>
          <w:u w:val="single"/>
        </w:rPr>
        <w:t xml:space="preserve">                               </w:t>
      </w:r>
    </w:p>
    <w:p w14:paraId="0DEBF318" w14:textId="77777777" w:rsidR="00BF3060" w:rsidRDefault="00BF3060">
      <w:pPr>
        <w:adjustRightInd w:val="0"/>
        <w:snapToGrid w:val="0"/>
        <w:spacing w:line="440" w:lineRule="exact"/>
        <w:ind w:rightChars="171" w:right="359" w:firstLineChars="224" w:firstLine="720"/>
        <w:rPr>
          <w:b/>
          <w:bCs/>
          <w:sz w:val="32"/>
        </w:rPr>
      </w:pPr>
    </w:p>
    <w:p w14:paraId="2FD98F86" w14:textId="77777777" w:rsidR="00BF3060" w:rsidRDefault="00817CB6">
      <w:pPr>
        <w:adjustRightInd w:val="0"/>
        <w:snapToGrid w:val="0"/>
        <w:spacing w:line="440" w:lineRule="exact"/>
        <w:ind w:rightChars="171" w:right="359" w:firstLineChars="224" w:firstLine="720"/>
        <w:rPr>
          <w:b/>
          <w:bCs/>
          <w:sz w:val="32"/>
        </w:rPr>
      </w:pPr>
      <w:r>
        <w:rPr>
          <w:rFonts w:hint="eastAsia"/>
          <w:b/>
          <w:bCs/>
          <w:sz w:val="32"/>
        </w:rPr>
        <w:t>学生姓名：</w:t>
      </w:r>
      <w:r>
        <w:rPr>
          <w:rFonts w:ascii="楷体_GB2312" w:hint="eastAsia"/>
          <w:sz w:val="32"/>
          <w:u w:val="single"/>
        </w:rPr>
        <w:t xml:space="preserve"> </w:t>
      </w:r>
      <w:r>
        <w:rPr>
          <w:rFonts w:ascii="楷体_GB2312" w:hint="eastAsia"/>
          <w:sz w:val="32"/>
          <w:u w:val="single"/>
        </w:rPr>
        <w:t>陈欢欣</w:t>
      </w:r>
      <w:r>
        <w:rPr>
          <w:rFonts w:ascii="楷体_GB2312" w:hint="eastAsia"/>
          <w:sz w:val="32"/>
          <w:u w:val="single"/>
        </w:rPr>
        <w:t xml:space="preserve">      </w:t>
      </w:r>
      <w:r>
        <w:rPr>
          <w:rFonts w:hint="eastAsia"/>
          <w:b/>
          <w:bCs/>
          <w:sz w:val="32"/>
        </w:rPr>
        <w:t>学</w:t>
      </w:r>
      <w:r>
        <w:rPr>
          <w:b/>
          <w:bCs/>
          <w:sz w:val="32"/>
        </w:rPr>
        <w:t xml:space="preserve">    </w:t>
      </w:r>
      <w:r>
        <w:rPr>
          <w:rFonts w:hint="eastAsia"/>
          <w:b/>
          <w:bCs/>
          <w:sz w:val="32"/>
        </w:rPr>
        <w:t>号：</w:t>
      </w:r>
      <w:r>
        <w:rPr>
          <w:rFonts w:ascii="楷体_GB2312" w:hint="eastAsia"/>
          <w:sz w:val="32"/>
          <w:u w:val="single"/>
        </w:rPr>
        <w:t xml:space="preserve"> 2120223396            </w:t>
      </w:r>
    </w:p>
    <w:p w14:paraId="4863DD2C" w14:textId="77777777" w:rsidR="00BF3060" w:rsidRDefault="00BF3060">
      <w:pPr>
        <w:adjustRightInd w:val="0"/>
        <w:snapToGrid w:val="0"/>
        <w:spacing w:line="440" w:lineRule="exact"/>
        <w:ind w:rightChars="171" w:right="359" w:firstLineChars="224" w:firstLine="720"/>
        <w:rPr>
          <w:b/>
          <w:bCs/>
          <w:sz w:val="32"/>
        </w:rPr>
      </w:pPr>
    </w:p>
    <w:p w14:paraId="3A28C47D" w14:textId="77777777" w:rsidR="00BF3060" w:rsidRDefault="00817CB6">
      <w:pPr>
        <w:adjustRightInd w:val="0"/>
        <w:snapToGrid w:val="0"/>
        <w:spacing w:line="440" w:lineRule="exact"/>
        <w:ind w:rightChars="171" w:right="359" w:firstLineChars="224" w:firstLine="720"/>
        <w:rPr>
          <w:sz w:val="32"/>
        </w:rPr>
      </w:pPr>
      <w:r>
        <w:rPr>
          <w:rFonts w:hint="eastAsia"/>
          <w:b/>
          <w:bCs/>
          <w:sz w:val="32"/>
        </w:rPr>
        <w:t>学</w:t>
      </w:r>
      <w:r>
        <w:rPr>
          <w:rFonts w:hint="eastAsia"/>
          <w:b/>
          <w:bCs/>
          <w:sz w:val="32"/>
        </w:rPr>
        <w:t xml:space="preserve">  </w:t>
      </w:r>
      <w:r>
        <w:rPr>
          <w:rFonts w:hint="eastAsia"/>
          <w:b/>
          <w:bCs/>
          <w:sz w:val="32"/>
        </w:rPr>
        <w:t>院：</w:t>
      </w:r>
      <w:r>
        <w:rPr>
          <w:rFonts w:ascii="楷体_GB2312" w:hint="eastAsia"/>
          <w:sz w:val="32"/>
          <w:u w:val="single"/>
        </w:rPr>
        <w:t xml:space="preserve"> </w:t>
      </w:r>
      <w:r>
        <w:rPr>
          <w:rFonts w:ascii="楷体_GB2312" w:hint="eastAsia"/>
          <w:sz w:val="32"/>
          <w:u w:val="single"/>
        </w:rPr>
        <w:t>营销与物流管理学院</w:t>
      </w:r>
      <w:r>
        <w:rPr>
          <w:rFonts w:ascii="楷体_GB2312" w:hint="eastAsia"/>
          <w:sz w:val="32"/>
          <w:u w:val="single"/>
        </w:rPr>
        <w:t xml:space="preserve">  </w:t>
      </w:r>
      <w:r>
        <w:rPr>
          <w:rFonts w:hint="eastAsia"/>
          <w:b/>
          <w:bCs/>
          <w:sz w:val="32"/>
        </w:rPr>
        <w:t>专</w:t>
      </w:r>
      <w:r>
        <w:rPr>
          <w:b/>
          <w:bCs/>
          <w:sz w:val="32"/>
        </w:rPr>
        <w:t xml:space="preserve"> </w:t>
      </w:r>
      <w:r>
        <w:rPr>
          <w:rFonts w:hint="eastAsia"/>
          <w:b/>
          <w:bCs/>
          <w:sz w:val="32"/>
        </w:rPr>
        <w:t>业：</w:t>
      </w:r>
      <w:r>
        <w:rPr>
          <w:rFonts w:ascii="楷体_GB2312" w:hint="eastAsia"/>
          <w:sz w:val="32"/>
          <w:u w:val="single"/>
        </w:rPr>
        <w:t xml:space="preserve"> </w:t>
      </w:r>
      <w:r>
        <w:rPr>
          <w:rFonts w:ascii="楷体_GB2312" w:hint="eastAsia"/>
          <w:sz w:val="32"/>
          <w:u w:val="single"/>
        </w:rPr>
        <w:t>市场营销</w:t>
      </w:r>
      <w:r>
        <w:rPr>
          <w:rFonts w:ascii="楷体_GB2312" w:hint="eastAsia"/>
          <w:sz w:val="32"/>
          <w:u w:val="single"/>
        </w:rPr>
        <w:t xml:space="preserve">           </w:t>
      </w:r>
      <w:r>
        <w:rPr>
          <w:rFonts w:ascii="楷体_GB2312" w:hint="eastAsia"/>
          <w:sz w:val="32"/>
        </w:rPr>
        <w:t xml:space="preserve">  </w:t>
      </w:r>
    </w:p>
    <w:p w14:paraId="4906D1A4" w14:textId="77777777" w:rsidR="00BF3060" w:rsidRDefault="00BF3060">
      <w:pPr>
        <w:adjustRightInd w:val="0"/>
        <w:snapToGrid w:val="0"/>
        <w:spacing w:line="440" w:lineRule="exact"/>
        <w:ind w:rightChars="171" w:right="359" w:firstLineChars="224" w:firstLine="720"/>
        <w:rPr>
          <w:b/>
          <w:bCs/>
          <w:sz w:val="32"/>
        </w:rPr>
      </w:pPr>
    </w:p>
    <w:p w14:paraId="25A55F70" w14:textId="77777777" w:rsidR="00BF3060" w:rsidRDefault="00817CB6">
      <w:pPr>
        <w:adjustRightInd w:val="0"/>
        <w:snapToGrid w:val="0"/>
        <w:spacing w:line="440" w:lineRule="exact"/>
        <w:ind w:rightChars="171" w:right="359" w:firstLineChars="224" w:firstLine="720"/>
        <w:rPr>
          <w:rFonts w:ascii="楷体_GB2312"/>
          <w:sz w:val="32"/>
          <w:u w:val="single"/>
        </w:rPr>
      </w:pPr>
      <w:r>
        <w:rPr>
          <w:rFonts w:hint="eastAsia"/>
          <w:b/>
          <w:bCs/>
          <w:sz w:val="32"/>
        </w:rPr>
        <w:t>指导教师：</w:t>
      </w:r>
      <w:r>
        <w:rPr>
          <w:rFonts w:ascii="楷体_GB2312" w:hint="eastAsia"/>
          <w:sz w:val="32"/>
          <w:u w:val="single"/>
        </w:rPr>
        <w:t xml:space="preserve">  </w:t>
      </w:r>
      <w:r>
        <w:rPr>
          <w:rFonts w:ascii="楷体_GB2312" w:hint="eastAsia"/>
          <w:sz w:val="32"/>
          <w:u w:val="single"/>
        </w:rPr>
        <w:t>徐冬莉</w:t>
      </w:r>
      <w:r>
        <w:rPr>
          <w:rFonts w:ascii="楷体_GB2312" w:hint="eastAsia"/>
          <w:sz w:val="32"/>
          <w:u w:val="single"/>
        </w:rPr>
        <w:t xml:space="preserve">                                  </w:t>
      </w:r>
    </w:p>
    <w:p w14:paraId="544B23E1" w14:textId="77777777" w:rsidR="00BF3060" w:rsidRDefault="00817CB6">
      <w:pPr>
        <w:adjustRightInd w:val="0"/>
        <w:snapToGrid w:val="0"/>
        <w:spacing w:line="440" w:lineRule="exact"/>
        <w:rPr>
          <w:sz w:val="32"/>
          <w:u w:val="single"/>
        </w:rPr>
      </w:pPr>
      <w:r>
        <w:rPr>
          <w:sz w:val="32"/>
        </w:rPr>
        <w:t> </w:t>
      </w:r>
    </w:p>
    <w:p w14:paraId="61AC408F" w14:textId="77777777" w:rsidR="00BF3060" w:rsidRDefault="00817CB6">
      <w:pPr>
        <w:adjustRightInd w:val="0"/>
        <w:snapToGrid w:val="0"/>
        <w:spacing w:line="440" w:lineRule="exact"/>
        <w:jc w:val="left"/>
        <w:rPr>
          <w:sz w:val="32"/>
        </w:rPr>
      </w:pPr>
      <w:r>
        <w:rPr>
          <w:sz w:val="32"/>
        </w:rPr>
        <w:t> </w:t>
      </w:r>
    </w:p>
    <w:p w14:paraId="7501DF07" w14:textId="7D1A25B7" w:rsidR="00BF3060" w:rsidRDefault="00817CB6" w:rsidP="00EC1349">
      <w:pPr>
        <w:adjustRightInd w:val="0"/>
        <w:snapToGrid w:val="0"/>
        <w:spacing w:line="440" w:lineRule="exact"/>
        <w:jc w:val="center"/>
        <w:rPr>
          <w:rFonts w:hint="eastAsia"/>
          <w:sz w:val="32"/>
        </w:rPr>
      </w:pPr>
      <w:r>
        <w:rPr>
          <w:sz w:val="32"/>
        </w:rPr>
        <w:t> </w:t>
      </w:r>
    </w:p>
    <w:p w14:paraId="63D60E2B" w14:textId="77777777" w:rsidR="00BF3060" w:rsidRDefault="00817CB6">
      <w:pPr>
        <w:adjustRightInd w:val="0"/>
        <w:snapToGrid w:val="0"/>
        <w:spacing w:line="440" w:lineRule="exact"/>
        <w:jc w:val="center"/>
        <w:rPr>
          <w:rFonts w:ascii="黑体" w:eastAsia="黑体" w:hAnsi="宋体"/>
          <w:sz w:val="32"/>
        </w:rPr>
      </w:pPr>
      <w:r>
        <w:rPr>
          <w:rFonts w:ascii="黑体" w:eastAsia="黑体" w:hAnsi="宋体" w:hint="eastAsia"/>
          <w:sz w:val="32"/>
        </w:rPr>
        <w:t>2025</w:t>
      </w:r>
      <w:r>
        <w:rPr>
          <w:rFonts w:ascii="黑体" w:eastAsia="黑体" w:hAnsi="宋体" w:hint="eastAsia"/>
          <w:sz w:val="32"/>
        </w:rPr>
        <w:t>年</w:t>
      </w:r>
      <w:r>
        <w:rPr>
          <w:rFonts w:ascii="黑体" w:eastAsia="黑体" w:hAnsi="宋体" w:hint="eastAsia"/>
          <w:sz w:val="32"/>
        </w:rPr>
        <w:t xml:space="preserve"> 12 </w:t>
      </w:r>
      <w:r>
        <w:rPr>
          <w:rFonts w:ascii="黑体" w:eastAsia="黑体" w:hAnsi="宋体" w:hint="eastAsia"/>
          <w:sz w:val="32"/>
        </w:rPr>
        <w:t>月</w:t>
      </w:r>
      <w:r>
        <w:rPr>
          <w:rFonts w:ascii="黑体" w:eastAsia="黑体" w:hAnsi="宋体" w:hint="eastAsia"/>
          <w:sz w:val="32"/>
        </w:rPr>
        <w:t xml:space="preserve"> 22 </w:t>
      </w:r>
      <w:r>
        <w:rPr>
          <w:rFonts w:ascii="黑体" w:eastAsia="黑体" w:hAnsi="宋体" w:hint="eastAsia"/>
          <w:sz w:val="32"/>
        </w:rPr>
        <w:t>日</w:t>
      </w:r>
    </w:p>
    <w:p w14:paraId="25EA86C7" w14:textId="77777777" w:rsidR="00BF3060" w:rsidRDefault="00817CB6">
      <w:pPr>
        <w:pStyle w:val="a5"/>
        <w:adjustRightInd w:val="0"/>
        <w:snapToGrid w:val="0"/>
        <w:spacing w:after="0" w:line="440" w:lineRule="exact"/>
        <w:ind w:leftChars="0" w:left="0"/>
        <w:jc w:val="center"/>
      </w:pPr>
      <w:r>
        <w:rPr>
          <w:rFonts w:hint="eastAsia"/>
        </w:rPr>
        <w:lastRenderedPageBreak/>
        <w:br w:type="page"/>
      </w:r>
    </w:p>
    <w:p w14:paraId="31413D23" w14:textId="77777777" w:rsidR="00BF3060" w:rsidRDefault="00817CB6">
      <w:pPr>
        <w:pStyle w:val="a5"/>
        <w:adjustRightInd w:val="0"/>
        <w:snapToGrid w:val="0"/>
        <w:spacing w:after="0" w:line="440" w:lineRule="exact"/>
        <w:ind w:leftChars="0" w:left="0"/>
        <w:jc w:val="center"/>
        <w:rPr>
          <w:rFonts w:ascii="仿宋_GB2312" w:eastAsia="黑体"/>
          <w:sz w:val="36"/>
        </w:rPr>
      </w:pPr>
      <w:r>
        <w:rPr>
          <w:rFonts w:ascii="仿宋_GB2312" w:eastAsia="黑体" w:hint="eastAsia"/>
          <w:sz w:val="36"/>
        </w:rPr>
        <w:lastRenderedPageBreak/>
        <w:t>开题报告填写要求</w:t>
      </w:r>
    </w:p>
    <w:p w14:paraId="2ED32E13" w14:textId="77777777" w:rsidR="00BF3060" w:rsidRDefault="00817CB6">
      <w:pPr>
        <w:pStyle w:val="a5"/>
        <w:adjustRightInd w:val="0"/>
        <w:snapToGrid w:val="0"/>
        <w:spacing w:after="0" w:line="440" w:lineRule="exact"/>
        <w:ind w:right="-260" w:firstLineChars="65" w:firstLine="131"/>
        <w:rPr>
          <w:b/>
          <w:bCs/>
        </w:rPr>
      </w:pPr>
      <w:r>
        <w:rPr>
          <w:rFonts w:hint="eastAsia"/>
          <w:b/>
          <w:bCs/>
        </w:rPr>
        <w:t> </w:t>
      </w:r>
    </w:p>
    <w:p w14:paraId="769B57E1" w14:textId="77777777" w:rsidR="00BF3060" w:rsidRDefault="00817CB6">
      <w:pPr>
        <w:pStyle w:val="a5"/>
        <w:adjustRightInd w:val="0"/>
        <w:snapToGrid w:val="0"/>
        <w:spacing w:after="0" w:line="440" w:lineRule="exact"/>
        <w:ind w:leftChars="0" w:left="0" w:firstLineChars="200" w:firstLine="480"/>
        <w:rPr>
          <w:rFonts w:ascii="仿宋_GB2312" w:eastAsia="仿宋_GB2312"/>
          <w:sz w:val="24"/>
        </w:rPr>
      </w:pPr>
      <w:r>
        <w:rPr>
          <w:rFonts w:ascii="仿宋_GB2312" w:eastAsia="仿宋_GB2312" w:hint="eastAsia"/>
          <w:sz w:val="24"/>
        </w:rPr>
        <w:t xml:space="preserve">1. </w:t>
      </w:r>
      <w:r>
        <w:rPr>
          <w:rFonts w:ascii="仿宋_GB2312" w:eastAsia="仿宋_GB2312" w:hint="eastAsia"/>
          <w:sz w:val="24"/>
        </w:rPr>
        <w:t>开题报告作为毕业论文（设计）答辩委员会对学生答辩资格审查的依据材料之一。此报告应在指导教师指导下，由学生在毕业论文（设计）工</w:t>
      </w:r>
      <w:r>
        <w:rPr>
          <w:rFonts w:ascii="仿宋_GB2312" w:eastAsia="仿宋_GB2312" w:hint="eastAsia"/>
          <w:color w:val="000000"/>
          <w:sz w:val="24"/>
        </w:rPr>
        <w:t>作前期完成</w:t>
      </w:r>
      <w:r>
        <w:rPr>
          <w:rFonts w:ascii="仿宋_GB2312" w:eastAsia="仿宋_GB2312" w:hint="eastAsia"/>
          <w:sz w:val="24"/>
        </w:rPr>
        <w:t>，经指导教师签署意见后生效。</w:t>
      </w:r>
      <w:r>
        <w:rPr>
          <w:rFonts w:ascii="仿宋_GB2312" w:eastAsia="仿宋_GB2312" w:hint="eastAsia"/>
          <w:sz w:val="24"/>
        </w:rPr>
        <w:t xml:space="preserve">    </w:t>
      </w:r>
    </w:p>
    <w:p w14:paraId="40874FCB" w14:textId="77777777" w:rsidR="00BF3060" w:rsidRDefault="00817CB6">
      <w:pPr>
        <w:pStyle w:val="a5"/>
        <w:adjustRightInd w:val="0"/>
        <w:snapToGrid w:val="0"/>
        <w:spacing w:after="0" w:line="440" w:lineRule="exact"/>
        <w:ind w:leftChars="0" w:left="0" w:firstLineChars="200" w:firstLine="480"/>
        <w:rPr>
          <w:rFonts w:ascii="仿宋_GB2312" w:eastAsia="仿宋_GB2312"/>
          <w:sz w:val="24"/>
        </w:rPr>
      </w:pPr>
      <w:r>
        <w:rPr>
          <w:rFonts w:ascii="仿宋_GB2312" w:eastAsia="仿宋_GB2312" w:hint="eastAsia"/>
          <w:sz w:val="24"/>
        </w:rPr>
        <w:t> </w:t>
      </w:r>
    </w:p>
    <w:p w14:paraId="220CFEBB" w14:textId="77777777" w:rsidR="00BF3060" w:rsidRDefault="00817CB6">
      <w:pPr>
        <w:pStyle w:val="a5"/>
        <w:adjustRightInd w:val="0"/>
        <w:snapToGrid w:val="0"/>
        <w:spacing w:after="0" w:line="440" w:lineRule="exact"/>
        <w:ind w:leftChars="0" w:left="0" w:firstLineChars="200" w:firstLine="480"/>
        <w:rPr>
          <w:rFonts w:ascii="仿宋_GB2312" w:eastAsia="仿宋_GB2312"/>
          <w:sz w:val="24"/>
        </w:rPr>
      </w:pPr>
      <w:r>
        <w:rPr>
          <w:rFonts w:ascii="仿宋_GB2312" w:eastAsia="仿宋_GB2312" w:hint="eastAsia"/>
          <w:sz w:val="24"/>
        </w:rPr>
        <w:t xml:space="preserve">2. </w:t>
      </w:r>
      <w:r>
        <w:rPr>
          <w:rFonts w:ascii="仿宋_GB2312" w:eastAsia="仿宋_GB2312" w:hint="eastAsia"/>
          <w:sz w:val="24"/>
        </w:rPr>
        <w:t>开题报告内容必须按统一设计的电子文档标准格式打印在国际标准</w:t>
      </w:r>
      <w:r>
        <w:rPr>
          <w:rFonts w:ascii="仿宋_GB2312" w:eastAsia="仿宋_GB2312" w:hint="eastAsia"/>
          <w:sz w:val="24"/>
        </w:rPr>
        <w:t>A4</w:t>
      </w:r>
      <w:r>
        <w:rPr>
          <w:rFonts w:ascii="仿宋_GB2312" w:eastAsia="仿宋_GB2312" w:hint="eastAsia"/>
          <w:sz w:val="24"/>
        </w:rPr>
        <w:t>型（</w:t>
      </w:r>
      <w:r>
        <w:rPr>
          <w:rFonts w:ascii="仿宋_GB2312" w:eastAsia="仿宋_GB2312" w:hint="eastAsia"/>
          <w:sz w:val="24"/>
        </w:rPr>
        <w:t xml:space="preserve">297mm </w:t>
      </w:r>
      <w:r>
        <w:rPr>
          <w:rFonts w:ascii="仿宋_GB2312" w:eastAsia="仿宋_GB2312" w:hint="eastAsia"/>
          <w:sz w:val="24"/>
        </w:rPr>
        <w:t>×</w:t>
      </w:r>
      <w:r>
        <w:rPr>
          <w:rFonts w:ascii="仿宋_GB2312" w:eastAsia="仿宋_GB2312" w:hint="eastAsia"/>
          <w:sz w:val="24"/>
        </w:rPr>
        <w:t xml:space="preserve"> 210mm</w:t>
      </w:r>
      <w:r>
        <w:rPr>
          <w:rFonts w:ascii="仿宋_GB2312" w:eastAsia="仿宋_GB2312" w:hint="eastAsia"/>
          <w:sz w:val="24"/>
        </w:rPr>
        <w:t>）打印纸或复印纸上，禁止打印在其它纸上后剪贴。</w:t>
      </w:r>
    </w:p>
    <w:p w14:paraId="6795198F" w14:textId="77777777" w:rsidR="00BF3060" w:rsidRDefault="00817CB6">
      <w:pPr>
        <w:pStyle w:val="a5"/>
        <w:adjustRightInd w:val="0"/>
        <w:snapToGrid w:val="0"/>
        <w:spacing w:after="0" w:line="440" w:lineRule="exact"/>
        <w:ind w:leftChars="0" w:left="0" w:firstLineChars="200" w:firstLine="480"/>
        <w:rPr>
          <w:rFonts w:ascii="仿宋_GB2312" w:eastAsia="仿宋_GB2312"/>
          <w:sz w:val="24"/>
        </w:rPr>
      </w:pPr>
      <w:r>
        <w:rPr>
          <w:rFonts w:ascii="仿宋_GB2312" w:eastAsia="仿宋_GB2312" w:hint="eastAsia"/>
          <w:sz w:val="24"/>
        </w:rPr>
        <w:t> </w:t>
      </w:r>
    </w:p>
    <w:p w14:paraId="5E0263AE" w14:textId="77777777" w:rsidR="00BF3060" w:rsidRDefault="00817CB6">
      <w:pPr>
        <w:pStyle w:val="a5"/>
        <w:adjustRightInd w:val="0"/>
        <w:snapToGrid w:val="0"/>
        <w:spacing w:after="0" w:line="440" w:lineRule="exact"/>
        <w:ind w:leftChars="0" w:left="0" w:firstLineChars="200" w:firstLine="480"/>
        <w:rPr>
          <w:rFonts w:ascii="仿宋_GB2312" w:eastAsia="仿宋_GB2312"/>
          <w:sz w:val="24"/>
        </w:rPr>
      </w:pPr>
      <w:r>
        <w:rPr>
          <w:rFonts w:ascii="仿宋_GB2312" w:eastAsia="仿宋_GB2312" w:hint="eastAsia"/>
          <w:sz w:val="24"/>
        </w:rPr>
        <w:t xml:space="preserve">3. </w:t>
      </w:r>
      <w:r>
        <w:rPr>
          <w:rFonts w:ascii="仿宋_GB2312" w:eastAsia="仿宋_GB2312" w:hint="eastAsia"/>
          <w:sz w:val="24"/>
        </w:rPr>
        <w:t>开题报告的字数须</w:t>
      </w:r>
      <w:r>
        <w:rPr>
          <w:rFonts w:ascii="仿宋_GB2312" w:eastAsia="仿宋_GB2312" w:hint="eastAsia"/>
          <w:sz w:val="24"/>
        </w:rPr>
        <w:t>2000</w:t>
      </w:r>
      <w:r>
        <w:rPr>
          <w:rFonts w:ascii="仿宋_GB2312" w:eastAsia="仿宋_GB2312" w:hint="eastAsia"/>
          <w:sz w:val="24"/>
        </w:rPr>
        <w:t>字以上。开题报告中，学生查阅的参考文献应在</w:t>
      </w:r>
      <w:r>
        <w:rPr>
          <w:rFonts w:ascii="仿宋_GB2312" w:eastAsia="仿宋_GB2312" w:hint="eastAsia"/>
          <w:sz w:val="24"/>
        </w:rPr>
        <w:t>15</w:t>
      </w:r>
      <w:r>
        <w:rPr>
          <w:rFonts w:ascii="仿宋_GB2312" w:eastAsia="仿宋_GB2312" w:hint="eastAsia"/>
          <w:sz w:val="24"/>
        </w:rPr>
        <w:t>篇及以上（不包括辞典、手册）。</w:t>
      </w:r>
    </w:p>
    <w:p w14:paraId="1CB6F729" w14:textId="77777777" w:rsidR="00BF3060" w:rsidRDefault="00817CB6">
      <w:pPr>
        <w:pStyle w:val="a5"/>
        <w:adjustRightInd w:val="0"/>
        <w:snapToGrid w:val="0"/>
        <w:spacing w:after="0" w:line="440" w:lineRule="exact"/>
        <w:ind w:leftChars="0" w:left="0" w:firstLineChars="200" w:firstLine="480"/>
        <w:rPr>
          <w:rFonts w:ascii="仿宋_GB2312" w:eastAsia="仿宋_GB2312"/>
          <w:sz w:val="24"/>
        </w:rPr>
      </w:pPr>
      <w:r>
        <w:rPr>
          <w:rFonts w:ascii="仿宋_GB2312" w:eastAsia="仿宋_GB2312" w:hint="eastAsia"/>
          <w:sz w:val="24"/>
        </w:rPr>
        <w:t> </w:t>
      </w:r>
    </w:p>
    <w:p w14:paraId="3234976B" w14:textId="77777777" w:rsidR="00BF3060" w:rsidRDefault="00817CB6">
      <w:pPr>
        <w:pStyle w:val="a5"/>
        <w:adjustRightInd w:val="0"/>
        <w:snapToGrid w:val="0"/>
        <w:spacing w:after="0" w:line="440" w:lineRule="exact"/>
        <w:ind w:leftChars="0" w:left="0" w:firstLineChars="200" w:firstLine="480"/>
        <w:rPr>
          <w:rFonts w:ascii="仿宋_GB2312" w:eastAsia="仿宋_GB2312"/>
          <w:sz w:val="24"/>
        </w:rPr>
      </w:pPr>
      <w:r>
        <w:rPr>
          <w:rFonts w:ascii="仿宋_GB2312" w:eastAsia="仿宋_GB2312" w:hint="eastAsia"/>
          <w:sz w:val="24"/>
        </w:rPr>
        <w:t xml:space="preserve">4. </w:t>
      </w:r>
      <w:r>
        <w:rPr>
          <w:rFonts w:ascii="仿宋_GB2312" w:eastAsia="仿宋_GB2312" w:hint="eastAsia"/>
          <w:sz w:val="24"/>
        </w:rPr>
        <w:t>有关年月日等日期的填写，用阿拉伯数字书写，如“</w:t>
      </w:r>
      <w:r>
        <w:rPr>
          <w:rFonts w:ascii="仿宋_GB2312" w:eastAsia="仿宋_GB2312" w:hint="eastAsia"/>
          <w:sz w:val="24"/>
        </w:rPr>
        <w:t>2014</w:t>
      </w:r>
      <w:r>
        <w:rPr>
          <w:rFonts w:ascii="仿宋_GB2312" w:eastAsia="仿宋_GB2312" w:hint="eastAsia"/>
          <w:sz w:val="24"/>
        </w:rPr>
        <w:t>年</w:t>
      </w:r>
      <w:r>
        <w:rPr>
          <w:rFonts w:ascii="仿宋_GB2312" w:eastAsia="仿宋_GB2312" w:hint="eastAsia"/>
          <w:sz w:val="24"/>
        </w:rPr>
        <w:t>9</w:t>
      </w:r>
      <w:r>
        <w:rPr>
          <w:rFonts w:ascii="仿宋_GB2312" w:eastAsia="仿宋_GB2312" w:hint="eastAsia"/>
          <w:sz w:val="24"/>
        </w:rPr>
        <w:t>月</w:t>
      </w:r>
      <w:r>
        <w:rPr>
          <w:rFonts w:ascii="仿宋_GB2312" w:eastAsia="仿宋_GB2312" w:hint="eastAsia"/>
          <w:sz w:val="24"/>
        </w:rPr>
        <w:t>26</w:t>
      </w:r>
      <w:r>
        <w:rPr>
          <w:rFonts w:ascii="仿宋_GB2312" w:eastAsia="仿宋_GB2312" w:hint="eastAsia"/>
          <w:sz w:val="24"/>
        </w:rPr>
        <w:t>日”或“</w:t>
      </w:r>
      <w:r>
        <w:rPr>
          <w:rFonts w:ascii="仿宋_GB2312" w:eastAsia="仿宋_GB2312" w:hint="eastAsia"/>
          <w:sz w:val="24"/>
        </w:rPr>
        <w:t>2014-09-26</w:t>
      </w:r>
      <w:r>
        <w:rPr>
          <w:rFonts w:ascii="仿宋_GB2312" w:eastAsia="仿宋_GB2312" w:hint="eastAsia"/>
          <w:sz w:val="24"/>
        </w:rPr>
        <w:t>”。</w:t>
      </w:r>
    </w:p>
    <w:p w14:paraId="26A1AE34" w14:textId="77777777" w:rsidR="00BF3060" w:rsidRDefault="00817CB6">
      <w:pPr>
        <w:pStyle w:val="a5"/>
        <w:adjustRightInd w:val="0"/>
        <w:snapToGrid w:val="0"/>
        <w:spacing w:after="0" w:line="440" w:lineRule="exact"/>
        <w:ind w:leftChars="0" w:left="0" w:firstLineChars="200" w:firstLine="480"/>
        <w:rPr>
          <w:rFonts w:ascii="仿宋_GB2312" w:eastAsia="仿宋_GB2312"/>
          <w:sz w:val="24"/>
        </w:rPr>
      </w:pPr>
      <w:r>
        <w:rPr>
          <w:rFonts w:ascii="仿宋_GB2312" w:eastAsia="仿宋_GB2312" w:hint="eastAsia"/>
          <w:sz w:val="24"/>
        </w:rPr>
        <w:t> </w:t>
      </w:r>
    </w:p>
    <w:p w14:paraId="23A4BB90" w14:textId="77777777" w:rsidR="00BF3060" w:rsidRDefault="00817CB6">
      <w:pPr>
        <w:pStyle w:val="a5"/>
        <w:adjustRightInd w:val="0"/>
        <w:snapToGrid w:val="0"/>
        <w:spacing w:after="0" w:line="440" w:lineRule="exact"/>
        <w:ind w:right="458" w:firstLineChars="212" w:firstLine="424"/>
      </w:pPr>
      <w:r>
        <w:rPr>
          <w:rFonts w:hint="eastAsia"/>
        </w:rPr>
        <w:t> </w:t>
      </w:r>
    </w:p>
    <w:p w14:paraId="01BC3F69" w14:textId="77777777" w:rsidR="00BF3060" w:rsidRDefault="00817CB6">
      <w:pPr>
        <w:pStyle w:val="a5"/>
        <w:adjustRightInd w:val="0"/>
        <w:snapToGrid w:val="0"/>
        <w:spacing w:after="0" w:line="440" w:lineRule="exact"/>
        <w:ind w:right="458" w:firstLineChars="212" w:firstLine="424"/>
      </w:pPr>
      <w:r>
        <w:rPr>
          <w:rFonts w:hint="eastAsia"/>
        </w:rPr>
        <w:t> </w:t>
      </w:r>
    </w:p>
    <w:p w14:paraId="2DD9462F" w14:textId="77777777" w:rsidR="00BF3060" w:rsidRDefault="00817CB6">
      <w:pPr>
        <w:adjustRightInd w:val="0"/>
        <w:snapToGrid w:val="0"/>
        <w:spacing w:line="440" w:lineRule="exact"/>
        <w:jc w:val="center"/>
        <w:rPr>
          <w:rFonts w:ascii="方正大标宋简体" w:eastAsia="方正大标宋简体" w:hAnsi="宋体"/>
          <w:bCs/>
          <w:sz w:val="32"/>
          <w:szCs w:val="30"/>
        </w:rPr>
      </w:pPr>
      <w:r>
        <w:rPr>
          <w:b/>
          <w:bCs/>
          <w:sz w:val="44"/>
        </w:rPr>
        <w:br w:type="page"/>
      </w:r>
      <w:r>
        <w:rPr>
          <w:rFonts w:ascii="方正大标宋简体" w:eastAsia="方正大标宋简体" w:hAnsi="宋体" w:hint="eastAsia"/>
          <w:bCs/>
          <w:sz w:val="32"/>
          <w:szCs w:val="30"/>
        </w:rPr>
        <w:lastRenderedPageBreak/>
        <w:t>南</w:t>
      </w:r>
      <w:r>
        <w:rPr>
          <w:rFonts w:ascii="方正大标宋简体" w:eastAsia="方正大标宋简体" w:hAnsi="宋体" w:hint="eastAsia"/>
          <w:bCs/>
          <w:sz w:val="32"/>
          <w:szCs w:val="30"/>
        </w:rPr>
        <w:t xml:space="preserve">  </w:t>
      </w:r>
      <w:r>
        <w:rPr>
          <w:rFonts w:ascii="方正大标宋简体" w:eastAsia="方正大标宋简体" w:hAnsi="宋体" w:hint="eastAsia"/>
          <w:bCs/>
          <w:sz w:val="32"/>
          <w:szCs w:val="30"/>
        </w:rPr>
        <w:t>京</w:t>
      </w:r>
      <w:r>
        <w:rPr>
          <w:rFonts w:ascii="方正大标宋简体" w:eastAsia="方正大标宋简体" w:hAnsi="宋体" w:hint="eastAsia"/>
          <w:bCs/>
          <w:sz w:val="32"/>
          <w:szCs w:val="30"/>
        </w:rPr>
        <w:t xml:space="preserve">  </w:t>
      </w:r>
      <w:r>
        <w:rPr>
          <w:rFonts w:ascii="方正大标宋简体" w:eastAsia="方正大标宋简体" w:hAnsi="宋体" w:hint="eastAsia"/>
          <w:bCs/>
          <w:sz w:val="32"/>
          <w:szCs w:val="30"/>
        </w:rPr>
        <w:t>财</w:t>
      </w:r>
      <w:r>
        <w:rPr>
          <w:rFonts w:ascii="方正大标宋简体" w:eastAsia="方正大标宋简体" w:hAnsi="宋体" w:hint="eastAsia"/>
          <w:bCs/>
          <w:sz w:val="32"/>
          <w:szCs w:val="30"/>
        </w:rPr>
        <w:t xml:space="preserve">  </w:t>
      </w:r>
      <w:r>
        <w:rPr>
          <w:rFonts w:ascii="方正大标宋简体" w:eastAsia="方正大标宋简体" w:hAnsi="宋体" w:hint="eastAsia"/>
          <w:bCs/>
          <w:sz w:val="32"/>
          <w:szCs w:val="30"/>
        </w:rPr>
        <w:t>经</w:t>
      </w:r>
      <w:r>
        <w:rPr>
          <w:rFonts w:ascii="方正大标宋简体" w:eastAsia="方正大标宋简体" w:hAnsi="宋体" w:hint="eastAsia"/>
          <w:bCs/>
          <w:sz w:val="32"/>
          <w:szCs w:val="30"/>
        </w:rPr>
        <w:t xml:space="preserve">  </w:t>
      </w:r>
      <w:r>
        <w:rPr>
          <w:rFonts w:ascii="方正大标宋简体" w:eastAsia="方正大标宋简体" w:hAnsi="宋体" w:hint="eastAsia"/>
          <w:bCs/>
          <w:sz w:val="32"/>
          <w:szCs w:val="30"/>
        </w:rPr>
        <w:t>大</w:t>
      </w:r>
      <w:r>
        <w:rPr>
          <w:rFonts w:ascii="方正大标宋简体" w:eastAsia="方正大标宋简体" w:hAnsi="宋体" w:hint="eastAsia"/>
          <w:bCs/>
          <w:sz w:val="32"/>
          <w:szCs w:val="30"/>
        </w:rPr>
        <w:t xml:space="preserve">  </w:t>
      </w:r>
      <w:r>
        <w:rPr>
          <w:rFonts w:ascii="方正大标宋简体" w:eastAsia="方正大标宋简体" w:hAnsi="宋体" w:hint="eastAsia"/>
          <w:bCs/>
          <w:sz w:val="32"/>
          <w:szCs w:val="30"/>
        </w:rPr>
        <w:t>学</w:t>
      </w:r>
    </w:p>
    <w:p w14:paraId="036644E8" w14:textId="77777777" w:rsidR="00BF3060" w:rsidRDefault="00817CB6">
      <w:pPr>
        <w:pStyle w:val="a7"/>
        <w:adjustRightInd w:val="0"/>
        <w:snapToGrid w:val="0"/>
        <w:spacing w:line="440" w:lineRule="exact"/>
        <w:jc w:val="center"/>
        <w:rPr>
          <w:rFonts w:eastAsia="方正大标宋简体"/>
          <w:sz w:val="32"/>
        </w:rPr>
      </w:pPr>
      <w:r>
        <w:rPr>
          <w:rFonts w:ascii="方正大标宋简体" w:eastAsia="方正大标宋简体" w:hint="eastAsia"/>
          <w:bCs/>
          <w:sz w:val="32"/>
          <w:szCs w:val="36"/>
        </w:rPr>
        <w:t>本科毕业论文（设计）开题报告</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356"/>
      </w:tblGrid>
      <w:tr w:rsidR="00BF3060" w14:paraId="70FB8757" w14:textId="77777777">
        <w:trPr>
          <w:jc w:val="center"/>
        </w:trPr>
        <w:tc>
          <w:tcPr>
            <w:tcW w:w="9356" w:type="dxa"/>
            <w:tcBorders>
              <w:top w:val="single" w:sz="4" w:space="0" w:color="auto"/>
              <w:left w:val="single" w:sz="4" w:space="0" w:color="auto"/>
              <w:bottom w:val="single" w:sz="4" w:space="0" w:color="auto"/>
              <w:right w:val="single" w:sz="4" w:space="0" w:color="auto"/>
            </w:tcBorders>
          </w:tcPr>
          <w:p w14:paraId="056E3BDF" w14:textId="77777777" w:rsidR="00BF3060" w:rsidRDefault="00817CB6">
            <w:pPr>
              <w:adjustRightInd w:val="0"/>
              <w:snapToGrid w:val="0"/>
              <w:spacing w:line="440" w:lineRule="exact"/>
              <w:rPr>
                <w:rFonts w:ascii="仿宋_GB2312" w:eastAsia="仿宋_GB2312"/>
                <w:b/>
                <w:bCs/>
                <w:sz w:val="24"/>
              </w:rPr>
            </w:pPr>
            <w:r>
              <w:rPr>
                <w:rFonts w:ascii="仿宋_GB2312" w:eastAsia="仿宋_GB2312"/>
                <w:b/>
                <w:bCs/>
                <w:sz w:val="24"/>
              </w:rPr>
              <w:t>1</w:t>
            </w:r>
            <w:r>
              <w:rPr>
                <w:rFonts w:ascii="仿宋_GB2312" w:eastAsia="仿宋_GB2312" w:hint="eastAsia"/>
                <w:b/>
                <w:bCs/>
                <w:sz w:val="24"/>
              </w:rPr>
              <w:t>．选题的理由或意义：</w:t>
            </w:r>
          </w:p>
        </w:tc>
      </w:tr>
      <w:tr w:rsidR="00BF3060" w14:paraId="13A70719" w14:textId="77777777">
        <w:trPr>
          <w:trHeight w:val="2921"/>
          <w:jc w:val="center"/>
        </w:trPr>
        <w:tc>
          <w:tcPr>
            <w:tcW w:w="9356" w:type="dxa"/>
            <w:tcBorders>
              <w:top w:val="single" w:sz="4" w:space="0" w:color="auto"/>
              <w:left w:val="single" w:sz="4" w:space="0" w:color="auto"/>
              <w:bottom w:val="single" w:sz="4" w:space="0" w:color="auto"/>
              <w:right w:val="single" w:sz="4" w:space="0" w:color="auto"/>
            </w:tcBorders>
          </w:tcPr>
          <w:p w14:paraId="1B5EC67C" w14:textId="77777777" w:rsidR="00BF3060" w:rsidRDefault="00817CB6">
            <w:pPr>
              <w:pStyle w:val="a9"/>
              <w:ind w:firstLineChars="200" w:firstLine="482"/>
            </w:pPr>
            <w:r>
              <w:rPr>
                <w:rStyle w:val="aa"/>
              </w:rPr>
              <w:t>现实意义：</w:t>
            </w:r>
            <w:r>
              <w:t>自</w:t>
            </w:r>
            <w:r>
              <w:t>ChatGPT</w:t>
            </w:r>
            <w:r>
              <w:t>发布以来，生成式</w:t>
            </w:r>
            <w:r>
              <w:t>AI</w:t>
            </w:r>
            <w:r>
              <w:t>面临着昂贵的推理成本（</w:t>
            </w:r>
            <w:r>
              <w:t>Inference Cost</w:t>
            </w:r>
            <w:r>
              <w:t>）压力，这与传统互联网软件边际成本趋近于零的模式完全不同。</w:t>
            </w:r>
            <w:r>
              <w:t>OpenAI</w:t>
            </w:r>
            <w:r>
              <w:t>作为行业领头羊，其</w:t>
            </w:r>
            <w:r>
              <w:t>“</w:t>
            </w:r>
            <w:r>
              <w:t>免费增值</w:t>
            </w:r>
            <w:r>
              <w:t>”</w:t>
            </w:r>
            <w:r>
              <w:t>策略不仅关乎自身盈利，也为全球及中国</w:t>
            </w:r>
            <w:r>
              <w:t>AI</w:t>
            </w:r>
            <w:r>
              <w:t>初创公司处理</w:t>
            </w:r>
            <w:r>
              <w:t>“</w:t>
            </w:r>
            <w:r>
              <w:rPr>
                <w:rStyle w:val="aa"/>
              </w:rPr>
              <w:t>高昂边际成本</w:t>
            </w:r>
            <w:r>
              <w:t>”</w:t>
            </w:r>
            <w:r>
              <w:t>与</w:t>
            </w:r>
            <w:r>
              <w:t>“</w:t>
            </w:r>
            <w:r>
              <w:rPr>
                <w:rStyle w:val="aa"/>
              </w:rPr>
              <w:t>市场规模扩张</w:t>
            </w:r>
            <w:r>
              <w:t>”</w:t>
            </w:r>
            <w:r>
              <w:t>之间的矛盾提供了重要的参考范本。在中国</w:t>
            </w:r>
            <w:r>
              <w:t>“</w:t>
            </w:r>
            <w:r>
              <w:t>百模大战</w:t>
            </w:r>
            <w:r>
              <w:t>”</w:t>
            </w:r>
            <w:r>
              <w:t>和</w:t>
            </w:r>
            <w:r>
              <w:t>DeepSeek</w:t>
            </w:r>
            <w:r>
              <w:t>等模型引发价格战的背景下，研究</w:t>
            </w:r>
            <w:r>
              <w:t>OpenAI</w:t>
            </w:r>
            <w:r>
              <w:t>如何平衡算力支出与构建竞争壁垒，对中国企业实现商业闭环具有高度参考价值。</w:t>
            </w:r>
          </w:p>
          <w:p w14:paraId="6FEA896D" w14:textId="77777777" w:rsidR="00BF3060" w:rsidRDefault="00817CB6">
            <w:pPr>
              <w:pStyle w:val="a9"/>
              <w:ind w:firstLineChars="200" w:firstLine="482"/>
            </w:pPr>
            <w:r>
              <w:rPr>
                <w:rStyle w:val="aa"/>
              </w:rPr>
              <w:t>理论意义：</w:t>
            </w:r>
            <w:r>
              <w:t xml:space="preserve"> AI</w:t>
            </w:r>
            <w:r>
              <w:t>产品</w:t>
            </w:r>
            <w:r>
              <w:t>“</w:t>
            </w:r>
            <w:r>
              <w:t>用量越大，成本越高</w:t>
            </w:r>
            <w:r>
              <w:t>”</w:t>
            </w:r>
            <w:r>
              <w:t>的特征，打破了克里斯</w:t>
            </w:r>
            <w:r>
              <w:t>·</w:t>
            </w:r>
            <w:r>
              <w:t>安德森（</w:t>
            </w:r>
            <w:r>
              <w:t>Chris Anderson</w:t>
            </w:r>
            <w:r>
              <w:t>）提出的传统</w:t>
            </w:r>
            <w:r>
              <w:t>Freemium</w:t>
            </w:r>
            <w:r>
              <w:t>模式成立的前提，挑战了现有的价格歧视和双边市场理论。研究将探讨</w:t>
            </w:r>
            <w:r>
              <w:t>“</w:t>
            </w:r>
            <w:r>
              <w:rPr>
                <w:rStyle w:val="aa"/>
              </w:rPr>
              <w:t>数据</w:t>
            </w:r>
            <w:r>
              <w:rPr>
                <w:rStyle w:val="aa"/>
              </w:rPr>
              <w:t>-</w:t>
            </w:r>
            <w:r>
              <w:rPr>
                <w:rStyle w:val="aa"/>
              </w:rPr>
              <w:t>模型优化</w:t>
            </w:r>
            <w:r>
              <w:t>”</w:t>
            </w:r>
            <w:r>
              <w:t>这一新型数据飞轮如何定义网络效应，并分析</w:t>
            </w:r>
            <w:r>
              <w:t>OpenAI</w:t>
            </w:r>
            <w:r>
              <w:t>设置的</w:t>
            </w:r>
            <w:r>
              <w:t>20</w:t>
            </w:r>
            <w:r>
              <w:t>美元订阅费作为行业锚点背后的心理学依据。</w:t>
            </w:r>
          </w:p>
        </w:tc>
      </w:tr>
      <w:tr w:rsidR="00BF3060" w14:paraId="586E2796" w14:textId="77777777">
        <w:trPr>
          <w:trHeight w:val="366"/>
          <w:jc w:val="center"/>
        </w:trPr>
        <w:tc>
          <w:tcPr>
            <w:tcW w:w="9356" w:type="dxa"/>
            <w:tcBorders>
              <w:top w:val="single" w:sz="4" w:space="0" w:color="auto"/>
              <w:left w:val="single" w:sz="4" w:space="0" w:color="auto"/>
              <w:bottom w:val="single" w:sz="4" w:space="0" w:color="auto"/>
              <w:right w:val="single" w:sz="4" w:space="0" w:color="auto"/>
            </w:tcBorders>
          </w:tcPr>
          <w:p w14:paraId="09C7FE29" w14:textId="77777777" w:rsidR="00BF3060" w:rsidRDefault="00817CB6">
            <w:pPr>
              <w:pStyle w:val="1"/>
              <w:numPr>
                <w:ilvl w:val="0"/>
                <w:numId w:val="1"/>
              </w:numPr>
              <w:adjustRightInd w:val="0"/>
              <w:snapToGrid w:val="0"/>
              <w:spacing w:line="440" w:lineRule="exact"/>
              <w:ind w:firstLineChars="0"/>
              <w:rPr>
                <w:rFonts w:ascii="宋体" w:hAnsi="宋体"/>
                <w:color w:val="0000FF"/>
                <w:sz w:val="24"/>
              </w:rPr>
            </w:pPr>
            <w:r>
              <w:rPr>
                <w:rFonts w:ascii="仿宋_GB2312" w:eastAsia="仿宋_GB2312" w:hint="eastAsia"/>
                <w:b/>
                <w:bCs/>
                <w:sz w:val="24"/>
              </w:rPr>
              <w:t>研究内容、拟解决的关键问题、写作提纲：</w:t>
            </w:r>
          </w:p>
        </w:tc>
      </w:tr>
      <w:tr w:rsidR="00BF3060" w14:paraId="39956F4E" w14:textId="77777777">
        <w:trPr>
          <w:trHeight w:val="3152"/>
          <w:jc w:val="center"/>
        </w:trPr>
        <w:tc>
          <w:tcPr>
            <w:tcW w:w="9356" w:type="dxa"/>
            <w:tcBorders>
              <w:top w:val="single" w:sz="4" w:space="0" w:color="auto"/>
              <w:left w:val="single" w:sz="4" w:space="0" w:color="auto"/>
              <w:bottom w:val="single" w:sz="4" w:space="0" w:color="auto"/>
              <w:right w:val="single" w:sz="4" w:space="0" w:color="auto"/>
            </w:tcBorders>
          </w:tcPr>
          <w:p w14:paraId="7DDA855B" w14:textId="77777777" w:rsidR="00BF3060" w:rsidRDefault="00817CB6">
            <w:pPr>
              <w:pStyle w:val="a9"/>
              <w:ind w:firstLineChars="200" w:firstLine="482"/>
            </w:pPr>
            <w:r>
              <w:rPr>
                <w:rFonts w:hint="eastAsia"/>
                <w:b/>
                <w:bCs/>
              </w:rPr>
              <w:t>研究内容：</w:t>
            </w:r>
            <w:r>
              <w:t>本研究将聚焦于</w:t>
            </w:r>
            <w:r>
              <w:t>OpenAI</w:t>
            </w:r>
            <w:r>
              <w:t>的定价演变及其背后的逻辑，涵盖以下三个核心维度：</w:t>
            </w:r>
            <w:r>
              <w:rPr>
                <w:rFonts w:hint="eastAsia"/>
              </w:rPr>
              <w:t>1.</w:t>
            </w:r>
            <w:r>
              <w:t>产品分层与价格歧视机制分析：分析</w:t>
            </w:r>
            <w:r>
              <w:t>OpenAI</w:t>
            </w:r>
            <w:r>
              <w:t>如何利用筛选机制（</w:t>
            </w:r>
            <w:r>
              <w:t>Screening Mechanism</w:t>
            </w:r>
            <w:r>
              <w:t>），通过功能限制（如</w:t>
            </w:r>
            <w:r>
              <w:t>GPT-4o</w:t>
            </w:r>
            <w:r>
              <w:t>访问权限、响应速度等）区隔</w:t>
            </w:r>
            <w:r>
              <w:t>Free</w:t>
            </w:r>
            <w:r>
              <w:t>、</w:t>
            </w:r>
            <w:r>
              <w:t>Plus</w:t>
            </w:r>
            <w:r>
              <w:t>、</w:t>
            </w:r>
            <w:r>
              <w:t>Team</w:t>
            </w:r>
            <w:r>
              <w:t>、</w:t>
            </w:r>
            <w:r>
              <w:t>Enterprise</w:t>
            </w:r>
            <w:r>
              <w:t>等不同支付意愿的用户群体。</w:t>
            </w:r>
            <w:r>
              <w:rPr>
                <w:rFonts w:hint="eastAsia"/>
              </w:rPr>
              <w:t>2.</w:t>
            </w:r>
            <w:r>
              <w:t>高成本下的免费策略经济学逻辑：测算单位经济模型（</w:t>
            </w:r>
            <w:r>
              <w:t>Unit Economics</w:t>
            </w:r>
            <w:r>
              <w:t>），探讨在免费用户可能产生亏损的情况下，</w:t>
            </w:r>
            <w:r>
              <w:t>OpenAI</w:t>
            </w:r>
            <w:r>
              <w:t>如何通过数据众包（</w:t>
            </w:r>
            <w:r>
              <w:t>RLHF</w:t>
            </w:r>
            <w:r>
              <w:t>）、品牌护城河及生态系统构建获取非货币化收益，实现交叉补贴。</w:t>
            </w:r>
            <w:r>
              <w:rPr>
                <w:rFonts w:hint="eastAsia"/>
              </w:rPr>
              <w:t>3.</w:t>
            </w:r>
            <w:r>
              <w:t>商业变现与可持续性评估：研究</w:t>
            </w:r>
            <w:r>
              <w:t>API</w:t>
            </w:r>
            <w:r>
              <w:t>定价与订阅制之间的互补效应，并分析在</w:t>
            </w:r>
            <w:r>
              <w:t>DeepSeek</w:t>
            </w:r>
            <w:r>
              <w:t>等开源或低价模型冲击下，</w:t>
            </w:r>
            <w:r>
              <w:t>OpenAI</w:t>
            </w:r>
            <w:r>
              <w:t>现行策略的抗风险能力及对中国市场的启示。</w:t>
            </w:r>
          </w:p>
          <w:p w14:paraId="5A347E95" w14:textId="77777777" w:rsidR="00BF3060" w:rsidRDefault="00817CB6">
            <w:pPr>
              <w:pStyle w:val="a9"/>
              <w:ind w:firstLineChars="200" w:firstLine="482"/>
            </w:pPr>
            <w:r>
              <w:rPr>
                <w:rFonts w:hint="eastAsia"/>
                <w:b/>
                <w:bCs/>
              </w:rPr>
              <w:t>拟解决的关键问题：</w:t>
            </w:r>
            <w:r>
              <w:rPr>
                <w:rFonts w:hint="eastAsia"/>
              </w:rPr>
              <w:t>1.</w:t>
            </w:r>
            <w:r>
              <w:t>核心矛盾解析：在推理成本极高的约束下，免费层的边际收益（通过数据价值和网络效应）是否能覆盖其边际成本？其盈亏平衡点在哪里？</w:t>
            </w:r>
            <w:r>
              <w:rPr>
                <w:rFonts w:hint="eastAsia"/>
              </w:rPr>
              <w:t>2.</w:t>
            </w:r>
            <w:r>
              <w:t>定价效率分析：目前的定价体系（如</w:t>
            </w:r>
            <w:r>
              <w:t>20</w:t>
            </w:r>
            <w:r>
              <w:t>美元</w:t>
            </w:r>
            <w:r>
              <w:t>/</w:t>
            </w:r>
            <w:r>
              <w:t>月）是否存在定价效率损失？是否有效提取了消费者剩余，还是受锚定效应影响导致了过度或不足？</w:t>
            </w:r>
            <w:r>
              <w:rPr>
                <w:rFonts w:hint="eastAsia"/>
              </w:rPr>
              <w:t>3.</w:t>
            </w:r>
            <w:r>
              <w:t>竞争壁垒的可持续性：面对边际成本更低的竞争对手，</w:t>
            </w:r>
            <w:r>
              <w:t>OpenAI</w:t>
            </w:r>
            <w:r>
              <w:t>的护城河是源于模型智力的不可替代性，还是用户习惯与转换成本？</w:t>
            </w:r>
          </w:p>
          <w:p w14:paraId="71527B1C" w14:textId="77777777" w:rsidR="00BF3060" w:rsidRDefault="00817CB6">
            <w:pPr>
              <w:pStyle w:val="a9"/>
              <w:ind w:firstLineChars="200" w:firstLine="482"/>
              <w:rPr>
                <w:rStyle w:val="aa"/>
                <w:b w:val="0"/>
                <w:bCs w:val="0"/>
              </w:rPr>
            </w:pPr>
            <w:r>
              <w:rPr>
                <w:rStyle w:val="aa"/>
                <w:rFonts w:hint="eastAsia"/>
              </w:rPr>
              <w:t>写作提纲：</w:t>
            </w:r>
          </w:p>
          <w:p w14:paraId="4D8A6B9C" w14:textId="77777777" w:rsidR="00BF3060" w:rsidRDefault="00817CB6">
            <w:pPr>
              <w:pStyle w:val="a9"/>
              <w:numPr>
                <w:ilvl w:val="0"/>
                <w:numId w:val="2"/>
              </w:numPr>
            </w:pPr>
            <w:r>
              <w:rPr>
                <w:rStyle w:val="aa"/>
              </w:rPr>
              <w:t>绪论</w:t>
            </w:r>
            <w:r>
              <w:t xml:space="preserve"> </w:t>
            </w:r>
          </w:p>
          <w:p w14:paraId="58118BAB" w14:textId="77777777" w:rsidR="00BF3060" w:rsidRDefault="00817CB6">
            <w:pPr>
              <w:pStyle w:val="a9"/>
              <w:numPr>
                <w:ilvl w:val="0"/>
                <w:numId w:val="3"/>
              </w:numPr>
            </w:pPr>
            <w:r>
              <w:lastRenderedPageBreak/>
              <w:t>研究背景：生成式</w:t>
            </w:r>
            <w:r>
              <w:t>AI</w:t>
            </w:r>
            <w:r>
              <w:t>爆发与成本悖论</w:t>
            </w:r>
          </w:p>
          <w:p w14:paraId="5DA52367" w14:textId="77777777" w:rsidR="00FB46AC" w:rsidRDefault="00817CB6">
            <w:pPr>
              <w:pStyle w:val="a9"/>
              <w:numPr>
                <w:ilvl w:val="0"/>
                <w:numId w:val="3"/>
              </w:numPr>
            </w:pPr>
            <w:r>
              <w:t>研究目的与意义</w:t>
            </w:r>
            <w:r>
              <w:t xml:space="preserve"> </w:t>
            </w:r>
          </w:p>
          <w:p w14:paraId="0E352A74" w14:textId="33ACCF70" w:rsidR="00BF3060" w:rsidRDefault="00817CB6">
            <w:pPr>
              <w:pStyle w:val="a9"/>
              <w:numPr>
                <w:ilvl w:val="0"/>
                <w:numId w:val="3"/>
              </w:numPr>
            </w:pPr>
            <w:r>
              <w:t>研究方法</w:t>
            </w:r>
          </w:p>
          <w:p w14:paraId="06D4665F" w14:textId="77777777" w:rsidR="00BF3060" w:rsidRDefault="00817CB6">
            <w:pPr>
              <w:pStyle w:val="a9"/>
              <w:numPr>
                <w:ilvl w:val="0"/>
                <w:numId w:val="2"/>
              </w:numPr>
            </w:pPr>
            <w:r>
              <w:rPr>
                <w:rStyle w:val="aa"/>
              </w:rPr>
              <w:t>理论基础与文献综述</w:t>
            </w:r>
            <w:r>
              <w:t xml:space="preserve"> </w:t>
            </w:r>
          </w:p>
          <w:p w14:paraId="45AE0BE6" w14:textId="77777777" w:rsidR="00BF3060" w:rsidRDefault="00817CB6">
            <w:pPr>
              <w:pStyle w:val="a9"/>
              <w:numPr>
                <w:ilvl w:val="0"/>
                <w:numId w:val="4"/>
              </w:numPr>
            </w:pPr>
            <w:r>
              <w:t>传统免费增值模式与转化率模型</w:t>
            </w:r>
            <w:r>
              <w:t xml:space="preserve"> </w:t>
            </w:r>
          </w:p>
          <w:p w14:paraId="16077263" w14:textId="77777777" w:rsidR="00BF3060" w:rsidRDefault="00817CB6">
            <w:pPr>
              <w:pStyle w:val="a9"/>
              <w:numPr>
                <w:ilvl w:val="0"/>
                <w:numId w:val="4"/>
              </w:numPr>
            </w:pPr>
            <w:r>
              <w:t>价格歧视、两部定价与锚定效应理论</w:t>
            </w:r>
            <w:r>
              <w:t xml:space="preserve"> </w:t>
            </w:r>
          </w:p>
          <w:p w14:paraId="28AA6C00" w14:textId="3DD34143" w:rsidR="00BF3060" w:rsidRDefault="003B54A3">
            <w:pPr>
              <w:pStyle w:val="a9"/>
              <w:numPr>
                <w:ilvl w:val="0"/>
                <w:numId w:val="4"/>
              </w:numPr>
            </w:pPr>
            <w:r w:rsidRPr="003B54A3">
              <w:t>国内外人工智能产品定价策略研究综述</w:t>
            </w:r>
          </w:p>
          <w:p w14:paraId="11EAFC31" w14:textId="6FE56D00" w:rsidR="00A1398D" w:rsidRPr="00212BEC" w:rsidRDefault="00212BEC" w:rsidP="00212BEC">
            <w:pPr>
              <w:pStyle w:val="ab"/>
              <w:numPr>
                <w:ilvl w:val="0"/>
                <w:numId w:val="2"/>
              </w:numPr>
              <w:ind w:firstLineChars="0"/>
              <w:rPr>
                <w:rFonts w:ascii="宋体" w:hAnsi="宋体" w:cs="宋体" w:hint="eastAsia"/>
                <w:b/>
                <w:bCs/>
                <w:kern w:val="0"/>
                <w:sz w:val="24"/>
              </w:rPr>
            </w:pPr>
            <w:r w:rsidRPr="00212BEC">
              <w:rPr>
                <w:rStyle w:val="ng-star-inserted"/>
                <w:rFonts w:ascii="宋体" w:hAnsi="宋体" w:cs="宋体" w:hint="eastAsia"/>
                <w:b/>
                <w:bCs/>
                <w:kern w:val="0"/>
                <w:sz w:val="24"/>
              </w:rPr>
              <w:t xml:space="preserve">OpenAI “免费增值”定价策略分析 </w:t>
            </w:r>
          </w:p>
          <w:p w14:paraId="0CE60627" w14:textId="77777777" w:rsidR="00BF3060" w:rsidRDefault="00817CB6">
            <w:pPr>
              <w:pStyle w:val="a9"/>
              <w:numPr>
                <w:ilvl w:val="0"/>
                <w:numId w:val="5"/>
              </w:numPr>
            </w:pPr>
            <w:r>
              <w:t>定</w:t>
            </w:r>
            <w:r>
              <w:t>价体系演变：从完全免费到多层级商业化</w:t>
            </w:r>
            <w:r>
              <w:t xml:space="preserve"> </w:t>
            </w:r>
          </w:p>
          <w:p w14:paraId="4C9261B2" w14:textId="77777777" w:rsidR="00BF3060" w:rsidRDefault="00817CB6">
            <w:pPr>
              <w:pStyle w:val="a9"/>
              <w:numPr>
                <w:ilvl w:val="0"/>
                <w:numId w:val="5"/>
              </w:numPr>
            </w:pPr>
            <w:r>
              <w:t>免费层价值重构：流量获取与数据反馈回路（</w:t>
            </w:r>
            <w:r>
              <w:t>RLHF</w:t>
            </w:r>
            <w:r>
              <w:t>）</w:t>
            </w:r>
            <w:r>
              <w:t xml:space="preserve"> </w:t>
            </w:r>
          </w:p>
          <w:p w14:paraId="2CFDF6E5" w14:textId="77777777" w:rsidR="00BF3060" w:rsidRDefault="00817CB6">
            <w:pPr>
              <w:pStyle w:val="a9"/>
              <w:numPr>
                <w:ilvl w:val="0"/>
                <w:numId w:val="5"/>
              </w:numPr>
            </w:pPr>
            <w:r>
              <w:t>付费层差异化设计：功能权益区隔与心理定价锚点</w:t>
            </w:r>
          </w:p>
          <w:p w14:paraId="6432EA06" w14:textId="2985BC01" w:rsidR="00BF3060" w:rsidRPr="00976C61" w:rsidRDefault="00677730">
            <w:pPr>
              <w:pStyle w:val="a9"/>
              <w:numPr>
                <w:ilvl w:val="0"/>
                <w:numId w:val="2"/>
              </w:numPr>
              <w:rPr>
                <w:b/>
                <w:bCs/>
              </w:rPr>
            </w:pPr>
            <w:r w:rsidRPr="00677730">
              <w:rPr>
                <w:b/>
                <w:bCs/>
              </w:rPr>
              <w:t>“免费-增值”联动的定价机制与营销价值分析</w:t>
            </w:r>
          </w:p>
          <w:p w14:paraId="64E39B38" w14:textId="77777777" w:rsidR="00083776" w:rsidRDefault="00083776">
            <w:pPr>
              <w:pStyle w:val="a9"/>
              <w:numPr>
                <w:ilvl w:val="0"/>
                <w:numId w:val="6"/>
              </w:numPr>
            </w:pPr>
            <w:r w:rsidRPr="00083776">
              <w:t>高成本约束下的免费获客与营销投入分析</w:t>
            </w:r>
          </w:p>
          <w:p w14:paraId="3CAD11B0" w14:textId="772FE9CE" w:rsidR="00BF3060" w:rsidRDefault="00817CB6">
            <w:pPr>
              <w:pStyle w:val="a9"/>
              <w:numPr>
                <w:ilvl w:val="0"/>
                <w:numId w:val="6"/>
              </w:numPr>
            </w:pPr>
            <w:r>
              <w:t>价</w:t>
            </w:r>
            <w:r w:rsidR="00111D33" w:rsidRPr="00111D33">
              <w:t>从免费吸引到付费转化的营销筛选机制</w:t>
            </w:r>
          </w:p>
          <w:p w14:paraId="25F58031" w14:textId="22A4F4B9" w:rsidR="00BF3060" w:rsidRDefault="00111D33">
            <w:pPr>
              <w:pStyle w:val="a9"/>
              <w:numPr>
                <w:ilvl w:val="0"/>
                <w:numId w:val="6"/>
              </w:numPr>
            </w:pPr>
            <w:r w:rsidRPr="00111D33">
              <w:t>免费用户的“数据支付”与品牌资产转化</w:t>
            </w:r>
          </w:p>
          <w:p w14:paraId="7DE76531" w14:textId="77777777" w:rsidR="00BF3060" w:rsidRDefault="00817CB6">
            <w:pPr>
              <w:pStyle w:val="a9"/>
              <w:numPr>
                <w:ilvl w:val="0"/>
                <w:numId w:val="2"/>
              </w:numPr>
            </w:pPr>
            <w:r>
              <w:rPr>
                <w:rStyle w:val="aa"/>
              </w:rPr>
              <w:t>挑战与启示：行业竞争视角</w:t>
            </w:r>
            <w:r>
              <w:t xml:space="preserve"> </w:t>
            </w:r>
          </w:p>
          <w:p w14:paraId="21936A13" w14:textId="77777777" w:rsidR="00BF3060" w:rsidRDefault="00817CB6">
            <w:pPr>
              <w:pStyle w:val="a9"/>
              <w:numPr>
                <w:ilvl w:val="0"/>
                <w:numId w:val="7"/>
              </w:numPr>
            </w:pPr>
            <w:r>
              <w:t>竞争冲击：中国</w:t>
            </w:r>
            <w:r>
              <w:t>DeepSeek</w:t>
            </w:r>
            <w:r>
              <w:t>的低价策略与巨头捆绑策略</w:t>
            </w:r>
            <w:r>
              <w:t xml:space="preserve"> </w:t>
            </w:r>
          </w:p>
          <w:p w14:paraId="564398D6" w14:textId="77777777" w:rsidR="00BF3060" w:rsidRDefault="00817CB6">
            <w:pPr>
              <w:pStyle w:val="a9"/>
              <w:numPr>
                <w:ilvl w:val="0"/>
                <w:numId w:val="7"/>
              </w:numPr>
            </w:pPr>
            <w:r>
              <w:t>对中国</w:t>
            </w:r>
            <w:r>
              <w:t>AI</w:t>
            </w:r>
            <w:r>
              <w:t>企业的启示：可持续</w:t>
            </w:r>
            <w:r>
              <w:t>Freemium</w:t>
            </w:r>
            <w:r>
              <w:t>模式的设计</w:t>
            </w:r>
          </w:p>
          <w:p w14:paraId="0D6011BE" w14:textId="77777777" w:rsidR="00BF3060" w:rsidRDefault="00817CB6">
            <w:pPr>
              <w:pStyle w:val="a9"/>
              <w:numPr>
                <w:ilvl w:val="0"/>
                <w:numId w:val="2"/>
              </w:numPr>
            </w:pPr>
            <w:r>
              <w:rPr>
                <w:rStyle w:val="aa"/>
              </w:rPr>
              <w:t>结论与建议</w:t>
            </w:r>
          </w:p>
        </w:tc>
      </w:tr>
      <w:tr w:rsidR="00BF3060" w14:paraId="6FB5B08E" w14:textId="77777777">
        <w:trPr>
          <w:trHeight w:val="410"/>
          <w:jc w:val="center"/>
        </w:trPr>
        <w:tc>
          <w:tcPr>
            <w:tcW w:w="9356" w:type="dxa"/>
            <w:tcBorders>
              <w:top w:val="single" w:sz="4" w:space="0" w:color="auto"/>
              <w:left w:val="single" w:sz="4" w:space="0" w:color="auto"/>
              <w:bottom w:val="single" w:sz="4" w:space="0" w:color="auto"/>
              <w:right w:val="single" w:sz="4" w:space="0" w:color="auto"/>
            </w:tcBorders>
          </w:tcPr>
          <w:p w14:paraId="34DBCF8A" w14:textId="77777777" w:rsidR="00BF3060" w:rsidRDefault="00817CB6">
            <w:pPr>
              <w:adjustRightInd w:val="0"/>
              <w:snapToGrid w:val="0"/>
              <w:spacing w:line="440" w:lineRule="exact"/>
            </w:pPr>
            <w:r>
              <w:rPr>
                <w:rFonts w:ascii="仿宋_GB2312" w:eastAsia="仿宋_GB2312"/>
                <w:b/>
                <w:bCs/>
                <w:sz w:val="24"/>
              </w:rPr>
              <w:lastRenderedPageBreak/>
              <w:t>3</w:t>
            </w:r>
            <w:r>
              <w:rPr>
                <w:rFonts w:ascii="仿宋_GB2312" w:eastAsia="仿宋_GB2312" w:hint="eastAsia"/>
                <w:b/>
                <w:bCs/>
                <w:sz w:val="24"/>
              </w:rPr>
              <w:t>．国内外研究现状</w:t>
            </w:r>
            <w:r>
              <w:rPr>
                <w:rFonts w:ascii="仿宋_GB2312" w:eastAsia="仿宋_GB2312"/>
                <w:b/>
                <w:bCs/>
                <w:sz w:val="24"/>
              </w:rPr>
              <w:t xml:space="preserve">:  </w:t>
            </w:r>
            <w:r>
              <w:rPr>
                <w:b/>
                <w:bCs/>
                <w:sz w:val="28"/>
              </w:rPr>
              <w:t xml:space="preserve"> </w:t>
            </w:r>
          </w:p>
        </w:tc>
      </w:tr>
      <w:tr w:rsidR="00BF3060" w14:paraId="35AF60F5" w14:textId="77777777">
        <w:trPr>
          <w:trHeight w:val="3423"/>
          <w:jc w:val="center"/>
        </w:trPr>
        <w:tc>
          <w:tcPr>
            <w:tcW w:w="9356" w:type="dxa"/>
            <w:tcBorders>
              <w:top w:val="single" w:sz="4" w:space="0" w:color="auto"/>
              <w:left w:val="single" w:sz="4" w:space="0" w:color="auto"/>
              <w:bottom w:val="single" w:sz="4" w:space="0" w:color="auto"/>
              <w:right w:val="single" w:sz="4" w:space="0" w:color="auto"/>
            </w:tcBorders>
          </w:tcPr>
          <w:p w14:paraId="6BB13D35" w14:textId="77777777" w:rsidR="00BF3060" w:rsidRDefault="00817CB6">
            <w:pPr>
              <w:pStyle w:val="a9"/>
              <w:ind w:firstLineChars="200" w:firstLine="480"/>
            </w:pPr>
            <w:r>
              <w:t>国内学术界对</w:t>
            </w:r>
            <w:r>
              <w:t>“</w:t>
            </w:r>
            <w:r>
              <w:t>免费增值</w:t>
            </w:r>
            <w:r>
              <w:t>”</w:t>
            </w:r>
            <w:r>
              <w:t>模式的研究主要从互联网平台经济领域起步，早期侧重于网络效应下的用户转化机制，认为免费服务是建立用户信任和转移成本的关键</w:t>
            </w:r>
            <w:r>
              <w:t>,</w:t>
            </w:r>
            <w:r>
              <w:t>。随着人工智能与数字经济的深度融合，研究焦点逐渐转向数据要素价值和</w:t>
            </w:r>
            <w:r>
              <w:t xml:space="preserve"> AI </w:t>
            </w:r>
            <w:r>
              <w:t>商业模式的特殊性。学者王玖河等（</w:t>
            </w:r>
            <w:r>
              <w:t>2022</w:t>
            </w:r>
            <w:r>
              <w:t>）从价值共创视角指出，用户的信息交互行为是实现价值增值的核心，这为解释</w:t>
            </w:r>
            <w:r>
              <w:t xml:space="preserve"> AI </w:t>
            </w:r>
            <w:r>
              <w:t>免费用户的</w:t>
            </w:r>
            <w:r>
              <w:t>“</w:t>
            </w:r>
            <w:r>
              <w:t>数据贡献</w:t>
            </w:r>
            <w:r>
              <w:t>”</w:t>
            </w:r>
            <w:r>
              <w:t>提供了理论依据。针对生成式</w:t>
            </w:r>
            <w:r>
              <w:t xml:space="preserve"> AI </w:t>
            </w:r>
            <w:r>
              <w:t>的高成本特性，国内研究开始反思传统</w:t>
            </w:r>
            <w:r>
              <w:t xml:space="preserve"> SaaS </w:t>
            </w:r>
            <w:r>
              <w:t>模式的适用性，提出数据要素资产化是企业突破成本瓶颈的关键，并高度关注</w:t>
            </w:r>
            <w:r>
              <w:t xml:space="preserve"> DeepSeek </w:t>
            </w:r>
            <w:r>
              <w:t>等本土企业通过</w:t>
            </w:r>
            <w:r>
              <w:t>“</w:t>
            </w:r>
            <w:r>
              <w:t>开源模型</w:t>
            </w:r>
            <w:r>
              <w:t>+</w:t>
            </w:r>
            <w:r>
              <w:t>低价</w:t>
            </w:r>
            <w:r>
              <w:t xml:space="preserve"> API”</w:t>
            </w:r>
            <w:r>
              <w:t>模式对以</w:t>
            </w:r>
            <w:r>
              <w:t xml:space="preserve"> OpenAI </w:t>
            </w:r>
            <w:r>
              <w:t>为代表的闭源定价体系所构成的有力挑战。</w:t>
            </w:r>
          </w:p>
          <w:p w14:paraId="09861BA9" w14:textId="77777777" w:rsidR="00BF3060" w:rsidRDefault="00817CB6">
            <w:pPr>
              <w:pStyle w:val="a9"/>
              <w:ind w:firstLineChars="200" w:firstLine="480"/>
            </w:pPr>
            <w:r>
              <w:lastRenderedPageBreak/>
              <w:t>国外在</w:t>
            </w:r>
            <w:r>
              <w:t xml:space="preserve"> SaaS </w:t>
            </w:r>
            <w:r>
              <w:t>定价策略方面的研究相对成熟，</w:t>
            </w:r>
            <w:r>
              <w:t>Anderson</w:t>
            </w:r>
            <w:r>
              <w:t>（</w:t>
            </w:r>
            <w:r>
              <w:t>2009</w:t>
            </w:r>
            <w:r>
              <w:t>）提出的</w:t>
            </w:r>
            <w:r>
              <w:t>“</w:t>
            </w:r>
            <w:r>
              <w:t>免费经济学</w:t>
            </w:r>
            <w:r>
              <w:t>”</w:t>
            </w:r>
            <w:r>
              <w:t>奠定了该领域的理论基石。进入</w:t>
            </w:r>
            <w:r>
              <w:t xml:space="preserve"> AI </w:t>
            </w:r>
            <w:r>
              <w:t>时代，国外研究迅速对生成式</w:t>
            </w:r>
            <w:r>
              <w:t xml:space="preserve"> AI </w:t>
            </w:r>
            <w:r>
              <w:t>的经济学特性做出反应，</w:t>
            </w:r>
            <w:r>
              <w:t>Simon-Kucher</w:t>
            </w:r>
            <w:r>
              <w:t>（</w:t>
            </w:r>
            <w:r>
              <w:t>2024</w:t>
            </w:r>
            <w:r>
              <w:t>）等机构指出，定价模式正从</w:t>
            </w:r>
            <w:r>
              <w:t>“</w:t>
            </w:r>
            <w:r>
              <w:t>基于用户（</w:t>
            </w:r>
            <w:r>
              <w:t>Per-seat</w:t>
            </w:r>
            <w:r>
              <w:t>）</w:t>
            </w:r>
            <w:r>
              <w:t>”</w:t>
            </w:r>
            <w:r>
              <w:t>向</w:t>
            </w:r>
            <w:r>
              <w:t>“</w:t>
            </w:r>
            <w:r>
              <w:t>基于产出（</w:t>
            </w:r>
            <w:r>
              <w:t>Outcome-based</w:t>
            </w:r>
            <w:r>
              <w:t>）</w:t>
            </w:r>
            <w:r>
              <w:t>”</w:t>
            </w:r>
            <w:r>
              <w:t>或</w:t>
            </w:r>
            <w:r>
              <w:t>“</w:t>
            </w:r>
            <w:r>
              <w:t>混合模式</w:t>
            </w:r>
            <w:r>
              <w:t>”</w:t>
            </w:r>
            <w:r>
              <w:t>转变，因为</w:t>
            </w:r>
            <w:r>
              <w:t xml:space="preserve"> AI </w:t>
            </w:r>
            <w:r>
              <w:t>的价值核心在于效率提升。针对大语言模型高昂的推理成本，硅谷投资机构（如</w:t>
            </w:r>
            <w:r>
              <w:t xml:space="preserve"> a16z</w:t>
            </w:r>
            <w:r>
              <w:t>）和</w:t>
            </w:r>
            <w:r>
              <w:t xml:space="preserve"> BCG </w:t>
            </w:r>
            <w:r>
              <w:t>的实证分析表明，</w:t>
            </w:r>
            <w:r>
              <w:t xml:space="preserve">AI </w:t>
            </w:r>
            <w:r>
              <w:t>的边际成本并未趋零，而是呈现出类似公用事业（</w:t>
            </w:r>
            <w:r>
              <w:t>Utility</w:t>
            </w:r>
            <w:r>
              <w:t>）的特征，即</w:t>
            </w:r>
            <w:r>
              <w:t>“</w:t>
            </w:r>
            <w:r>
              <w:t>用量越大，成本越高</w:t>
            </w:r>
            <w:r>
              <w:t>”</w:t>
            </w:r>
            <w:r>
              <w:t>。此外，</w:t>
            </w:r>
            <w:r>
              <w:t>Nguyen</w:t>
            </w:r>
            <w:r>
              <w:t>（</w:t>
            </w:r>
            <w:r>
              <w:t>2024</w:t>
            </w:r>
            <w:r>
              <w:t>）等学者还从行为经济学角度探讨了锚定效应（</w:t>
            </w:r>
            <w:r>
              <w:t>Anchoring Effect</w:t>
            </w:r>
            <w:r>
              <w:t>），分析了免费层级如何锚定用户对</w:t>
            </w:r>
            <w:r>
              <w:t xml:space="preserve"> AI </w:t>
            </w:r>
            <w:r>
              <w:t>服务的低价认知，进而影响其支付意愿。</w:t>
            </w:r>
          </w:p>
          <w:p w14:paraId="666116AA" w14:textId="77777777" w:rsidR="00BF3060" w:rsidRDefault="00817CB6">
            <w:pPr>
              <w:pStyle w:val="a9"/>
              <w:ind w:firstLineChars="200" w:firstLine="480"/>
            </w:pPr>
            <w:r>
              <w:t>综合国内外现状可以发现，现有研究多集中在低边际成本的传统数字产品，而针对生成式</w:t>
            </w:r>
            <w:r>
              <w:t xml:space="preserve"> AI </w:t>
            </w:r>
            <w:r>
              <w:t>这种</w:t>
            </w:r>
            <w:r>
              <w:t>“</w:t>
            </w:r>
            <w:r>
              <w:t>高技术门槛、高边际成本</w:t>
            </w:r>
            <w:r>
              <w:t>”</w:t>
            </w:r>
            <w:r>
              <w:t>特性的定价研究尚处于起步阶段。目前的研究空白主要体现在三个方面：首先是缺乏定量模型，现有文献缺乏针对</w:t>
            </w:r>
            <w:r>
              <w:t xml:space="preserve"> OpenAI </w:t>
            </w:r>
            <w:r>
              <w:t>等企业推理成本与免费用户数据价值之间权衡的详细拆解；其次是忽视了开源模型的冲击，尚未充分讨论</w:t>
            </w:r>
            <w:r>
              <w:t xml:space="preserve"> DeepSeek </w:t>
            </w:r>
            <w:r>
              <w:t>等低价开源策略对闭源模型定价权的解构作用；最后是</w:t>
            </w:r>
            <w:r>
              <w:t xml:space="preserve"> B2B </w:t>
            </w:r>
            <w:r>
              <w:t>与</w:t>
            </w:r>
            <w:r>
              <w:t xml:space="preserve"> B2C </w:t>
            </w:r>
            <w:r>
              <w:t>策略的割裂，现有研究往往将消费者订阅与企业</w:t>
            </w:r>
            <w:r>
              <w:t xml:space="preserve"> API </w:t>
            </w:r>
            <w:r>
              <w:t>服务分开讨论，缺乏从生态系统整体视角审视两者之间的交叉补贴与协同效应。</w:t>
            </w:r>
          </w:p>
        </w:tc>
      </w:tr>
      <w:tr w:rsidR="00BF3060" w14:paraId="18435E97" w14:textId="77777777">
        <w:trPr>
          <w:trHeight w:val="316"/>
          <w:jc w:val="center"/>
        </w:trPr>
        <w:tc>
          <w:tcPr>
            <w:tcW w:w="9356" w:type="dxa"/>
            <w:tcBorders>
              <w:top w:val="single" w:sz="4" w:space="0" w:color="auto"/>
              <w:left w:val="single" w:sz="4" w:space="0" w:color="auto"/>
              <w:bottom w:val="single" w:sz="4" w:space="0" w:color="auto"/>
              <w:right w:val="single" w:sz="4" w:space="0" w:color="auto"/>
            </w:tcBorders>
          </w:tcPr>
          <w:p w14:paraId="242771BE" w14:textId="77777777" w:rsidR="00BF3060" w:rsidRDefault="00817CB6">
            <w:pPr>
              <w:adjustRightInd w:val="0"/>
              <w:snapToGrid w:val="0"/>
              <w:spacing w:line="440" w:lineRule="exact"/>
            </w:pPr>
            <w:r>
              <w:rPr>
                <w:rFonts w:ascii="仿宋_GB2312" w:eastAsia="仿宋_GB2312"/>
                <w:b/>
                <w:bCs/>
                <w:sz w:val="24"/>
              </w:rPr>
              <w:lastRenderedPageBreak/>
              <w:t>4</w:t>
            </w:r>
            <w:r>
              <w:rPr>
                <w:rFonts w:ascii="仿宋_GB2312" w:eastAsia="仿宋_GB2312" w:hint="eastAsia"/>
                <w:b/>
                <w:bCs/>
                <w:sz w:val="24"/>
              </w:rPr>
              <w:t>．论文（设计）的研究计划或撰写方案</w:t>
            </w:r>
            <w:r>
              <w:rPr>
                <w:rFonts w:ascii="仿宋_GB2312" w:eastAsia="仿宋_GB2312"/>
                <w:b/>
                <w:bCs/>
                <w:sz w:val="24"/>
              </w:rPr>
              <w:t>:</w:t>
            </w:r>
          </w:p>
        </w:tc>
      </w:tr>
      <w:tr w:rsidR="00BF3060" w14:paraId="564AB5E7" w14:textId="77777777">
        <w:trPr>
          <w:trHeight w:val="2602"/>
          <w:jc w:val="center"/>
        </w:trPr>
        <w:tc>
          <w:tcPr>
            <w:tcW w:w="9356" w:type="dxa"/>
            <w:tcBorders>
              <w:top w:val="single" w:sz="4" w:space="0" w:color="auto"/>
              <w:left w:val="single" w:sz="4" w:space="0" w:color="auto"/>
              <w:bottom w:val="single" w:sz="4" w:space="0" w:color="auto"/>
              <w:right w:val="single" w:sz="4" w:space="0" w:color="auto"/>
            </w:tcBorders>
          </w:tcPr>
          <w:p w14:paraId="1E4ACFF2" w14:textId="376A22A7" w:rsidR="00BF3060" w:rsidRDefault="00817CB6">
            <w:pPr>
              <w:pStyle w:val="a9"/>
            </w:pPr>
            <w:r>
              <w:rPr>
                <w:rFonts w:hint="eastAsia"/>
              </w:rPr>
              <w:t xml:space="preserve">    </w:t>
            </w:r>
            <w:r>
              <w:rPr>
                <w:rFonts w:hint="eastAsia"/>
              </w:rPr>
              <w:t>202</w:t>
            </w:r>
            <w:r w:rsidR="00A74FDF">
              <w:rPr>
                <w:rFonts w:hint="eastAsia"/>
              </w:rPr>
              <w:t>5</w:t>
            </w:r>
            <w:r>
              <w:rPr>
                <w:rFonts w:hint="eastAsia"/>
              </w:rPr>
              <w:t>年</w:t>
            </w:r>
            <w:r>
              <w:rPr>
                <w:rFonts w:hint="eastAsia"/>
              </w:rPr>
              <w:t>11</w:t>
            </w:r>
            <w:r>
              <w:rPr>
                <w:rFonts w:hint="eastAsia"/>
              </w:rPr>
              <w:t>月</w:t>
            </w:r>
            <w:r>
              <w:rPr>
                <w:rFonts w:hint="eastAsia"/>
              </w:rPr>
              <w:t>28</w:t>
            </w:r>
            <w:r>
              <w:rPr>
                <w:rFonts w:hint="eastAsia"/>
              </w:rPr>
              <w:t>日，完成选题。</w:t>
            </w:r>
          </w:p>
          <w:p w14:paraId="47198128" w14:textId="52C23CB3" w:rsidR="00BF3060" w:rsidRDefault="00817CB6">
            <w:pPr>
              <w:pStyle w:val="a9"/>
              <w:ind w:firstLineChars="200" w:firstLine="480"/>
            </w:pPr>
            <w:r>
              <w:rPr>
                <w:rFonts w:hint="eastAsia"/>
              </w:rPr>
              <w:t>202</w:t>
            </w:r>
            <w:r w:rsidR="00A74FDF">
              <w:rPr>
                <w:rFonts w:hint="eastAsia"/>
              </w:rPr>
              <w:t>5</w:t>
            </w:r>
            <w:r>
              <w:rPr>
                <w:rFonts w:hint="eastAsia"/>
              </w:rPr>
              <w:t>年</w:t>
            </w:r>
            <w:r>
              <w:rPr>
                <w:rFonts w:hint="eastAsia"/>
              </w:rPr>
              <w:t>12</w:t>
            </w:r>
            <w:r>
              <w:rPr>
                <w:rFonts w:hint="eastAsia"/>
              </w:rPr>
              <w:t>月</w:t>
            </w:r>
            <w:r>
              <w:rPr>
                <w:rFonts w:hint="eastAsia"/>
              </w:rPr>
              <w:t>26</w:t>
            </w:r>
            <w:r>
              <w:rPr>
                <w:rFonts w:hint="eastAsia"/>
              </w:rPr>
              <w:t>日，完成开题。</w:t>
            </w:r>
            <w:r>
              <w:rPr>
                <w:rFonts w:hint="eastAsia"/>
              </w:rPr>
              <w:t xml:space="preserve"> </w:t>
            </w:r>
          </w:p>
          <w:p w14:paraId="1386B964" w14:textId="01DE2376" w:rsidR="00BF3060" w:rsidRDefault="00817CB6">
            <w:pPr>
              <w:pStyle w:val="a9"/>
              <w:ind w:firstLineChars="200" w:firstLine="480"/>
            </w:pPr>
            <w:r>
              <w:rPr>
                <w:rFonts w:hint="eastAsia"/>
              </w:rPr>
              <w:t>202</w:t>
            </w:r>
            <w:r w:rsidR="00A74FDF">
              <w:rPr>
                <w:rFonts w:hint="eastAsia"/>
              </w:rPr>
              <w:t>6</w:t>
            </w:r>
            <w:r>
              <w:rPr>
                <w:rFonts w:hint="eastAsia"/>
              </w:rPr>
              <w:t>年</w:t>
            </w:r>
            <w:r>
              <w:rPr>
                <w:rFonts w:hint="eastAsia"/>
              </w:rPr>
              <w:t>3</w:t>
            </w:r>
            <w:r>
              <w:rPr>
                <w:rFonts w:hint="eastAsia"/>
              </w:rPr>
              <w:t>月</w:t>
            </w:r>
            <w:r>
              <w:rPr>
                <w:rFonts w:hint="eastAsia"/>
              </w:rPr>
              <w:t>13</w:t>
            </w:r>
            <w:r>
              <w:rPr>
                <w:rFonts w:hint="eastAsia"/>
              </w:rPr>
              <w:t>日前，完成初稿和中期检查。</w:t>
            </w:r>
            <w:r>
              <w:rPr>
                <w:rFonts w:hint="eastAsia"/>
              </w:rPr>
              <w:t xml:space="preserve"> </w:t>
            </w:r>
          </w:p>
          <w:p w14:paraId="021837C2" w14:textId="0BBC6479" w:rsidR="00BF3060" w:rsidRDefault="00817CB6">
            <w:pPr>
              <w:pStyle w:val="a9"/>
              <w:ind w:firstLineChars="200" w:firstLine="480"/>
            </w:pPr>
            <w:r>
              <w:rPr>
                <w:rFonts w:hint="eastAsia"/>
              </w:rPr>
              <w:t>202</w:t>
            </w:r>
            <w:r w:rsidR="00A74FDF">
              <w:rPr>
                <w:rFonts w:hint="eastAsia"/>
              </w:rPr>
              <w:t>6</w:t>
            </w:r>
            <w:r>
              <w:rPr>
                <w:rFonts w:hint="eastAsia"/>
              </w:rPr>
              <w:t>年</w:t>
            </w:r>
            <w:r>
              <w:rPr>
                <w:rFonts w:hint="eastAsia"/>
              </w:rPr>
              <w:t>5</w:t>
            </w:r>
            <w:r>
              <w:rPr>
                <w:rFonts w:hint="eastAsia"/>
              </w:rPr>
              <w:t>月</w:t>
            </w:r>
            <w:r>
              <w:rPr>
                <w:rFonts w:hint="eastAsia"/>
              </w:rPr>
              <w:t>29</w:t>
            </w:r>
            <w:r>
              <w:rPr>
                <w:rFonts w:hint="eastAsia"/>
              </w:rPr>
              <w:t>日前，完成论文查重与答辩。</w:t>
            </w:r>
            <w:r>
              <w:rPr>
                <w:rFonts w:hint="eastAsia"/>
              </w:rPr>
              <w:t xml:space="preserve"> </w:t>
            </w:r>
          </w:p>
        </w:tc>
      </w:tr>
      <w:tr w:rsidR="00BF3060" w14:paraId="791F0A5F" w14:textId="77777777">
        <w:trPr>
          <w:trHeight w:val="346"/>
          <w:jc w:val="center"/>
        </w:trPr>
        <w:tc>
          <w:tcPr>
            <w:tcW w:w="9356" w:type="dxa"/>
            <w:tcBorders>
              <w:top w:val="single" w:sz="4" w:space="0" w:color="auto"/>
              <w:left w:val="single" w:sz="4" w:space="0" w:color="auto"/>
              <w:bottom w:val="single" w:sz="4" w:space="0" w:color="auto"/>
              <w:right w:val="single" w:sz="4" w:space="0" w:color="auto"/>
            </w:tcBorders>
            <w:vAlign w:val="center"/>
          </w:tcPr>
          <w:p w14:paraId="0B313085" w14:textId="77777777" w:rsidR="00BF3060" w:rsidRDefault="00817CB6">
            <w:pPr>
              <w:adjustRightInd w:val="0"/>
              <w:snapToGrid w:val="0"/>
              <w:spacing w:line="440" w:lineRule="exact"/>
              <w:rPr>
                <w:color w:val="0000FF"/>
              </w:rPr>
            </w:pPr>
            <w:r>
              <w:rPr>
                <w:rFonts w:ascii="仿宋_GB2312" w:eastAsia="仿宋_GB2312"/>
                <w:b/>
                <w:bCs/>
                <w:sz w:val="24"/>
              </w:rPr>
              <w:t xml:space="preserve">5. </w:t>
            </w:r>
            <w:r>
              <w:rPr>
                <w:rFonts w:ascii="仿宋_GB2312" w:eastAsia="仿宋_GB2312" w:hint="eastAsia"/>
                <w:b/>
                <w:bCs/>
                <w:sz w:val="24"/>
              </w:rPr>
              <w:t>参考文献</w:t>
            </w:r>
            <w:r>
              <w:rPr>
                <w:rFonts w:ascii="仿宋_GB2312" w:eastAsia="仿宋_GB2312"/>
                <w:b/>
                <w:bCs/>
                <w:sz w:val="24"/>
              </w:rPr>
              <w:t>:</w:t>
            </w:r>
          </w:p>
        </w:tc>
      </w:tr>
      <w:tr w:rsidR="00BF3060" w14:paraId="60213820" w14:textId="77777777">
        <w:trPr>
          <w:trHeight w:val="2779"/>
          <w:jc w:val="center"/>
        </w:trPr>
        <w:tc>
          <w:tcPr>
            <w:tcW w:w="9356" w:type="dxa"/>
            <w:tcBorders>
              <w:top w:val="single" w:sz="4" w:space="0" w:color="auto"/>
              <w:left w:val="single" w:sz="4" w:space="0" w:color="auto"/>
              <w:bottom w:val="single" w:sz="4" w:space="0" w:color="auto"/>
              <w:right w:val="single" w:sz="4" w:space="0" w:color="auto"/>
            </w:tcBorders>
          </w:tcPr>
          <w:p w14:paraId="656E87D5"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[1] </w:t>
            </w:r>
            <w:r>
              <w:rPr>
                <w:color w:val="000000" w:themeColor="text1"/>
                <w14:shadow w14:blurRad="38100" w14:dist="19050" w14:dir="2700000" w14:sx="100000" w14:sy="100000" w14:kx="0" w14:ky="0" w14:algn="tl">
                  <w14:schemeClr w14:val="dk1">
                    <w14:alpha w14:val="60000"/>
                  </w14:schemeClr>
                </w14:shadow>
              </w:rPr>
              <w:t>科技部等六部门</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关于加快场景创新以人工智能高水平应用促进经济高质量发展的指导意见</w:t>
            </w:r>
            <w:r>
              <w:rPr>
                <w:color w:val="000000" w:themeColor="text1"/>
                <w14:shadow w14:blurRad="38100" w14:dist="19050" w14:dir="2700000" w14:sx="100000" w14:sy="100000" w14:kx="0" w14:ky="0" w14:algn="tl">
                  <w14:schemeClr w14:val="dk1">
                    <w14:alpha w14:val="60000"/>
                  </w14:schemeClr>
                </w14:shadow>
              </w:rPr>
              <w:t xml:space="preserve"> [R]. </w:t>
            </w:r>
            <w:r>
              <w:rPr>
                <w:color w:val="000000" w:themeColor="text1"/>
                <w14:shadow w14:blurRad="38100" w14:dist="19050" w14:dir="2700000" w14:sx="100000" w14:sy="100000" w14:kx="0" w14:ky="0" w14:algn="tl">
                  <w14:schemeClr w14:val="dk1">
                    <w14:alpha w14:val="60000"/>
                  </w14:schemeClr>
                </w14:shadow>
              </w:rPr>
              <w:t>北京：科技部、教育部、工业和信息化部、交通运输部、农业农村部、国家卫生健康委</w:t>
            </w:r>
            <w:r>
              <w:rPr>
                <w:color w:val="000000" w:themeColor="text1"/>
                <w14:shadow w14:blurRad="38100" w14:dist="19050" w14:dir="2700000" w14:sx="100000" w14:sy="100000" w14:kx="0" w14:ky="0" w14:algn="tl">
                  <w14:schemeClr w14:val="dk1">
                    <w14:alpha w14:val="60000"/>
                  </w14:schemeClr>
                </w14:shadow>
              </w:rPr>
              <w:t>, 2022.</w:t>
            </w:r>
          </w:p>
          <w:p w14:paraId="5C5DF348"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[2] </w:t>
            </w:r>
            <w:r>
              <w:rPr>
                <w:color w:val="000000" w:themeColor="text1"/>
                <w14:shadow w14:blurRad="38100" w14:dist="19050" w14:dir="2700000" w14:sx="100000" w14:sy="100000" w14:kx="0" w14:ky="0" w14:algn="tl">
                  <w14:schemeClr w14:val="dk1">
                    <w14:alpha w14:val="60000"/>
                  </w14:schemeClr>
                </w14:shadow>
              </w:rPr>
              <w:t>王明</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陈晓东</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周莉莉</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不完全信息市场中的动态定价博弈分析</w:t>
            </w:r>
            <w:r>
              <w:rPr>
                <w:color w:val="000000" w:themeColor="text1"/>
                <w14:shadow w14:blurRad="38100" w14:dist="19050" w14:dir="2700000" w14:sx="100000" w14:sy="100000" w14:kx="0" w14:ky="0" w14:algn="tl">
                  <w14:schemeClr w14:val="dk1">
                    <w14:alpha w14:val="60000"/>
                  </w14:schemeClr>
                </w14:shadow>
              </w:rPr>
              <w:t xml:space="preserve"> [J]. </w:t>
            </w:r>
            <w:r>
              <w:rPr>
                <w:color w:val="000000" w:themeColor="text1"/>
                <w14:shadow w14:blurRad="38100" w14:dist="19050" w14:dir="2700000" w14:sx="100000" w14:sy="100000" w14:kx="0" w14:ky="0" w14:algn="tl">
                  <w14:schemeClr w14:val="dk1">
                    <w14:alpha w14:val="60000"/>
                  </w14:schemeClr>
                </w14:shadow>
              </w:rPr>
              <w:t>系统工程理论与实践</w:t>
            </w:r>
            <w:r>
              <w:rPr>
                <w:color w:val="000000" w:themeColor="text1"/>
                <w14:shadow w14:blurRad="38100" w14:dist="19050" w14:dir="2700000" w14:sx="100000" w14:sy="100000" w14:kx="0" w14:ky="0" w14:algn="tl">
                  <w14:schemeClr w14:val="dk1">
                    <w14:alpha w14:val="60000"/>
                  </w14:schemeClr>
                </w14:shadow>
              </w:rPr>
              <w:t>, 2023, 43(2):312-327.</w:t>
            </w:r>
          </w:p>
          <w:p w14:paraId="1B4B097E"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[3] </w:t>
            </w:r>
            <w:r>
              <w:rPr>
                <w:color w:val="000000" w:themeColor="text1"/>
                <w14:shadow w14:blurRad="38100" w14:dist="19050" w14:dir="2700000" w14:sx="100000" w14:sy="100000" w14:kx="0" w14:ky="0" w14:algn="tl">
                  <w14:schemeClr w14:val="dk1">
                    <w14:alpha w14:val="60000"/>
                  </w14:schemeClr>
                </w14:shadow>
              </w:rPr>
              <w:t>陈志强</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黄伟</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电子商务平台算法定价的竞争效应研究</w:t>
            </w:r>
            <w:r>
              <w:rPr>
                <w:color w:val="000000" w:themeColor="text1"/>
                <w14:shadow w14:blurRad="38100" w14:dist="19050" w14:dir="2700000" w14:sx="100000" w14:sy="100000" w14:kx="0" w14:ky="0" w14:algn="tl">
                  <w14:schemeClr w14:val="dk1">
                    <w14:alpha w14:val="60000"/>
                  </w14:schemeClr>
                </w14:shadow>
              </w:rPr>
              <w:t xml:space="preserve"> [J]. </w:t>
            </w:r>
            <w:r>
              <w:rPr>
                <w:color w:val="000000" w:themeColor="text1"/>
                <w14:shadow w14:blurRad="38100" w14:dist="19050" w14:dir="2700000" w14:sx="100000" w14:sy="100000" w14:kx="0" w14:ky="0" w14:algn="tl">
                  <w14:schemeClr w14:val="dk1">
                    <w14:alpha w14:val="60000"/>
                  </w14:schemeClr>
                </w14:shadow>
              </w:rPr>
              <w:t>中国工业经济</w:t>
            </w:r>
            <w:r>
              <w:rPr>
                <w:color w:val="000000" w:themeColor="text1"/>
                <w14:shadow w14:blurRad="38100" w14:dist="19050" w14:dir="2700000" w14:sx="100000" w14:sy="100000" w14:kx="0" w14:ky="0" w14:algn="tl">
                  <w14:schemeClr w14:val="dk1">
                    <w14:alpha w14:val="60000"/>
                  </w14:schemeClr>
                </w14:shadow>
              </w:rPr>
              <w:t>, 2022,(7):120-136.</w:t>
            </w:r>
          </w:p>
          <w:p w14:paraId="28B7F5AD"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[4] </w:t>
            </w:r>
            <w:r>
              <w:rPr>
                <w:color w:val="000000" w:themeColor="text1"/>
                <w14:shadow w14:blurRad="38100" w14:dist="19050" w14:dir="2700000" w14:sx="100000" w14:sy="100000" w14:kx="0" w14:ky="0" w14:algn="tl">
                  <w14:schemeClr w14:val="dk1">
                    <w14:alpha w14:val="60000"/>
                  </w14:schemeClr>
                </w14:shadow>
              </w:rPr>
              <w:t>《中华人民共和国反垄断法（</w:t>
            </w:r>
            <w:r>
              <w:rPr>
                <w:color w:val="000000" w:themeColor="text1"/>
                <w14:shadow w14:blurRad="38100" w14:dist="19050" w14:dir="2700000" w14:sx="100000" w14:sy="100000" w14:kx="0" w14:ky="0" w14:algn="tl">
                  <w14:schemeClr w14:val="dk1">
                    <w14:alpha w14:val="60000"/>
                  </w14:schemeClr>
                </w14:shadow>
              </w:rPr>
              <w:t xml:space="preserve">2022 </w:t>
            </w:r>
            <w:r>
              <w:rPr>
                <w:color w:val="000000" w:themeColor="text1"/>
                <w14:shadow w14:blurRad="38100" w14:dist="19050" w14:dir="2700000" w14:sx="100000" w14:sy="100000" w14:kx="0" w14:ky="0" w14:algn="tl">
                  <w14:schemeClr w14:val="dk1">
                    <w14:alpha w14:val="60000"/>
                  </w14:schemeClr>
                </w14:shadow>
              </w:rPr>
              <w:t>修订）》</w:t>
            </w:r>
            <w:r>
              <w:rPr>
                <w:color w:val="000000" w:themeColor="text1"/>
                <w14:shadow w14:blurRad="38100" w14:dist="19050" w14:dir="2700000" w14:sx="100000" w14:sy="100000" w14:kx="0" w14:ky="0" w14:algn="tl">
                  <w14:schemeClr w14:val="dk1">
                    <w14:alpha w14:val="60000"/>
                  </w14:schemeClr>
                </w14:shadow>
              </w:rPr>
              <w:t>[Z]. 2022-06-24.</w:t>
            </w:r>
          </w:p>
          <w:p w14:paraId="3458AB97"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[5] Liu Y, Li H, Zhang J. A dynamic pricing strategy for new products with demand uncertainty [J]. International Journal of Production Economics, 2017, 185:123-134.</w:t>
            </w:r>
          </w:p>
          <w:p w14:paraId="48BB8D1B"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[6] </w:t>
            </w:r>
            <w:r>
              <w:rPr>
                <w:color w:val="000000" w:themeColor="text1"/>
                <w14:shadow w14:blurRad="38100" w14:dist="19050" w14:dir="2700000" w14:sx="100000" w14:sy="100000" w14:kx="0" w14:ky="0" w14:algn="tl">
                  <w14:schemeClr w14:val="dk1">
                    <w14:alpha w14:val="60000"/>
                  </w14:schemeClr>
                </w14:shadow>
              </w:rPr>
              <w:t>陈明</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王海涛</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李志刚</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混合产品组合的协同定价模型研究</w:t>
            </w:r>
            <w:r>
              <w:rPr>
                <w:color w:val="000000" w:themeColor="text1"/>
                <w14:shadow w14:blurRad="38100" w14:dist="19050" w14:dir="2700000" w14:sx="100000" w14:sy="100000" w14:kx="0" w14:ky="0" w14:algn="tl">
                  <w14:schemeClr w14:val="dk1">
                    <w14:alpha w14:val="60000"/>
                  </w14:schemeClr>
                </w14:shadow>
              </w:rPr>
              <w:t xml:space="preserve"> [J]. </w:t>
            </w:r>
            <w:r>
              <w:rPr>
                <w:color w:val="000000" w:themeColor="text1"/>
                <w14:shadow w14:blurRad="38100" w14:dist="19050" w14:dir="2700000" w14:sx="100000" w14:sy="100000" w14:kx="0" w14:ky="0" w14:algn="tl">
                  <w14:schemeClr w14:val="dk1">
                    <w14:alpha w14:val="60000"/>
                  </w14:schemeClr>
                </w14:shadow>
              </w:rPr>
              <w:t>管理科学学报</w:t>
            </w:r>
            <w:r>
              <w:rPr>
                <w:color w:val="000000" w:themeColor="text1"/>
                <w14:shadow w14:blurRad="38100" w14:dist="19050" w14:dir="2700000" w14:sx="100000" w14:sy="100000" w14:kx="0" w14:ky="0" w14:algn="tl">
                  <w14:schemeClr w14:val="dk1">
                    <w14:alpha w14:val="60000"/>
                  </w14:schemeClr>
                </w14:shadow>
              </w:rPr>
              <w:t>, 2023, 26(3):45-60.</w:t>
            </w:r>
          </w:p>
          <w:p w14:paraId="5E212910"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lastRenderedPageBreak/>
              <w:t xml:space="preserve">[7] </w:t>
            </w:r>
            <w:r>
              <w:rPr>
                <w:color w:val="000000" w:themeColor="text1"/>
                <w14:shadow w14:blurRad="38100" w14:dist="19050" w14:dir="2700000" w14:sx="100000" w14:sy="100000" w14:kx="0" w14:ky="0" w14:algn="tl">
                  <w14:schemeClr w14:val="dk1">
                    <w14:alpha w14:val="60000"/>
                  </w14:schemeClr>
                </w14:shadow>
              </w:rPr>
              <w:t>李伟</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陈思宇</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周昊</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电商平台多产品组合定价优化研究</w:t>
            </w:r>
            <w:r>
              <w:rPr>
                <w:color w:val="000000" w:themeColor="text1"/>
                <w14:shadow w14:blurRad="38100" w14:dist="19050" w14:dir="2700000" w14:sx="100000" w14:sy="100000" w14:kx="0" w14:ky="0" w14:algn="tl">
                  <w14:schemeClr w14:val="dk1">
                    <w14:alpha w14:val="60000"/>
                  </w14:schemeClr>
                </w14:shadow>
              </w:rPr>
              <w:t xml:space="preserve"> [J]. </w:t>
            </w:r>
            <w:r>
              <w:rPr>
                <w:color w:val="000000" w:themeColor="text1"/>
                <w14:shadow w14:blurRad="38100" w14:dist="19050" w14:dir="2700000" w14:sx="100000" w14:sy="100000" w14:kx="0" w14:ky="0" w14:algn="tl">
                  <w14:schemeClr w14:val="dk1">
                    <w14:alpha w14:val="60000"/>
                  </w14:schemeClr>
                </w14:shadow>
              </w:rPr>
              <w:t>中国管理科学</w:t>
            </w:r>
            <w:r>
              <w:rPr>
                <w:color w:val="000000" w:themeColor="text1"/>
                <w14:shadow w14:blurRad="38100" w14:dist="19050" w14:dir="2700000" w14:sx="100000" w14:sy="100000" w14:kx="0" w14:ky="0" w14:algn="tl">
                  <w14:schemeClr w14:val="dk1">
                    <w14:alpha w14:val="60000"/>
                  </w14:schemeClr>
                </w14:shadow>
              </w:rPr>
              <w:t>, 2024, 32(5):112-125.</w:t>
            </w:r>
          </w:p>
          <w:p w14:paraId="39312600"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[8] </w:t>
            </w:r>
            <w:r>
              <w:rPr>
                <w:color w:val="000000" w:themeColor="text1"/>
                <w14:shadow w14:blurRad="38100" w14:dist="19050" w14:dir="2700000" w14:sx="100000" w14:sy="100000" w14:kx="0" w14:ky="0" w14:algn="tl">
                  <w14:schemeClr w14:val="dk1">
                    <w14:alpha w14:val="60000"/>
                  </w14:schemeClr>
                </w14:shadow>
              </w:rPr>
              <w:t>王振宇</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林晓峰</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服务产品组合定价的双层博弈分析</w:t>
            </w:r>
            <w:r>
              <w:rPr>
                <w:color w:val="000000" w:themeColor="text1"/>
                <w14:shadow w14:blurRad="38100" w14:dist="19050" w14:dir="2700000" w14:sx="100000" w14:sy="100000" w14:kx="0" w14:ky="0" w14:algn="tl">
                  <w14:schemeClr w14:val="dk1">
                    <w14:alpha w14:val="60000"/>
                  </w14:schemeClr>
                </w14:shadow>
              </w:rPr>
              <w:t xml:space="preserve"> [J]. </w:t>
            </w:r>
            <w:r>
              <w:rPr>
                <w:color w:val="000000" w:themeColor="text1"/>
                <w14:shadow w14:blurRad="38100" w14:dist="19050" w14:dir="2700000" w14:sx="100000" w14:sy="100000" w14:kx="0" w14:ky="0" w14:algn="tl">
                  <w14:schemeClr w14:val="dk1">
                    <w14:alpha w14:val="60000"/>
                  </w14:schemeClr>
                </w14:shadow>
              </w:rPr>
              <w:t>运筹与管理</w:t>
            </w:r>
            <w:r>
              <w:rPr>
                <w:color w:val="000000" w:themeColor="text1"/>
                <w14:shadow w14:blurRad="38100" w14:dist="19050" w14:dir="2700000" w14:sx="100000" w14:sy="100000" w14:kx="0" w14:ky="0" w14:algn="tl">
                  <w14:schemeClr w14:val="dk1">
                    <w14:alpha w14:val="60000"/>
                  </w14:schemeClr>
                </w14:shadow>
              </w:rPr>
              <w:t>, 2024, 33(1):77-89.</w:t>
            </w:r>
          </w:p>
          <w:p w14:paraId="2D8BAA03"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[9] </w:t>
            </w:r>
            <w:r>
              <w:rPr>
                <w:color w:val="000000" w:themeColor="text1"/>
                <w14:shadow w14:blurRad="38100" w14:dist="19050" w14:dir="2700000" w14:sx="100000" w14:sy="100000" w14:kx="0" w14:ky="0" w14:algn="tl">
                  <w14:schemeClr w14:val="dk1">
                    <w14:alpha w14:val="60000"/>
                  </w14:schemeClr>
                </w14:shadow>
              </w:rPr>
              <w:t>张丽华</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杨帆</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前景理论在组合定价中的应用研究</w:t>
            </w:r>
            <w:r>
              <w:rPr>
                <w:color w:val="000000" w:themeColor="text1"/>
                <w14:shadow w14:blurRad="38100" w14:dist="19050" w14:dir="2700000" w14:sx="100000" w14:sy="100000" w14:kx="0" w14:ky="0" w14:algn="tl">
                  <w14:schemeClr w14:val="dk1">
                    <w14:alpha w14:val="60000"/>
                  </w14:schemeClr>
                </w14:shadow>
              </w:rPr>
              <w:t xml:space="preserve"> [J]. </w:t>
            </w:r>
            <w:r>
              <w:rPr>
                <w:color w:val="000000" w:themeColor="text1"/>
                <w14:shadow w14:blurRad="38100" w14:dist="19050" w14:dir="2700000" w14:sx="100000" w14:sy="100000" w14:kx="0" w14:ky="0" w14:algn="tl">
                  <w14:schemeClr w14:val="dk1">
                    <w14:alpha w14:val="60000"/>
                  </w14:schemeClr>
                </w14:shadow>
              </w:rPr>
              <w:t>心理科学进展</w:t>
            </w:r>
            <w:r>
              <w:rPr>
                <w:color w:val="000000" w:themeColor="text1"/>
                <w14:shadow w14:blurRad="38100" w14:dist="19050" w14:dir="2700000" w14:sx="100000" w14:sy="100000" w14:kx="0" w14:ky="0" w14:algn="tl">
                  <w14:schemeClr w14:val="dk1">
                    <w14:alpha w14:val="60000"/>
                  </w14:schemeClr>
                </w14:shadow>
              </w:rPr>
              <w:t>, 2023, 31(7):1245-1256.</w:t>
            </w:r>
          </w:p>
          <w:p w14:paraId="62061106"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[10] </w:t>
            </w:r>
            <w:r>
              <w:rPr>
                <w:color w:val="000000" w:themeColor="text1"/>
                <w14:shadow w14:blurRad="38100" w14:dist="19050" w14:dir="2700000" w14:sx="100000" w14:sy="100000" w14:kx="0" w14:ky="0" w14:algn="tl">
                  <w14:schemeClr w14:val="dk1">
                    <w14:alpha w14:val="60000"/>
                  </w14:schemeClr>
                </w14:shadow>
              </w:rPr>
              <w:t>刘强</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张伟</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陈晓玲</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阶梯式产品陈列对消费者决策效率的影响</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基于眼动追踪的证据</w:t>
            </w:r>
            <w:r>
              <w:rPr>
                <w:color w:val="000000" w:themeColor="text1"/>
                <w14:shadow w14:blurRad="38100" w14:dist="19050" w14:dir="2700000" w14:sx="100000" w14:sy="100000" w14:kx="0" w14:ky="0" w14:algn="tl">
                  <w14:schemeClr w14:val="dk1">
                    <w14:alpha w14:val="60000"/>
                  </w14:schemeClr>
                </w14:shadow>
              </w:rPr>
              <w:t xml:space="preserve">[J]. </w:t>
            </w:r>
            <w:r>
              <w:rPr>
                <w:color w:val="000000" w:themeColor="text1"/>
                <w14:shadow w14:blurRad="38100" w14:dist="19050" w14:dir="2700000" w14:sx="100000" w14:sy="100000" w14:kx="0" w14:ky="0" w14:algn="tl">
                  <w14:schemeClr w14:val="dk1">
                    <w14:alpha w14:val="60000"/>
                  </w14:schemeClr>
                </w14:shadow>
              </w:rPr>
              <w:t>心理学报</w:t>
            </w:r>
            <w:r>
              <w:rPr>
                <w:color w:val="000000" w:themeColor="text1"/>
                <w14:shadow w14:blurRad="38100" w14:dist="19050" w14:dir="2700000" w14:sx="100000" w14:sy="100000" w14:kx="0" w14:ky="0" w14:algn="tl">
                  <w14:schemeClr w14:val="dk1">
                    <w14:alpha w14:val="60000"/>
                  </w14:schemeClr>
                </w14:shadow>
              </w:rPr>
              <w:t>, 2024, 56(5): 621-635.</w:t>
            </w:r>
          </w:p>
          <w:p w14:paraId="1DC80E84"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[11] </w:t>
            </w:r>
            <w:r>
              <w:rPr>
                <w:color w:val="000000" w:themeColor="text1"/>
                <w14:shadow w14:blurRad="38100" w14:dist="19050" w14:dir="2700000" w14:sx="100000" w14:sy="100000" w14:kx="0" w14:ky="0" w14:algn="tl">
                  <w14:schemeClr w14:val="dk1">
                    <w14:alpha w14:val="60000"/>
                  </w14:schemeClr>
                </w14:shadow>
              </w:rPr>
              <w:t>李华</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张伟</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王磊</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基于多维度用户画像的电商智能推荐模型优化研究</w:t>
            </w:r>
            <w:r>
              <w:rPr>
                <w:color w:val="000000" w:themeColor="text1"/>
                <w14:shadow w14:blurRad="38100" w14:dist="19050" w14:dir="2700000" w14:sx="100000" w14:sy="100000" w14:kx="0" w14:ky="0" w14:algn="tl">
                  <w14:schemeClr w14:val="dk1">
                    <w14:alpha w14:val="60000"/>
                  </w14:schemeClr>
                </w14:shadow>
              </w:rPr>
              <w:t xml:space="preserve">[J]. </w:t>
            </w:r>
            <w:r>
              <w:rPr>
                <w:color w:val="000000" w:themeColor="text1"/>
                <w14:shadow w14:blurRad="38100" w14:dist="19050" w14:dir="2700000" w14:sx="100000" w14:sy="100000" w14:kx="0" w14:ky="0" w14:algn="tl">
                  <w14:schemeClr w14:val="dk1">
                    <w14:alpha w14:val="60000"/>
                  </w14:schemeClr>
                </w14:shadow>
              </w:rPr>
              <w:t>数据科学与技术</w:t>
            </w:r>
            <w:r>
              <w:rPr>
                <w:color w:val="000000" w:themeColor="text1"/>
                <w14:shadow w14:blurRad="38100" w14:dist="19050" w14:dir="2700000" w14:sx="100000" w14:sy="100000" w14:kx="0" w14:ky="0" w14:algn="tl">
                  <w14:schemeClr w14:val="dk1">
                    <w14:alpha w14:val="60000"/>
                  </w14:schemeClr>
                </w14:shadow>
              </w:rPr>
              <w:t>, 2024, 19(2): 78-92.</w:t>
            </w:r>
          </w:p>
          <w:p w14:paraId="1EE190AF" w14:textId="77777777" w:rsidR="00BF3060" w:rsidRDefault="00817CB6">
            <w:pPr>
              <w:pStyle w:val="a5"/>
              <w:tabs>
                <w:tab w:val="left" w:pos="5832"/>
              </w:tabs>
              <w:adjustRightInd w:val="0"/>
              <w:snapToGrid w:val="0"/>
              <w:spacing w:after="0" w:line="440" w:lineRule="exact"/>
              <w:rPr>
                <w:color w:val="000000" w:themeColor="text1"/>
                <w14:shadow w14:blurRad="38100" w14:dist="19050" w14:dir="2700000" w14:sx="100000" w14:sy="100000" w14:kx="0" w14:ky="0" w14:algn="tl">
                  <w14:schemeClr w14:val="dk1">
                    <w14:alpha w14:val="60000"/>
                  </w14:schemeClr>
                </w14:shadow>
              </w:rPr>
            </w:pPr>
            <w:r>
              <w:rPr>
                <w:color w:val="000000" w:themeColor="text1"/>
                <w14:shadow w14:blurRad="38100" w14:dist="19050" w14:dir="2700000" w14:sx="100000" w14:sy="100000" w14:kx="0" w14:ky="0" w14:algn="tl">
                  <w14:schemeClr w14:val="dk1">
                    <w14:alpha w14:val="60000"/>
                  </w14:schemeClr>
                </w14:shadow>
              </w:rPr>
              <w:t xml:space="preserve">[12] </w:t>
            </w:r>
            <w:r>
              <w:rPr>
                <w:color w:val="000000" w:themeColor="text1"/>
                <w14:shadow w14:blurRad="38100" w14:dist="19050" w14:dir="2700000" w14:sx="100000" w14:sy="100000" w14:kx="0" w14:ky="0" w14:algn="tl">
                  <w14:schemeClr w14:val="dk1">
                    <w14:alpha w14:val="60000"/>
                  </w14:schemeClr>
                </w14:shadow>
              </w:rPr>
              <w:t>赵岩</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黄立群</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吴敏</w:t>
            </w:r>
            <w:r>
              <w:rPr>
                <w:color w:val="000000" w:themeColor="text1"/>
                <w14:shadow w14:blurRad="38100" w14:dist="19050" w14:dir="2700000" w14:sx="100000" w14:sy="100000" w14:kx="0" w14:ky="0" w14:algn="tl">
                  <w14:schemeClr w14:val="dk1">
                    <w14:alpha w14:val="60000"/>
                  </w14:schemeClr>
                </w14:shadow>
              </w:rPr>
              <w:t xml:space="preserve">. </w:t>
            </w:r>
            <w:r>
              <w:rPr>
                <w:color w:val="000000" w:themeColor="text1"/>
                <w14:shadow w14:blurRad="38100" w14:dist="19050" w14:dir="2700000" w14:sx="100000" w14:sy="100000" w14:kx="0" w14:ky="0" w14:algn="tl">
                  <w14:schemeClr w14:val="dk1">
                    <w14:alpha w14:val="60000"/>
                  </w14:schemeClr>
                </w14:shadow>
              </w:rPr>
              <w:t>基于深度学习的动态组合定价算法设计</w:t>
            </w:r>
            <w:r>
              <w:rPr>
                <w:color w:val="000000" w:themeColor="text1"/>
                <w14:shadow w14:blurRad="38100" w14:dist="19050" w14:dir="2700000" w14:sx="100000" w14:sy="100000" w14:kx="0" w14:ky="0" w14:algn="tl">
                  <w14:schemeClr w14:val="dk1">
                    <w14:alpha w14:val="60000"/>
                  </w14:schemeClr>
                </w14:shadow>
              </w:rPr>
              <w:t xml:space="preserve"> [J]. </w:t>
            </w:r>
            <w:r>
              <w:rPr>
                <w:color w:val="000000" w:themeColor="text1"/>
                <w14:shadow w14:blurRad="38100" w14:dist="19050" w14:dir="2700000" w14:sx="100000" w14:sy="100000" w14:kx="0" w14:ky="0" w14:algn="tl">
                  <w14:schemeClr w14:val="dk1">
                    <w14:alpha w14:val="60000"/>
                  </w14:schemeClr>
                </w14:shadow>
              </w:rPr>
              <w:t>系统工程理论与实践</w:t>
            </w:r>
            <w:r>
              <w:rPr>
                <w:color w:val="000000" w:themeColor="text1"/>
                <w14:shadow w14:blurRad="38100" w14:dist="19050" w14:dir="2700000" w14:sx="100000" w14:sy="100000" w14:kx="0" w14:ky="0" w14:algn="tl">
                  <w14:schemeClr w14:val="dk1">
                    <w14:alpha w14:val="60000"/>
                  </w14:schemeClr>
                </w14:shadow>
              </w:rPr>
              <w:t>, 2023, 43(9):2310-2323.</w:t>
            </w:r>
          </w:p>
          <w:p w14:paraId="36DDD739" w14:textId="77777777" w:rsidR="00BF3060" w:rsidRDefault="00BF3060">
            <w:pPr>
              <w:pStyle w:val="a5"/>
              <w:tabs>
                <w:tab w:val="left" w:pos="5832"/>
              </w:tabs>
              <w:adjustRightInd w:val="0"/>
              <w:snapToGrid w:val="0"/>
              <w:spacing w:after="0" w:line="440" w:lineRule="exact"/>
              <w:jc w:val="left"/>
              <w:rPr>
                <w:color w:val="000000" w:themeColor="text1"/>
                <w14:shadow w14:blurRad="38100" w14:dist="19050" w14:dir="2700000" w14:sx="100000" w14:sy="100000" w14:kx="0" w14:ky="0" w14:algn="tl">
                  <w14:schemeClr w14:val="dk1">
                    <w14:alpha w14:val="60000"/>
                  </w14:schemeClr>
                </w14:shadow>
              </w:rPr>
            </w:pPr>
          </w:p>
          <w:p w14:paraId="77967128" w14:textId="77777777" w:rsidR="00BF3060" w:rsidRDefault="00BF3060">
            <w:pPr>
              <w:pStyle w:val="a5"/>
              <w:tabs>
                <w:tab w:val="left" w:pos="5832"/>
              </w:tabs>
              <w:adjustRightInd w:val="0"/>
              <w:snapToGrid w:val="0"/>
              <w:spacing w:after="0" w:line="440" w:lineRule="exact"/>
              <w:jc w:val="left"/>
              <w:rPr>
                <w:color w:val="0000FF"/>
              </w:rPr>
            </w:pPr>
          </w:p>
          <w:p w14:paraId="6180085C" w14:textId="77777777" w:rsidR="00BF3060" w:rsidRDefault="00BF3060">
            <w:pPr>
              <w:pStyle w:val="a5"/>
              <w:tabs>
                <w:tab w:val="left" w:pos="5832"/>
              </w:tabs>
              <w:adjustRightInd w:val="0"/>
              <w:snapToGrid w:val="0"/>
              <w:spacing w:after="0" w:line="440" w:lineRule="exact"/>
              <w:jc w:val="left"/>
              <w:rPr>
                <w:color w:val="0000FF"/>
              </w:rPr>
            </w:pPr>
          </w:p>
          <w:p w14:paraId="07CDA2CB" w14:textId="77777777" w:rsidR="00BF3060" w:rsidRDefault="00BF3060">
            <w:pPr>
              <w:pStyle w:val="a5"/>
              <w:tabs>
                <w:tab w:val="left" w:pos="5832"/>
              </w:tabs>
              <w:adjustRightInd w:val="0"/>
              <w:snapToGrid w:val="0"/>
              <w:spacing w:after="0" w:line="440" w:lineRule="exact"/>
              <w:jc w:val="left"/>
              <w:rPr>
                <w:color w:val="0000FF"/>
              </w:rPr>
            </w:pPr>
          </w:p>
          <w:p w14:paraId="76EAF266" w14:textId="77777777" w:rsidR="00BF3060" w:rsidRDefault="00BF3060">
            <w:pPr>
              <w:pStyle w:val="a5"/>
              <w:tabs>
                <w:tab w:val="left" w:pos="5832"/>
              </w:tabs>
              <w:adjustRightInd w:val="0"/>
              <w:snapToGrid w:val="0"/>
              <w:spacing w:after="0" w:line="440" w:lineRule="exact"/>
              <w:jc w:val="left"/>
              <w:rPr>
                <w:color w:val="0000FF"/>
              </w:rPr>
            </w:pPr>
          </w:p>
          <w:p w14:paraId="2E623D26" w14:textId="77777777" w:rsidR="00BF3060" w:rsidRDefault="00BF3060">
            <w:pPr>
              <w:pStyle w:val="a5"/>
              <w:tabs>
                <w:tab w:val="left" w:pos="5832"/>
              </w:tabs>
              <w:adjustRightInd w:val="0"/>
              <w:snapToGrid w:val="0"/>
              <w:spacing w:after="0" w:line="440" w:lineRule="exact"/>
              <w:jc w:val="left"/>
              <w:rPr>
                <w:color w:val="0000FF"/>
              </w:rPr>
            </w:pPr>
          </w:p>
          <w:p w14:paraId="09D0ABA8" w14:textId="77777777" w:rsidR="00BF3060" w:rsidRDefault="00BF3060">
            <w:pPr>
              <w:pStyle w:val="a5"/>
              <w:tabs>
                <w:tab w:val="left" w:pos="5832"/>
              </w:tabs>
              <w:adjustRightInd w:val="0"/>
              <w:snapToGrid w:val="0"/>
              <w:spacing w:line="440" w:lineRule="exact"/>
              <w:jc w:val="left"/>
              <w:rPr>
                <w:color w:val="0000FF"/>
              </w:rPr>
            </w:pPr>
          </w:p>
          <w:p w14:paraId="2555FF22" w14:textId="77777777" w:rsidR="00BF3060" w:rsidRDefault="00BF3060">
            <w:pPr>
              <w:pStyle w:val="a5"/>
              <w:tabs>
                <w:tab w:val="left" w:pos="5832"/>
              </w:tabs>
              <w:adjustRightInd w:val="0"/>
              <w:snapToGrid w:val="0"/>
              <w:spacing w:after="0" w:line="440" w:lineRule="exact"/>
              <w:jc w:val="left"/>
              <w:rPr>
                <w:color w:val="0000FF"/>
              </w:rPr>
            </w:pPr>
          </w:p>
          <w:p w14:paraId="6F29908B" w14:textId="77777777" w:rsidR="00BF3060" w:rsidRDefault="00BF3060">
            <w:pPr>
              <w:pStyle w:val="a5"/>
              <w:tabs>
                <w:tab w:val="left" w:pos="5832"/>
              </w:tabs>
              <w:adjustRightInd w:val="0"/>
              <w:snapToGrid w:val="0"/>
              <w:spacing w:after="0" w:line="440" w:lineRule="exact"/>
              <w:jc w:val="left"/>
              <w:rPr>
                <w:color w:val="0000FF"/>
              </w:rPr>
            </w:pPr>
          </w:p>
          <w:p w14:paraId="289B127E" w14:textId="77777777" w:rsidR="00BF3060" w:rsidRDefault="00BF3060">
            <w:pPr>
              <w:pStyle w:val="a5"/>
              <w:tabs>
                <w:tab w:val="left" w:pos="5832"/>
              </w:tabs>
              <w:adjustRightInd w:val="0"/>
              <w:snapToGrid w:val="0"/>
              <w:spacing w:after="0" w:line="440" w:lineRule="exact"/>
              <w:jc w:val="left"/>
              <w:rPr>
                <w:color w:val="0000FF"/>
              </w:rPr>
            </w:pPr>
          </w:p>
        </w:tc>
      </w:tr>
      <w:tr w:rsidR="00BF3060" w14:paraId="57F9A9D3" w14:textId="77777777">
        <w:trPr>
          <w:trHeight w:val="295"/>
          <w:jc w:val="center"/>
        </w:trPr>
        <w:tc>
          <w:tcPr>
            <w:tcW w:w="9356" w:type="dxa"/>
            <w:tcBorders>
              <w:top w:val="single" w:sz="4" w:space="0" w:color="auto"/>
              <w:left w:val="single" w:sz="4" w:space="0" w:color="auto"/>
              <w:bottom w:val="single" w:sz="4" w:space="0" w:color="auto"/>
              <w:right w:val="single" w:sz="4" w:space="0" w:color="auto"/>
            </w:tcBorders>
            <w:vAlign w:val="center"/>
          </w:tcPr>
          <w:p w14:paraId="757300FC" w14:textId="77777777" w:rsidR="00BF3060" w:rsidRDefault="00817CB6">
            <w:pPr>
              <w:adjustRightInd w:val="0"/>
              <w:snapToGrid w:val="0"/>
              <w:spacing w:line="440" w:lineRule="exact"/>
              <w:rPr>
                <w:b/>
                <w:bCs/>
                <w:sz w:val="28"/>
              </w:rPr>
            </w:pPr>
            <w:r>
              <w:rPr>
                <w:rFonts w:ascii="仿宋_GB2312" w:eastAsia="仿宋_GB2312"/>
                <w:b/>
                <w:bCs/>
                <w:sz w:val="24"/>
              </w:rPr>
              <w:lastRenderedPageBreak/>
              <w:t> </w:t>
            </w:r>
            <w:r>
              <w:rPr>
                <w:rFonts w:ascii="仿宋_GB2312" w:eastAsia="仿宋_GB2312" w:hint="eastAsia"/>
                <w:b/>
                <w:bCs/>
                <w:sz w:val="24"/>
              </w:rPr>
              <w:t>6.</w:t>
            </w:r>
            <w:r>
              <w:rPr>
                <w:rFonts w:ascii="仿宋_GB2312" w:eastAsia="仿宋_GB2312" w:hint="eastAsia"/>
                <w:b/>
                <w:bCs/>
                <w:sz w:val="24"/>
              </w:rPr>
              <w:t>指导教师审阅意见：</w:t>
            </w:r>
          </w:p>
        </w:tc>
      </w:tr>
      <w:tr w:rsidR="00BF3060" w14:paraId="2A89F70D" w14:textId="77777777">
        <w:trPr>
          <w:trHeight w:val="70"/>
          <w:jc w:val="center"/>
        </w:trPr>
        <w:tc>
          <w:tcPr>
            <w:tcW w:w="9356" w:type="dxa"/>
            <w:tcBorders>
              <w:top w:val="single" w:sz="4" w:space="0" w:color="auto"/>
              <w:left w:val="single" w:sz="4" w:space="0" w:color="auto"/>
              <w:bottom w:val="single" w:sz="4" w:space="0" w:color="auto"/>
              <w:right w:val="single" w:sz="4" w:space="0" w:color="auto"/>
            </w:tcBorders>
          </w:tcPr>
          <w:p w14:paraId="1FF4DB3F" w14:textId="77777777" w:rsidR="00BF3060" w:rsidRDefault="00817CB6">
            <w:pPr>
              <w:pStyle w:val="a5"/>
              <w:adjustRightInd w:val="0"/>
              <w:snapToGrid w:val="0"/>
              <w:spacing w:after="0" w:line="440" w:lineRule="exact"/>
              <w:ind w:leftChars="0" w:left="0"/>
              <w:jc w:val="left"/>
              <w:rPr>
                <w:rFonts w:eastAsia="仿宋_GB2312"/>
                <w:sz w:val="24"/>
              </w:rPr>
            </w:pPr>
            <w:r>
              <w:rPr>
                <w:rFonts w:eastAsia="仿宋_GB2312" w:hint="eastAsia"/>
                <w:sz w:val="24"/>
              </w:rPr>
              <w:t>（对本课题的深度、广度及工作量等方面的意见）</w:t>
            </w:r>
          </w:p>
          <w:p w14:paraId="0F8BC054" w14:textId="77777777" w:rsidR="00BF3060" w:rsidRDefault="00817CB6">
            <w:pPr>
              <w:adjustRightInd w:val="0"/>
              <w:snapToGrid w:val="0"/>
              <w:spacing w:line="440" w:lineRule="exact"/>
              <w:rPr>
                <w:rFonts w:eastAsia="仿宋_GB2312"/>
                <w:sz w:val="24"/>
              </w:rPr>
            </w:pPr>
            <w:r>
              <w:rPr>
                <w:rFonts w:eastAsia="仿宋_GB2312"/>
                <w:sz w:val="24"/>
              </w:rPr>
              <w:t> </w:t>
            </w:r>
          </w:p>
          <w:p w14:paraId="7F5E1215" w14:textId="77777777" w:rsidR="00BF3060" w:rsidRDefault="00817CB6">
            <w:pPr>
              <w:adjustRightInd w:val="0"/>
              <w:snapToGrid w:val="0"/>
              <w:spacing w:line="440" w:lineRule="exact"/>
              <w:rPr>
                <w:sz w:val="24"/>
              </w:rPr>
            </w:pPr>
            <w:r>
              <w:rPr>
                <w:sz w:val="24"/>
              </w:rPr>
              <w:t> </w:t>
            </w:r>
          </w:p>
          <w:p w14:paraId="56E898FA" w14:textId="77777777" w:rsidR="00BF3060" w:rsidRDefault="00817CB6">
            <w:pPr>
              <w:adjustRightInd w:val="0"/>
              <w:snapToGrid w:val="0"/>
              <w:spacing w:line="440" w:lineRule="exact"/>
              <w:rPr>
                <w:sz w:val="24"/>
              </w:rPr>
            </w:pPr>
            <w:r>
              <w:rPr>
                <w:sz w:val="24"/>
              </w:rPr>
              <w:t> </w:t>
            </w:r>
          </w:p>
          <w:p w14:paraId="3441977F" w14:textId="77777777" w:rsidR="00BF3060" w:rsidRDefault="00817CB6">
            <w:pPr>
              <w:adjustRightInd w:val="0"/>
              <w:snapToGrid w:val="0"/>
              <w:spacing w:line="440" w:lineRule="exact"/>
            </w:pPr>
            <w:r>
              <w:t xml:space="preserve">                                        </w:t>
            </w:r>
          </w:p>
          <w:p w14:paraId="535DB376" w14:textId="77777777" w:rsidR="00BF3060" w:rsidRDefault="00817CB6">
            <w:pPr>
              <w:adjustRightInd w:val="0"/>
              <w:snapToGrid w:val="0"/>
              <w:spacing w:line="440" w:lineRule="exact"/>
              <w:ind w:firstLineChars="2600" w:firstLine="6240"/>
              <w:rPr>
                <w:rFonts w:eastAsia="仿宋_GB2312"/>
                <w:sz w:val="24"/>
              </w:rPr>
            </w:pPr>
            <w:r>
              <w:rPr>
                <w:rFonts w:eastAsia="仿宋_GB2312" w:hint="eastAsia"/>
                <w:sz w:val="24"/>
              </w:rPr>
              <w:t>指导教师：</w:t>
            </w:r>
            <w:r>
              <w:rPr>
                <w:rFonts w:eastAsia="仿宋_GB2312"/>
                <w:sz w:val="24"/>
                <w:u w:val="single"/>
              </w:rPr>
              <w:t xml:space="preserve">      </w:t>
            </w:r>
            <w:r>
              <w:rPr>
                <w:rFonts w:eastAsia="仿宋_GB2312" w:hint="eastAsia"/>
                <w:sz w:val="24"/>
                <w:u w:val="single"/>
              </w:rPr>
              <w:t xml:space="preserve">   </w:t>
            </w:r>
            <w:r>
              <w:rPr>
                <w:rFonts w:eastAsia="仿宋_GB2312"/>
                <w:sz w:val="24"/>
                <w:u w:val="single"/>
              </w:rPr>
              <w:t xml:space="preserve">    </w:t>
            </w:r>
          </w:p>
          <w:p w14:paraId="4CBA84EB" w14:textId="77777777" w:rsidR="00BF3060" w:rsidRDefault="00817CB6">
            <w:pPr>
              <w:adjustRightInd w:val="0"/>
              <w:snapToGrid w:val="0"/>
              <w:spacing w:line="440" w:lineRule="exact"/>
              <w:ind w:firstLineChars="2900" w:firstLine="6960"/>
              <w:rPr>
                <w:rFonts w:eastAsia="仿宋_GB2312"/>
                <w:sz w:val="24"/>
              </w:rPr>
            </w:pPr>
            <w:r>
              <w:rPr>
                <w:rFonts w:eastAsia="仿宋_GB2312" w:hint="eastAsia"/>
                <w:sz w:val="24"/>
              </w:rPr>
              <w:t>年</w:t>
            </w:r>
            <w:r>
              <w:rPr>
                <w:rFonts w:eastAsia="仿宋_GB2312"/>
                <w:sz w:val="24"/>
              </w:rPr>
              <w:t xml:space="preserve">    </w:t>
            </w:r>
            <w:r>
              <w:rPr>
                <w:rFonts w:eastAsia="仿宋_GB2312" w:hint="eastAsia"/>
                <w:sz w:val="24"/>
              </w:rPr>
              <w:t xml:space="preserve"> </w:t>
            </w:r>
            <w:r>
              <w:rPr>
                <w:rFonts w:eastAsia="仿宋_GB2312" w:hint="eastAsia"/>
                <w:sz w:val="24"/>
              </w:rPr>
              <w:t>月</w:t>
            </w:r>
            <w:r>
              <w:rPr>
                <w:rFonts w:eastAsia="仿宋_GB2312"/>
                <w:sz w:val="24"/>
              </w:rPr>
              <w:t xml:space="preserve">  </w:t>
            </w:r>
            <w:r>
              <w:rPr>
                <w:rFonts w:eastAsia="仿宋_GB2312" w:hint="eastAsia"/>
                <w:sz w:val="24"/>
              </w:rPr>
              <w:t xml:space="preserve"> </w:t>
            </w:r>
            <w:r>
              <w:rPr>
                <w:rFonts w:eastAsia="仿宋_GB2312"/>
                <w:sz w:val="24"/>
              </w:rPr>
              <w:t xml:space="preserve">  </w:t>
            </w:r>
            <w:r>
              <w:rPr>
                <w:rFonts w:eastAsia="仿宋_GB2312" w:hint="eastAsia"/>
                <w:sz w:val="24"/>
              </w:rPr>
              <w:t>日</w:t>
            </w:r>
          </w:p>
        </w:tc>
      </w:tr>
    </w:tbl>
    <w:p w14:paraId="09D772BC" w14:textId="77777777" w:rsidR="00BF3060" w:rsidRDefault="00BF3060"/>
    <w:sectPr w:rsidR="00BF3060">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_GB2312">
    <w:altName w:val="微软雅黑"/>
    <w:panose1 w:val="020B0604020202020204"/>
    <w:charset w:val="86"/>
    <w:family w:val="modern"/>
    <w:pitch w:val="default"/>
    <w:sig w:usb0="00000000" w:usb1="00000000" w:usb2="00000010" w:usb3="00000000" w:csb0="000401FF"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华文行楷">
    <w:altName w:val="STXingkai"/>
    <w:panose1 w:val="02010800040101010101"/>
    <w:charset w:val="86"/>
    <w:family w:val="auto"/>
    <w:pitch w:val="variable"/>
    <w:sig w:usb0="00000001" w:usb1="080F0000" w:usb2="00000010" w:usb3="00000000" w:csb0="00040000" w:csb1="00000000"/>
  </w:font>
  <w:font w:name="华文楷体">
    <w:altName w:val="STKaiti"/>
    <w:panose1 w:val="02010600040101010101"/>
    <w:charset w:val="86"/>
    <w:family w:val="auto"/>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方正大标宋简体">
    <w:altName w:val="宋体"/>
    <w:panose1 w:val="020B0604020202020204"/>
    <w:charset w:val="86"/>
    <w:family w:val="auto"/>
    <w:pitch w:val="default"/>
    <w:sig w:usb0="00000000" w:usb1="00000000" w:usb2="00000010" w:usb3="00000000" w:csb0="0004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714"/>
    <w:multiLevelType w:val="multilevel"/>
    <w:tmpl w:val="00EA3714"/>
    <w:lvl w:ilvl="0">
      <w:start w:val="1"/>
      <w:numFmt w:val="chineseCountingThousand"/>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1" w15:restartNumberingAfterBreak="0">
    <w:nsid w:val="2AAA004A"/>
    <w:multiLevelType w:val="multilevel"/>
    <w:tmpl w:val="2AAA004A"/>
    <w:lvl w:ilvl="0">
      <w:start w:val="1"/>
      <w:numFmt w:val="chineseCountingThousand"/>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2" w15:restartNumberingAfterBreak="0">
    <w:nsid w:val="2D571B7D"/>
    <w:multiLevelType w:val="multilevel"/>
    <w:tmpl w:val="2D571B7D"/>
    <w:lvl w:ilvl="0">
      <w:start w:val="1"/>
      <w:numFmt w:val="chineseCountingThousand"/>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3" w15:restartNumberingAfterBreak="0">
    <w:nsid w:val="363D7A59"/>
    <w:multiLevelType w:val="multilevel"/>
    <w:tmpl w:val="363D7A59"/>
    <w:lvl w:ilvl="0">
      <w:start w:val="1"/>
      <w:numFmt w:val="chineseCountingThousand"/>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4" w15:restartNumberingAfterBreak="0">
    <w:nsid w:val="460D2043"/>
    <w:multiLevelType w:val="multilevel"/>
    <w:tmpl w:val="460D2043"/>
    <w:lvl w:ilvl="0">
      <w:start w:val="2"/>
      <w:numFmt w:val="decimal"/>
      <w:lvlText w:val="%1．"/>
      <w:lvlJc w:val="left"/>
      <w:pPr>
        <w:ind w:left="380" w:hanging="380"/>
      </w:pPr>
      <w:rPr>
        <w:rFonts w:ascii="仿宋_GB2312" w:eastAsia="仿宋_GB2312" w:hAnsi="Times New Roman" w:hint="default"/>
        <w:b/>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60F7338A"/>
    <w:multiLevelType w:val="multilevel"/>
    <w:tmpl w:val="60F7338A"/>
    <w:lvl w:ilvl="0">
      <w:start w:val="1"/>
      <w:numFmt w:val="chineseCountingThousand"/>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6" w15:restartNumberingAfterBreak="0">
    <w:nsid w:val="74DD2621"/>
    <w:multiLevelType w:val="multilevel"/>
    <w:tmpl w:val="74DD2621"/>
    <w:lvl w:ilvl="0">
      <w:start w:val="1"/>
      <w:numFmt w:val="chineseCountingThousand"/>
      <w:lvlText w:val="%1、"/>
      <w:lvlJc w:val="left"/>
      <w:pPr>
        <w:ind w:left="440" w:hanging="44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07078030">
    <w:abstractNumId w:val="4"/>
  </w:num>
  <w:num w:numId="2" w16cid:durableId="1640917328">
    <w:abstractNumId w:val="6"/>
  </w:num>
  <w:num w:numId="3" w16cid:durableId="1579364469">
    <w:abstractNumId w:val="0"/>
  </w:num>
  <w:num w:numId="4" w16cid:durableId="830801139">
    <w:abstractNumId w:val="1"/>
  </w:num>
  <w:num w:numId="5" w16cid:durableId="962225689">
    <w:abstractNumId w:val="2"/>
  </w:num>
  <w:num w:numId="6" w16cid:durableId="617221691">
    <w:abstractNumId w:val="5"/>
  </w:num>
  <w:num w:numId="7" w16cid:durableId="69039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060"/>
    <w:rsid w:val="00083776"/>
    <w:rsid w:val="00111D33"/>
    <w:rsid w:val="00212BEC"/>
    <w:rsid w:val="003B54A3"/>
    <w:rsid w:val="004278E1"/>
    <w:rsid w:val="005360DC"/>
    <w:rsid w:val="006210B6"/>
    <w:rsid w:val="00677730"/>
    <w:rsid w:val="007172B0"/>
    <w:rsid w:val="007957D6"/>
    <w:rsid w:val="00817CB6"/>
    <w:rsid w:val="00976C61"/>
    <w:rsid w:val="0099163C"/>
    <w:rsid w:val="00A1398D"/>
    <w:rsid w:val="00A74FDF"/>
    <w:rsid w:val="00BF3060"/>
    <w:rsid w:val="00C64643"/>
    <w:rsid w:val="00CD4A61"/>
    <w:rsid w:val="00D0433B"/>
    <w:rsid w:val="00EC1349"/>
    <w:rsid w:val="00FB46AC"/>
    <w:rsid w:val="00FD6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2420A7"/>
  <w15:docId w15:val="{88047D61-55C7-4A49-80BB-D8686B07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pacing w:after="120"/>
    </w:pPr>
    <w:rPr>
      <w:kern w:val="0"/>
      <w:sz w:val="20"/>
    </w:rPr>
  </w:style>
  <w:style w:type="paragraph" w:styleId="a5">
    <w:name w:val="Body Text Indent"/>
    <w:basedOn w:val="a"/>
    <w:link w:val="a6"/>
    <w:pPr>
      <w:spacing w:after="120"/>
      <w:ind w:leftChars="200" w:left="420"/>
    </w:pPr>
    <w:rPr>
      <w:kern w:val="0"/>
      <w:sz w:val="20"/>
    </w:rPr>
  </w:style>
  <w:style w:type="paragraph" w:styleId="a7">
    <w:name w:val="Plain Text"/>
    <w:basedOn w:val="a"/>
    <w:link w:val="a8"/>
    <w:rPr>
      <w:rFonts w:ascii="宋体" w:hAnsi="Courier New" w:cs="Courier New"/>
      <w:kern w:val="0"/>
      <w:sz w:val="24"/>
      <w:szCs w:val="21"/>
    </w:rPr>
  </w:style>
  <w:style w:type="paragraph" w:styleId="a9">
    <w:name w:val="Normal (Web)"/>
    <w:basedOn w:val="a"/>
    <w:uiPriority w:val="99"/>
    <w:unhideWhenUsed/>
    <w:pPr>
      <w:widowControl/>
      <w:spacing w:before="100" w:beforeAutospacing="1" w:after="100" w:afterAutospacing="1"/>
      <w:jc w:val="left"/>
    </w:pPr>
    <w:rPr>
      <w:rFonts w:ascii="宋体" w:hAnsi="宋体" w:cs="宋体"/>
      <w:kern w:val="0"/>
      <w:sz w:val="24"/>
    </w:rPr>
  </w:style>
  <w:style w:type="character" w:styleId="aa">
    <w:name w:val="Strong"/>
    <w:basedOn w:val="a0"/>
    <w:uiPriority w:val="22"/>
    <w:qFormat/>
    <w:rPr>
      <w:b/>
      <w:bCs/>
    </w:rPr>
  </w:style>
  <w:style w:type="character" w:customStyle="1" w:styleId="a4">
    <w:name w:val="正文文本 字符"/>
    <w:link w:val="a3"/>
    <w:rPr>
      <w:szCs w:val="24"/>
    </w:rPr>
  </w:style>
  <w:style w:type="character" w:customStyle="1" w:styleId="a6">
    <w:name w:val="正文文本缩进 字符"/>
    <w:link w:val="a5"/>
    <w:rPr>
      <w:szCs w:val="24"/>
    </w:rPr>
  </w:style>
  <w:style w:type="character" w:customStyle="1" w:styleId="a8">
    <w:name w:val="纯文本 字符"/>
    <w:link w:val="a7"/>
    <w:rPr>
      <w:rFonts w:ascii="宋体" w:hAnsi="Courier New" w:cs="Courier New"/>
      <w:sz w:val="24"/>
      <w:szCs w:val="21"/>
    </w:rPr>
  </w:style>
  <w:style w:type="character" w:customStyle="1" w:styleId="Char1">
    <w:name w:val="正文文本 Char1"/>
    <w:rPr>
      <w:kern w:val="2"/>
      <w:sz w:val="21"/>
      <w:szCs w:val="24"/>
    </w:rPr>
  </w:style>
  <w:style w:type="character" w:customStyle="1" w:styleId="Char10">
    <w:name w:val="纯文本 Char1"/>
    <w:rPr>
      <w:rFonts w:ascii="宋体" w:hAnsi="Courier New" w:cs="Courier New"/>
      <w:kern w:val="2"/>
      <w:sz w:val="21"/>
      <w:szCs w:val="21"/>
    </w:rPr>
  </w:style>
  <w:style w:type="character" w:customStyle="1" w:styleId="Char11">
    <w:name w:val="正文文本缩进 Char1"/>
    <w:rPr>
      <w:kern w:val="2"/>
      <w:sz w:val="21"/>
      <w:szCs w:val="24"/>
    </w:rPr>
  </w:style>
  <w:style w:type="character" w:customStyle="1" w:styleId="30">
    <w:name w:val="标题 3 字符"/>
    <w:basedOn w:val="a0"/>
    <w:link w:val="3"/>
    <w:uiPriority w:val="9"/>
    <w:rPr>
      <w:rFonts w:ascii="宋体" w:hAnsi="宋体" w:cs="宋体"/>
      <w:b/>
      <w:bCs/>
      <w:sz w:val="27"/>
      <w:szCs w:val="27"/>
    </w:rPr>
  </w:style>
  <w:style w:type="paragraph" w:customStyle="1" w:styleId="1">
    <w:name w:val="列表段落1"/>
    <w:basedOn w:val="a"/>
    <w:uiPriority w:val="99"/>
    <w:qFormat/>
    <w:pPr>
      <w:ind w:firstLineChars="200" w:firstLine="420"/>
    </w:pPr>
  </w:style>
  <w:style w:type="character" w:customStyle="1" w:styleId="ng-star-inserted">
    <w:name w:val="ng-star-inserted"/>
    <w:basedOn w:val="a0"/>
    <w:rsid w:val="00A1398D"/>
  </w:style>
  <w:style w:type="paragraph" w:styleId="ab">
    <w:name w:val="List Paragraph"/>
    <w:basedOn w:val="a"/>
    <w:uiPriority w:val="99"/>
    <w:unhideWhenUsed/>
    <w:rsid w:val="00212BE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2906</Words>
  <Characters>1169</Characters>
  <Application>Microsoft Office Word</Application>
  <DocSecurity>0</DocSecurity>
  <Lines>9</Lines>
  <Paragraphs>8</Paragraphs>
  <ScaleCrop>false</ScaleCrop>
  <Company>njue</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sds</dc:creator>
  <cp:lastModifiedBy>汇川 胡</cp:lastModifiedBy>
  <cp:revision>15</cp:revision>
  <dcterms:created xsi:type="dcterms:W3CDTF">2025-12-25T13:59:00Z</dcterms:created>
  <dcterms:modified xsi:type="dcterms:W3CDTF">2025-12-25T14:55:00Z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2052-12.37.1</vt:lpwstr>
  </property>
  <property fmtid="{D5CDD505-2E9C-101B-9397-08002B2CF9AE}" pid="3" name="ICV">
    <vt:lpwstr>FDD766273FCF47FCA874787E1EC990F1_13</vt:lpwstr>
  </property>
  <property fmtid="{D5CDD505-2E9C-101B-9397-08002B2CF9AE}" pid="4" name="CWMb9d8b59000d411f180001d8d00001c8d">
    <vt:lpwstr>CWM+YoMkYUDOtsXn4/mQBI8F50mKDhO30OiYbUeFHGBzyr+NByMiBjPa3j2aotWEeTLNI9S3izEjor12MvFxOZsQA==</vt:lpwstr>
  </property>
</Properties>
</file>