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5B5B5B"/>
          <w:sz w:val="22"/>
          <w:szCs w:val="22"/>
        </w:rPr>
        <w:t xml:space="preserve">PRECISA AGRIMENSURA LTDA</w:t>
      </w:r>
    </w:p>
    <w:p>
      <w:pPr>
        <w:spacing w:after="400"/>
      </w:pPr>
    </w:p>
    <w:p>
      <w:pPr>
        <w:jc w:val="center"/>
      </w:pPr>
      <w:r>
        <w:rPr>
          <w:rFonts w:ascii="Calibri" w:cs="Calibri" w:eastAsia="Calibri" w:hAnsi="Calibri"/>
          <w:color w:val="5B5B5B"/>
          <w:sz w:val="26"/>
          <w:szCs w:val="26"/>
        </w:rPr>
        <w:t xml:space="preserve">Manual do Usuário</w:t>
      </w:r>
    </w:p>
    <w:p>
      <w:pPr>
        <w:spacing w:after="100" w:before="200"/>
        <w:jc w:val="center"/>
      </w:pPr>
      <w:r>
        <w:rPr>
          <w:rFonts w:ascii="Calibri" w:cs="Calibri" w:eastAsia="Calibri" w:hAnsi="Calibri"/>
          <w:b/>
          <w:bCs/>
          <w:color w:val="1F4E3D"/>
          <w:sz w:val="48"/>
          <w:szCs w:val="48"/>
        </w:rPr>
        <w:t xml:space="preserve">Precisa Esgoto</w:t>
      </w:r>
    </w:p>
    <w:p>
      <w:pPr>
        <w:spacing w:after="100"/>
        <w:jc w:val="center"/>
      </w:pPr>
      <w:r>
        <w:rPr>
          <w:rFonts w:ascii="Calibri" w:cs="Calibri" w:eastAsia="Calibri" w:hAnsi="Calibri"/>
          <w:i/>
          <w:iCs/>
          <w:color w:val="2E7D5B"/>
          <w:sz w:val="24"/>
          <w:szCs w:val="24"/>
        </w:rPr>
        <w:t xml:space="preserve">Rede coletora de esgoto sanitário — dimensionamento, traçado e desenho automático</w:t>
      </w:r>
    </w:p>
    <w:p>
      <w:pPr>
        <w:spacing w:before="100"/>
        <w:jc w:val="center"/>
      </w:pPr>
      <w:r>
        <w:rPr>
          <w:rFonts w:ascii="Calibri" w:cs="Calibri" w:eastAsia="Calibri" w:hAnsi="Calibri"/>
          <w:color w:val="5B5B5B"/>
          <w:sz w:val="20"/>
          <w:szCs w:val="20"/>
        </w:rPr>
        <w:t xml:space="preserve">Versão 1.0</w:t>
      </w:r>
    </w:p>
    <w:p>
      <w:pPr>
        <w:spacing w:after="1600"/>
      </w:pPr>
    </w:p>
    <w:p>
      <w:pPr>
        <w:jc w:val="center"/>
      </w:pPr>
      <w:r>
        <w:rPr>
          <w:rFonts w:ascii="Calibri" w:cs="Calibri" w:eastAsia="Calibri" w:hAnsi="Calibri"/>
          <w:color w:val="5B5B5B"/>
          <w:sz w:val="18"/>
          <w:szCs w:val="18"/>
        </w:rPr>
        <w:t xml:space="preserve">Plugin QGIS — CRS padrão SIRGAS 2000 / UTM 23S (EPSG:31983)</w:t>
      </w:r>
    </w:p>
    <w:p>
      <w:pPr>
        <w:spacing w:after="1400"/>
      </w:pPr>
    </w:p>
    <w:p>
      <w:pPr>
        <w:jc w:val="center"/>
      </w:pPr>
      <w:r>
        <w:rPr>
          <w:rFonts w:ascii="Calibri" w:cs="Calibri" w:eastAsia="Calibri" w:hAnsi="Calibri"/>
          <w:b/>
          <w:bCs/>
          <w:sz w:val="20"/>
          <w:szCs w:val="20"/>
        </w:rPr>
        <w:t xml:space="preserve">Helton José Carmanini Lourenço</w:t>
      </w:r>
    </w:p>
    <w:p>
      <w:pPr>
        <w:jc w:val="center"/>
      </w:pPr>
      <w:r>
        <w:rPr>
          <w:rFonts w:ascii="Calibri" w:cs="Calibri" w:eastAsia="Calibri" w:hAnsi="Calibri"/>
          <w:color w:val="5B5B5B"/>
          <w:sz w:val="19"/>
          <w:szCs w:val="19"/>
        </w:rPr>
        <w:t xml:space="preserve">Engenheiro Agrimensor — CREA-MG 141.370/D</w:t>
      </w:r>
    </w:p>
    <w:p>
      <w:pPr>
        <w:jc w:val="center"/>
      </w:pPr>
      <w:r>
        <w:rPr>
          <w:rFonts w:ascii="Calibri" w:cs="Calibri" w:eastAsia="Calibri" w:hAnsi="Calibri"/>
          <w:color w:val="5B5B5B"/>
          <w:sz w:val="19"/>
          <w:szCs w:val="19"/>
        </w:rPr>
        <w:t xml:space="preserve">Guiricema/MG</w:t>
      </w:r>
    </w:p>
    <w:p>
      <w:pPr>
        <w:pageBreakBefore/>
      </w:pPr>
    </w:p>
    <w:p>
      <w:pPr>
        <w:pStyle w:val="Heading1"/>
        <w:pBdr>
          <w:bottom w:val="single" w:color="2E7D5B" w:sz="6"/>
        </w:pBdr>
        <w:spacing w:after="200" w:before="400"/>
      </w:pPr>
      <w:r>
        <w:rPr>
          <w:rFonts w:ascii="Calibri" w:cs="Calibri" w:eastAsia="Calibri" w:hAnsi="Calibri"/>
          <w:b/>
          <w:bCs/>
          <w:color w:val="1F4E3D"/>
          <w:sz w:val="30"/>
          <w:szCs w:val="30"/>
        </w:rPr>
        <w:t xml:space="preserve">1. Visão Geral</w:t>
      </w:r>
    </w:p>
    <w:p>
      <w:pPr>
        <w:spacing w:after="140" w:line="276"/>
      </w:pPr>
      <w:r>
        <w:rPr>
          <w:rFonts w:ascii="Calibri" w:cs="Calibri" w:eastAsia="Calibri" w:hAnsi="Calibri"/>
          <w:sz w:val="21"/>
          <w:szCs w:val="21"/>
        </w:rPr>
        <w:t xml:space="preserve">O Precisa Esgoto é o plugin QGIS do escritório para projeto de redes coletoras de esgoto sanitário em loteamentos. A partir do traçado da rede e da população contribuinte (por lote ou por campo manual), calcula a vazão pela NBR 9649, dimensiona cada trecho, posiciona os Poços de Visita (PV) e gera planta, perfil longitudinal (DXF) e memória de cálculo (DOCX).</w:t>
      </w:r>
    </w:p>
    <w:p>
      <w:pPr>
        <w:spacing w:after="140" w:line="276"/>
      </w:pPr>
      <w:r>
        <w:rPr>
          <w:rFonts w:ascii="Calibri" w:cs="Calibri" w:eastAsia="Calibri" w:hAnsi="Calibri"/>
          <w:b/>
          <w:bCs/>
          <w:sz w:val="21"/>
          <w:szCs w:val="21"/>
        </w:rPr>
        <w:t xml:space="preserve">Desde a versão 1.0</w:t>
      </w:r>
      <w:r>
        <w:rPr>
          <w:rFonts w:ascii="Calibri" w:cs="Calibri" w:eastAsia="Calibri" w:hAnsi="Calibri"/>
          <w:sz w:val="21"/>
          <w:szCs w:val="21"/>
        </w:rPr>
        <w:t xml:space="preserve">, o plugin conta com o mesmo conjunto de recursos interativos já validado no Precisa Drenagem: edição de diâmetro e profundidade na tabela com recálculo em cascata, degrau no PV, simbologia orientada aos resultados, reação automática a edições no mapa e perfil longitudinal interativo.</w:t>
      </w:r>
    </w:p>
    <w:tbl>
      <w:tblPr>
        <w:tblW w:type="pct" w:w="100%"/>
        <w:tblBorders>
          <w:top w:val="single" w:color="A33B1E" w:sz="4"/>
          <w:left w:val="single" w:color="A33B1E" w:sz="4"/>
          <w:bottom w:val="single" w:color="A33B1E" w:sz="4"/>
          <w:right w:val="single" w:color="A33B1E" w:sz="4"/>
          <w:insideH w:val="none" w:color="A33B1E" w:sz="0"/>
          <w:insideV w:val="none" w:color="A33B1E" w:sz="0"/>
        </w:tblBorders>
      </w:tblPr>
      <w:tblGrid>
        <w:gridCol w:w="100"/>
      </w:tblGrid>
      <w:tr>
        <w:tc>
          <w:tcPr>
            <w:tcW w:type="pct" w:w="100%"/>
            <w:shd w:fill="FBF1EC" w:color="auto" w:val="clear"/>
            <w:tcMar>
              <w:top w:type="dxa" w:w="120"/>
              <w:left w:type="dxa" w:w="160"/>
              <w:bottom w:type="dxa" w:w="120"/>
              <w:right w:type="dxa" w:w="160"/>
            </w:tcMar>
          </w:tcPr>
          <w:p>
            <w:pPr>
              <w:spacing w:after="60"/>
            </w:pPr>
            <w:r>
              <w:rPr>
                <w:rFonts w:ascii="Calibri" w:cs="Calibri" w:eastAsia="Calibri" w:hAnsi="Calibri"/>
                <w:b/>
                <w:bCs/>
                <w:color w:val="A33B1E"/>
                <w:sz w:val="21"/>
                <w:szCs w:val="21"/>
              </w:rPr>
              <w:t xml:space="preserve">⚠ Antes de começar</w:t>
            </w:r>
          </w:p>
          <w:p>
            <w:pPr>
              <w:spacing w:after="60" w:line="264"/>
            </w:pPr>
            <w:r>
              <w:rPr>
                <w:rFonts w:ascii="Calibri" w:cs="Calibri" w:eastAsia="Calibri" w:hAnsi="Calibri"/>
                <w:sz w:val="20"/>
                <w:szCs w:val="20"/>
              </w:rPr>
              <w:t xml:space="preserve">CRS de trabalho: SIRGAS 2000 / UTM 23S (EPSG:31983).</w:t>
            </w:r>
          </w:p>
          <w:p>
            <w:pPr>
              <w:spacing w:after="60" w:line="264"/>
            </w:pPr>
            <w:r>
              <w:rPr>
                <w:rFonts w:ascii="Calibri" w:cs="Calibri" w:eastAsia="Calibri" w:hAnsi="Calibri"/>
                <w:sz w:val="20"/>
                <w:szCs w:val="20"/>
              </w:rPr>
              <w:t xml:space="preserve">Diâmetro mínimo exigido pela concessionária: DN 200 — mesmo que o cálculo hidráulico aceitasse menor.</w:t>
            </w:r>
          </w:p>
        </w:tc>
      </w:tr>
    </w:tbl>
    <w:p>
      <w:pPr>
        <w:pStyle w:val="Heading1"/>
        <w:pageBreakBefore/>
        <w:pBdr>
          <w:bottom w:val="single" w:color="2E7D5B" w:sz="6"/>
        </w:pBdr>
        <w:spacing w:after="200" w:before="400"/>
      </w:pPr>
      <w:r>
        <w:rPr>
          <w:rFonts w:ascii="Calibri" w:cs="Calibri" w:eastAsia="Calibri" w:hAnsi="Calibri"/>
          <w:b/>
          <w:bCs/>
          <w:color w:val="1F4E3D"/>
          <w:sz w:val="30"/>
          <w:szCs w:val="30"/>
        </w:rPr>
        <w:t xml:space="preserve">2. Fluxo de Trabalho Recomendado</w:t>
      </w:r>
    </w:p>
    <w:p>
      <w:pPr>
        <w:pStyle w:val="ListParagraph"/>
        <w:numPr>
          <w:ilvl w:val="0"/>
          <w:numId w:val="2"/>
        </w:numPr>
        <w:spacing w:after="90" w:line="264"/>
      </w:pPr>
      <w:r>
        <w:rPr>
          <w:rFonts w:ascii="Calibri" w:cs="Calibri" w:eastAsia="Calibri" w:hAnsi="Calibri"/>
          <w:sz w:val="21"/>
          <w:szCs w:val="21"/>
        </w:rPr>
        <w:t xml:space="preserve">Preencher os dados do projeto (empreendimento, proprietário, município, RT).</w:t>
      </w:r>
    </w:p>
    <w:p>
      <w:pPr>
        <w:pStyle w:val="ListParagraph"/>
        <w:numPr>
          <w:ilvl w:val="0"/>
          <w:numId w:val="2"/>
        </w:numPr>
        <w:spacing w:after="90" w:line="264"/>
      </w:pPr>
      <w:r>
        <w:rPr>
          <w:rFonts w:ascii="Calibri" w:cs="Calibri" w:eastAsia="Calibri" w:hAnsi="Calibri"/>
          <w:sz w:val="21"/>
          <w:szCs w:val="21"/>
        </w:rPr>
        <w:t xml:space="preserve">Selecionar a rede (linha) e o MDT do terreno.</w:t>
      </w:r>
    </w:p>
    <w:p>
      <w:pPr>
        <w:pStyle w:val="ListParagraph"/>
        <w:numPr>
          <w:ilvl w:val="0"/>
          <w:numId w:val="2"/>
        </w:numPr>
        <w:spacing w:after="90" w:line="264"/>
      </w:pPr>
      <w:r>
        <w:rPr>
          <w:rFonts w:ascii="Calibri" w:cs="Calibri" w:eastAsia="Calibri" w:hAnsi="Calibri"/>
          <w:sz w:val="21"/>
          <w:szCs w:val="21"/>
        </w:rPr>
        <w:t xml:space="preserve">Definir a origem da população: campo manual na própria rede OU camada de lotes (recomendado — mais preciso e automático).</w:t>
      </w:r>
    </w:p>
    <w:p>
      <w:pPr>
        <w:pStyle w:val="ListParagraph"/>
        <w:numPr>
          <w:ilvl w:val="0"/>
          <w:numId w:val="2"/>
        </w:numPr>
        <w:spacing w:after="90" w:line="264"/>
      </w:pPr>
      <w:r>
        <w:rPr>
          <w:rFonts w:ascii="Calibri" w:cs="Calibri" w:eastAsia="Calibri" w:hAnsi="Calibri"/>
          <w:sz w:val="21"/>
          <w:szCs w:val="21"/>
        </w:rPr>
        <w:t xml:space="preserve">Ajustar os parâmetros hidráulicos.</w:t>
      </w:r>
    </w:p>
    <w:p>
      <w:pPr>
        <w:pStyle w:val="ListParagraph"/>
        <w:numPr>
          <w:ilvl w:val="0"/>
          <w:numId w:val="2"/>
        </w:numPr>
        <w:spacing w:after="90" w:line="264"/>
      </w:pPr>
      <w:r>
        <w:rPr>
          <w:rFonts w:ascii="Calibri" w:cs="Calibri" w:eastAsia="Calibri" w:hAnsi="Calibri"/>
          <w:sz w:val="21"/>
          <w:szCs w:val="21"/>
        </w:rPr>
        <w:t xml:space="preserve">Clicar em "Calcular" e revisar alertas.</w:t>
      </w:r>
    </w:p>
    <w:p>
      <w:pPr>
        <w:pStyle w:val="ListParagraph"/>
        <w:numPr>
          <w:ilvl w:val="0"/>
          <w:numId w:val="2"/>
        </w:numPr>
        <w:spacing w:after="90" w:line="264"/>
      </w:pPr>
      <w:r>
        <w:rPr>
          <w:rFonts w:ascii="Calibri" w:cs="Calibri" w:eastAsia="Calibri" w:hAnsi="Calibri"/>
          <w:sz w:val="21"/>
          <w:szCs w:val="21"/>
        </w:rPr>
        <w:t xml:space="preserve">Ajustar DN/profundidade pontualmente, se necessário.</w:t>
      </w:r>
    </w:p>
    <w:p>
      <w:pPr>
        <w:pStyle w:val="ListParagraph"/>
        <w:numPr>
          <w:ilvl w:val="0"/>
          <w:numId w:val="2"/>
        </w:numPr>
        <w:spacing w:after="90" w:line="264"/>
      </w:pPr>
      <w:r>
        <w:rPr>
          <w:rFonts w:ascii="Calibri" w:cs="Calibri" w:eastAsia="Calibri" w:hAnsi="Calibri"/>
          <w:sz w:val="21"/>
          <w:szCs w:val="21"/>
        </w:rPr>
        <w:t xml:space="preserve">Exportar CSV, perfil DXF, planta DXF e memória DOCX.</w:t>
      </w:r>
    </w:p>
    <w:p>
      <w:pPr>
        <w:pStyle w:val="Heading1"/>
        <w:pBdr>
          <w:bottom w:val="single" w:color="2E7D5B" w:sz="6"/>
        </w:pBdr>
        <w:spacing w:after="200" w:before="400"/>
      </w:pPr>
      <w:r>
        <w:rPr>
          <w:rFonts w:ascii="Calibri" w:cs="Calibri" w:eastAsia="Calibri" w:hAnsi="Calibri"/>
          <w:b/>
          <w:bCs/>
          <w:color w:val="1F4E3D"/>
          <w:sz w:val="30"/>
          <w:szCs w:val="30"/>
        </w:rPr>
        <w:t xml:space="preserve">3. Dados do Projeto</w:t>
      </w:r>
    </w:p>
    <w:p>
      <w:pPr>
        <w:spacing w:after="140" w:line="276"/>
      </w:pPr>
      <w:r>
        <w:rPr>
          <w:rFonts w:ascii="Calibri" w:cs="Calibri" w:eastAsia="Calibri" w:hAnsi="Calibri"/>
          <w:sz w:val="21"/>
          <w:szCs w:val="21"/>
        </w:rPr>
        <w:t xml:space="preserve">Grupo "Dados do Projeto (memória de cálculo)" — usado apenas na memória final, não afeta o cálculo hidráulico: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51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Padrão</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Empreendimento / Obra</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(vazio — obriga preencher antes de assinar)</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Proprietário</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(vazio)</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Município / UF</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(vazio)</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Data de elaboração</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data de hoje</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Responsável Técnico (RT)</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Helton J. C. Lourenço</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Título profissional</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Engenheiro Agrimensor</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Registro profissional (CREA/CAU)</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CREA-MG 141.370/D</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ART/RRT</w:t>
            </w:r>
          </w:p>
        </w:tc>
        <w:tc>
          <w:tcPr>
            <w:tcW w:type="dxa" w:w="5160"/>
            <w:tcMar>
              <w:top w:type="dxa" w:w="80"/>
              <w:left w:type="dxa" w:w="100"/>
              <w:bottom w:type="dxa" w:w="80"/>
              <w:right w:type="dxa" w:w="100"/>
            </w:tcMar>
          </w:tcPr>
          <w:p>
            <w:r>
              <w:rPr>
                <w:rFonts w:ascii="Calibri" w:cs="Calibri" w:eastAsia="Calibri" w:hAnsi="Calibri"/>
                <w:b w:val="false"/>
                <w:bCs w:val="false"/>
                <w:color w:val="222222"/>
                <w:sz w:val="19"/>
                <w:szCs w:val="19"/>
              </w:rPr>
              <w:t xml:space="preserve">(vazio — número novo a cada projeto)</w:t>
            </w:r>
          </w:p>
        </w:tc>
      </w:tr>
    </w:tbl>
    <w:tbl>
      <w:tblPr>
        <w:tblW w:type="pct" w:w="100%"/>
        <w:tblBorders>
          <w:top w:val="single" w:color="A33B1E" w:sz="4"/>
          <w:left w:val="single" w:color="A33B1E" w:sz="4"/>
          <w:bottom w:val="single" w:color="A33B1E" w:sz="4"/>
          <w:right w:val="single" w:color="A33B1E" w:sz="4"/>
          <w:insideH w:val="none" w:color="A33B1E" w:sz="0"/>
          <w:insideV w:val="none" w:color="A33B1E" w:sz="0"/>
        </w:tblBorders>
      </w:tblPr>
      <w:tblGrid>
        <w:gridCol w:w="100"/>
      </w:tblGrid>
      <w:tr>
        <w:tc>
          <w:tcPr>
            <w:tcW w:type="pct" w:w="100%"/>
            <w:shd w:fill="FBF1EC" w:color="auto" w:val="clear"/>
            <w:tcMar>
              <w:top w:type="dxa" w:w="120"/>
              <w:left w:type="dxa" w:w="160"/>
              <w:bottom w:type="dxa" w:w="120"/>
              <w:right w:type="dxa" w:w="160"/>
            </w:tcMar>
          </w:tcPr>
          <w:p>
            <w:pPr>
              <w:spacing w:after="60"/>
            </w:pPr>
            <w:r>
              <w:rPr>
                <w:rFonts w:ascii="Calibri" w:cs="Calibri" w:eastAsia="Calibri" w:hAnsi="Calibri"/>
                <w:b/>
                <w:bCs/>
                <w:color w:val="A33B1E"/>
                <w:sz w:val="21"/>
                <w:szCs w:val="21"/>
              </w:rPr>
              <w:t xml:space="preserve">⚠ Campo deixado em branco sai em branco no documento</w:t>
            </w:r>
          </w:p>
          <w:p>
            <w:pPr>
              <w:spacing w:after="60" w:line="264"/>
            </w:pPr>
            <w:r>
              <w:rPr>
                <w:rFonts w:ascii="Calibri" w:cs="Calibri" w:eastAsia="Calibri" w:hAnsi="Calibri"/>
                <w:sz w:val="20"/>
                <w:szCs w:val="20"/>
              </w:rPr>
              <w:t xml:space="preserve">O plugin não preenche mais nenhum valor de município/empreendimento por conta própria — confira estes campos antes de gerar a memória final, para não assinar documento com dado incompleto.</w:t>
            </w:r>
          </w:p>
        </w:tc>
      </w:tr>
    </w:tbl>
    <w:p>
      <w:pPr>
        <w:pStyle w:val="Heading1"/>
        <w:pBdr>
          <w:bottom w:val="single" w:color="2E7D5B" w:sz="6"/>
        </w:pBdr>
        <w:spacing w:after="200" w:before="400"/>
      </w:pPr>
      <w:r>
        <w:rPr>
          <w:rFonts w:ascii="Calibri" w:cs="Calibri" w:eastAsia="Calibri" w:hAnsi="Calibri"/>
          <w:b/>
          <w:bCs/>
          <w:color w:val="1F4E3D"/>
          <w:sz w:val="30"/>
          <w:szCs w:val="30"/>
        </w:rPr>
        <w:t xml:space="preserve">4. Entradas e População</w:t>
      </w:r>
    </w:p>
    <w:p>
      <w:pPr>
        <w:pStyle w:val="Heading2"/>
        <w:spacing w:after="120" w:before="300"/>
      </w:pPr>
      <w:r>
        <w:rPr>
          <w:rFonts w:ascii="Calibri" w:cs="Calibri" w:eastAsia="Calibri" w:hAnsi="Calibri"/>
          <w:b/>
          <w:bCs/>
          <w:color w:val="2E7D5B"/>
          <w:sz w:val="24"/>
          <w:szCs w:val="24"/>
        </w:rPr>
        <w:t xml:space="preserve">4.1 Entradas básicas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61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Descrição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Rede (linha)</w:t>
            </w:r>
          </w:p>
        </w:tc>
        <w:tc>
          <w:tcPr>
            <w:tcW w:type="dxa" w:w="6160"/>
            <w:tcMar>
              <w:top w:type="dxa" w:w="80"/>
              <w:left w:type="dxa" w:w="100"/>
              <w:bottom w:type="dxa" w:w="80"/>
              <w:right w:type="dxa" w:w="100"/>
            </w:tcMar>
          </w:tcPr>
          <w:p>
            <w:r>
              <w:rPr>
                <w:rFonts w:ascii="Calibri" w:cs="Calibri" w:eastAsia="Calibri" w:hAnsi="Calibri"/>
                <w:b w:val="false"/>
                <w:bCs w:val="false"/>
                <w:color w:val="222222"/>
                <w:sz w:val="19"/>
                <w:szCs w:val="19"/>
              </w:rPr>
              <w:t xml:space="preserve">Traçado da rede coletora.</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MDT terreno (raster)</w:t>
            </w:r>
          </w:p>
        </w:tc>
        <w:tc>
          <w:tcPr>
            <w:tcW w:type="dxa" w:w="6160"/>
            <w:tcMar>
              <w:top w:type="dxa" w:w="80"/>
              <w:left w:type="dxa" w:w="100"/>
              <w:bottom w:type="dxa" w:w="80"/>
              <w:right w:type="dxa" w:w="100"/>
            </w:tcMar>
          </w:tcPr>
          <w:p>
            <w:r>
              <w:rPr>
                <w:rFonts w:ascii="Calibri" w:cs="Calibri" w:eastAsia="Calibri" w:hAnsi="Calibri"/>
                <w:b w:val="false"/>
                <w:bCs w:val="false"/>
                <w:color w:val="222222"/>
                <w:sz w:val="19"/>
                <w:szCs w:val="19"/>
              </w:rPr>
              <w:t xml:space="preserve">Modelo digital do terreno.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Campo população/trecho (manual)</w:t>
            </w:r>
          </w:p>
        </w:tc>
        <w:tc>
          <w:tcPr>
            <w:tcW w:type="dxa" w:w="6160"/>
            <w:tcMar>
              <w:top w:type="dxa" w:w="80"/>
              <w:left w:type="dxa" w:w="100"/>
              <w:bottom w:type="dxa" w:w="80"/>
              <w:right w:type="dxa" w:w="100"/>
            </w:tcMar>
          </w:tcPr>
          <w:p>
            <w:r>
              <w:rPr>
                <w:rFonts w:ascii="Calibri" w:cs="Calibri" w:eastAsia="Calibri" w:hAnsi="Calibri"/>
                <w:b w:val="false"/>
                <w:bCs w:val="false"/>
                <w:color w:val="222222"/>
                <w:sz w:val="19"/>
                <w:szCs w:val="19"/>
              </w:rPr>
              <w:t xml:space="preserve">Campo numérico na própria rede com a população já atribuída por trecho — usado só se a camada de lotes abaixo não for informada.</w:t>
            </w:r>
          </w:p>
        </w:tc>
      </w:tr>
    </w:tbl>
    <w:p>
      <w:pPr>
        <w:pStyle w:val="Heading2"/>
        <w:spacing w:after="120" w:before="300"/>
      </w:pPr>
      <w:r>
        <w:rPr>
          <w:rFonts w:ascii="Calibri" w:cs="Calibri" w:eastAsia="Calibri" w:hAnsi="Calibri"/>
          <w:b/>
          <w:bCs/>
          <w:color w:val="2E7D5B"/>
          <w:sz w:val="24"/>
          <w:szCs w:val="24"/>
        </w:rPr>
        <w:t xml:space="preserve">4.2 População pelos lotes (recomendado)</w:t>
      </w:r>
    </w:p>
    <w:p>
      <w:pPr>
        <w:spacing w:after="140" w:line="276"/>
      </w:pPr>
      <w:r>
        <w:rPr>
          <w:rFonts w:ascii="Calibri" w:cs="Calibri" w:eastAsia="Calibri" w:hAnsi="Calibri"/>
          <w:sz w:val="21"/>
          <w:szCs w:val="21"/>
        </w:rPr>
        <w:t xml:space="preserve">Grupo "População pelos lotes (opcional — prioridade sobre o campo manual acima)". Quando uma camada de lotes é selecionada, ela sempre tem prioridade sobre o campo manual da rede. Cada lote vendável contribui habitantes para o trecho mais próximo do seu centroide (mesmo critério usado no pipeline de geração da rede).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16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Padrão</w:t>
            </w:r>
          </w:p>
        </w:tc>
        <w:tc>
          <w:tcPr>
            <w:tcW w:type="dxa" w:w="45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Observação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Lotes (polígono)</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(nenhum)</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Camada de lotes do loteamento.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Campo quadra</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(nenhum)</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Usado para reconhecer prefixo de área não vendável.</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Campo unidades/lote (opcional)</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(nenhum)</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Para condomínio/prédio com mais de uma unidade habitacional no mesmo lote — tem prioridade sobre o valor único digitado abaixo.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Unidades/lote (valor único)</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1</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Usado quando nenhum campo de unidades é selecionado.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Prefixos não vendáveis</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A.I,AI,A.V,AV</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Lotes cuja quadra começa com um destes prefixos não entram na população (área institucional/verde).</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Habitantes por lote (ou por unidade)</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4,0</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Densidade populacional de fim de plano — padrão do escritório.</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Distância máx. lote→trecho (m)</w:t>
            </w:r>
          </w:p>
        </w:tc>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250</w:t>
            </w:r>
          </w:p>
        </w:tc>
        <w:tc>
          <w:tcPr>
            <w:tcW w:type="dxa" w:w="4560"/>
            <w:tcMar>
              <w:top w:type="dxa" w:w="80"/>
              <w:left w:type="dxa" w:w="100"/>
              <w:bottom w:type="dxa" w:w="80"/>
              <w:right w:type="dxa" w:w="100"/>
            </w:tcMar>
          </w:tcPr>
          <w:p>
            <w:r>
              <w:rPr>
                <w:rFonts w:ascii="Calibri" w:cs="Calibri" w:eastAsia="Calibri" w:hAnsi="Calibri"/>
                <w:b w:val="false"/>
                <w:bCs w:val="false"/>
                <w:color w:val="222222"/>
                <w:sz w:val="19"/>
                <w:szCs w:val="19"/>
              </w:rPr>
              <w:t xml:space="preserve">Lote mais distante que isso do trecho mais próximo fica sem trecho associado (contabilizado como "sem dono" no log).</w:t>
            </w:r>
          </w:p>
        </w:tc>
      </w:tr>
    </w:tbl>
    <w:tbl>
      <w:tblPr>
        <w:tblW w:type="pct" w:w="100%"/>
        <w:tblBorders>
          <w:top w:val="single" w:color="A33B1E" w:sz="4"/>
          <w:left w:val="single" w:color="A33B1E" w:sz="4"/>
          <w:bottom w:val="single" w:color="A33B1E" w:sz="4"/>
          <w:right w:val="single" w:color="A33B1E" w:sz="4"/>
          <w:insideH w:val="none" w:color="A33B1E" w:sz="0"/>
          <w:insideV w:val="none" w:color="A33B1E" w:sz="0"/>
        </w:tblBorders>
      </w:tblPr>
      <w:tblGrid>
        <w:gridCol w:w="100"/>
      </w:tblGrid>
      <w:tr>
        <w:tc>
          <w:tcPr>
            <w:tcW w:type="pct" w:w="100%"/>
            <w:shd w:fill="FBF1EC" w:color="auto" w:val="clear"/>
            <w:tcMar>
              <w:top w:type="dxa" w:w="120"/>
              <w:left w:type="dxa" w:w="160"/>
              <w:bottom w:type="dxa" w:w="120"/>
              <w:right w:type="dxa" w:w="160"/>
            </w:tcMar>
          </w:tcPr>
          <w:p>
            <w:pPr>
              <w:spacing w:after="60"/>
            </w:pPr>
            <w:r>
              <w:rPr>
                <w:rFonts w:ascii="Calibri" w:cs="Calibri" w:eastAsia="Calibri" w:hAnsi="Calibri"/>
                <w:b/>
                <w:bCs/>
                <w:color w:val="A33B1E"/>
                <w:sz w:val="21"/>
                <w:szCs w:val="21"/>
              </w:rPr>
              <w:t xml:space="preserve">⚠ Confira o prefixo de área não vendável ao adicionar uma sigla nova</w:t>
            </w:r>
          </w:p>
          <w:p>
            <w:pPr>
              <w:spacing w:after="60" w:line="264"/>
            </w:pPr>
            <w:r>
              <w:rPr>
                <w:rFonts w:ascii="Calibri" w:cs="Calibri" w:eastAsia="Calibri" w:hAnsi="Calibri"/>
                <w:sz w:val="20"/>
                <w:szCs w:val="20"/>
              </w:rPr>
              <w:t xml:space="preserve">Se o loteamento usar uma sigla de área não vendável diferente das já cadastradas (A.I, AI, A.V, AV), adicione-a no campo "Prefixos não vendáveis" separada por vírgula. Esquecer isso faz uma área institucional ou verde entrar como lote residencial normal na contagem de população.</w:t>
            </w:r>
          </w:p>
        </w:tc>
      </w:tr>
    </w:tbl>
    <w:p>
      <w:pPr>
        <w:pStyle w:val="Heading1"/>
        <w:pageBreakBefore/>
        <w:pBdr>
          <w:bottom w:val="single" w:color="2E7D5B" w:sz="6"/>
        </w:pBdr>
        <w:spacing w:after="200" w:before="400"/>
      </w:pPr>
      <w:r>
        <w:rPr>
          <w:rFonts w:ascii="Calibri" w:cs="Calibri" w:eastAsia="Calibri" w:hAnsi="Calibri"/>
          <w:b/>
          <w:bCs/>
          <w:color w:val="1F4E3D"/>
          <w:sz w:val="30"/>
          <w:szCs w:val="30"/>
        </w:rPr>
        <w:t xml:space="preserve">5. Segmentação Automática</w:t>
      </w:r>
    </w:p>
    <w:p>
      <w:pPr>
        <w:spacing w:after="140" w:line="276"/>
      </w:pPr>
      <w:r>
        <w:rPr>
          <w:rFonts w:ascii="Calibri" w:cs="Calibri" w:eastAsia="Calibri" w:hAnsi="Calibri"/>
          <w:sz w:val="21"/>
          <w:szCs w:val="21"/>
        </w:rPr>
        <w:t xml:space="preserve">Grupo "Segmentação automática de trechos" — checkbox "Quebrar a rede automaticamente (nó em cada cruzamento, cada mudança de direção e por espaçamento máximo)", marcado por padrão. Sem ela, cada feição da camada de rede vira um único trecho do primeiro ao último ponto, sem PV em cruzamento nem em mudança de direção — necessário quando a camada carregada é o eixo bruto (uma feição por rua inteira).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Parâmetro</w:t>
            </w:r>
          </w:p>
        </w:tc>
        <w:tc>
          <w:tcPr>
            <w:tcW w:type="dxa" w:w="258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Padrão</w:t>
            </w:r>
          </w:p>
        </w:tc>
        <w:tc>
          <w:tcPr>
            <w:tcW w:type="dxa" w:w="258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Faixa</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Espaçamento máx. entre PV (m)</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60,0</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10 – 200</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Trecho mínimo (m)</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12,0</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1 – 50</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Tolerância de cruzamento (m)</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0,5</w:t>
            </w:r>
          </w:p>
        </w:tc>
        <w:tc>
          <w:tcPr>
            <w:tcW w:type="dxa" w:w="2580"/>
            <w:tcMar>
              <w:top w:type="dxa" w:w="80"/>
              <w:left w:type="dxa" w:w="100"/>
              <w:bottom w:type="dxa" w:w="80"/>
              <w:right w:type="dxa" w:w="100"/>
            </w:tcMar>
          </w:tcPr>
          <w:p>
            <w:r>
              <w:rPr>
                <w:rFonts w:ascii="Calibri" w:cs="Calibri" w:eastAsia="Calibri" w:hAnsi="Calibri"/>
                <w:b w:val="false"/>
                <w:bCs w:val="false"/>
                <w:color w:val="222222"/>
                <w:sz w:val="19"/>
                <w:szCs w:val="19"/>
              </w:rPr>
              <w:t xml:space="preserve">0,05 – 5</w:t>
            </w:r>
          </w:p>
        </w:tc>
      </w:tr>
    </w:tbl>
    <w:p>
      <w:pPr>
        <w:pStyle w:val="Heading1"/>
        <w:pBdr>
          <w:bottom w:val="single" w:color="2E7D5B" w:sz="6"/>
        </w:pBdr>
        <w:spacing w:after="200" w:before="400"/>
      </w:pPr>
      <w:r>
        <w:rPr>
          <w:rFonts w:ascii="Calibri" w:cs="Calibri" w:eastAsia="Calibri" w:hAnsi="Calibri"/>
          <w:b/>
          <w:bCs/>
          <w:color w:val="1F4E3D"/>
          <w:sz w:val="30"/>
          <w:szCs w:val="30"/>
        </w:rPr>
        <w:t xml:space="preserve">6. Parâmetros Hidráulicos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Parâmetro</w:t>
            </w:r>
          </w:p>
        </w:tc>
        <w:tc>
          <w:tcPr>
            <w:tcW w:type="dxa" w:w="14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Padrão</w:t>
            </w:r>
          </w:p>
        </w:tc>
        <w:tc>
          <w:tcPr>
            <w:tcW w:type="dxa" w:w="14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Faixa</w:t>
            </w:r>
          </w:p>
        </w:tc>
        <w:tc>
          <w:tcPr>
            <w:tcW w:type="dxa" w:w="39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Observação</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Consumo (L/hab·dia)</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150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50 – 500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Coef. retorno C</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0,80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0,50 – 1,00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Fração do consumo que retorna como esgoto.</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k1</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1,20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1,00 – 2,00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Coeficiente do dia de maior consumo.</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k2</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1,50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1,00 – 2,00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Coeficiente da hora de maior consumo.</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Infiltração</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automática</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Calculada pela COPASA T-194: 0,00033 L/s por metro de rede ou 25% da vazão média, o que for maior — não é campo editável.</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n de Manning</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0,013</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0,008 – 0,030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Concreto.</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Q mínima (L/s)</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1,5</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0,5 – 10,0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Tensão trativa mín. σt (Pa)</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0,5 – 3,0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NBR 9649 — garante autolimpeza do tubo (no esgoto quem garante autolimpeza é a tensão trativa, não a velocidade mínima).</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Recobrimento (m)</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0,90</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0,40 – 5,0</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Padrão da rua (COPASA T-194 permite vala até 3,50 m).</w:t>
            </w:r>
          </w:p>
        </w:tc>
      </w:tr>
    </w:tbl>
    <w:p>
      <w:pPr>
        <w:spacing w:after="140" w:line="276"/>
      </w:pPr>
      <w:r>
        <w:rPr>
          <w:rFonts w:ascii="Calibri" w:cs="Calibri" w:eastAsia="Calibri" w:hAnsi="Calibri"/>
          <w:sz w:val="21"/>
          <w:szCs w:val="21"/>
        </w:rPr>
        <w:t xml:space="preserve">Diâmetro mínimo: DN 200 — exigência da concessionária, não do cálculo hidráulico. Lâmina máxima: y/D ≤ 0,75. Diretriz na caixa da rua: galeria de drenagem no eixo, esgoto de um lado, água do outro — água e esgoto sempre em lados opostos, com afastamento horizontal mínimo de 1,00 m (NBR 12266).</w:t>
      </w:r>
    </w:p>
    <w:p>
      <w:pPr>
        <w:pStyle w:val="Heading1"/>
        <w:pageBreakBefore/>
        <w:pBdr>
          <w:bottom w:val="single" w:color="2E7D5B" w:sz="6"/>
        </w:pBdr>
        <w:spacing w:after="200" w:before="400"/>
      </w:pPr>
      <w:r>
        <w:rPr>
          <w:rFonts w:ascii="Calibri" w:cs="Calibri" w:eastAsia="Calibri" w:hAnsi="Calibri"/>
          <w:b/>
          <w:bCs/>
          <w:color w:val="1F4E3D"/>
          <w:sz w:val="30"/>
          <w:szCs w:val="30"/>
        </w:rPr>
        <w:t xml:space="preserve">7. Calcular e Ler a Tabela de Resultados</w:t>
      </w:r>
    </w:p>
    <w:p>
      <w:pPr>
        <w:spacing w:after="140" w:line="276"/>
      </w:pPr>
      <w:r>
        <w:rPr>
          <w:rFonts w:ascii="Calibri" w:cs="Calibri" w:eastAsia="Calibri" w:hAnsi="Calibri"/>
          <w:sz w:val="21"/>
          <w:szCs w:val="21"/>
        </w:rPr>
        <w:t xml:space="preserve">Tabela com 11 colunas: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Coluna</w:t>
            </w:r>
          </w:p>
        </w:tc>
        <w:tc>
          <w:tcPr>
            <w:tcW w:type="dxa" w:w="11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Editável?</w:t>
            </w:r>
          </w:p>
        </w:tc>
        <w:tc>
          <w:tcPr>
            <w:tcW w:type="dxa" w:w="69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Significado</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Trecho</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Identificador do trecho.</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DN(mm)</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SIM</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Diâmetro nominal (mínimo DN 200). Editar recalcula em cascata a jusante.</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S(%)</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Declividade do trecho.</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Q(L/s)</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Vazão de projeto acumulada.</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V(m/s)</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Velocidade.</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y/D</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Lâmina relativa.</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σt(Pa)</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Tensão trativa — abaixo do mínimo, risco de assoreamento.</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Prof.mont</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SIM</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Profundidade de montante. Editar força o greide e recalcula a jusante.</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Prof.jus</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Profundidade de jusante, resultante.</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Degrau PV(m)</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Diferença de cota entre a chegada mais rasa e a saída do PV.</w:t>
            </w:r>
          </w:p>
        </w:tc>
      </w:tr>
      <w:tr>
        <w:tc>
          <w:tcPr>
            <w:tcW w:type="dxa" w:w="1300"/>
            <w:tcMar>
              <w:top w:type="dxa" w:w="80"/>
              <w:left w:type="dxa" w:w="100"/>
              <w:bottom w:type="dxa" w:w="80"/>
              <w:right w:type="dxa" w:w="100"/>
            </w:tcMar>
          </w:tcPr>
          <w:p>
            <w:r>
              <w:rPr>
                <w:rFonts w:ascii="Calibri" w:cs="Calibri" w:eastAsia="Calibri" w:hAnsi="Calibri"/>
                <w:b w:val="false"/>
                <w:bCs w:val="false"/>
                <w:color w:val="222222"/>
                <w:sz w:val="19"/>
                <w:szCs w:val="19"/>
              </w:rPr>
              <w:t xml:space="preserve">Alerta</w:t>
            </w:r>
          </w:p>
        </w:tc>
        <w:tc>
          <w:tcPr>
            <w:tcW w:type="dxa" w:w="1100"/>
            <w:tcMar>
              <w:top w:type="dxa" w:w="80"/>
              <w:left w:type="dxa" w:w="100"/>
              <w:bottom w:type="dxa" w:w="80"/>
              <w:right w:type="dxa" w:w="100"/>
            </w:tcMar>
          </w:tcPr>
          <w:p>
            <w:r>
              <w:rPr>
                <w:rFonts w:ascii="Calibri" w:cs="Calibri" w:eastAsia="Calibri" w:hAnsi="Calibri"/>
                <w:b w:val="false"/>
                <w:bCs w:val="false"/>
                <w:color w:val="222222"/>
                <w:sz w:val="19"/>
                <w:szCs w:val="19"/>
              </w:rPr>
              <w:t xml:space="preserve">não</w:t>
            </w:r>
          </w:p>
        </w:tc>
        <w:tc>
          <w:tcPr>
            <w:tcW w:type="dxa" w:w="6960"/>
            <w:tcMar>
              <w:top w:type="dxa" w:w="80"/>
              <w:left w:type="dxa" w:w="100"/>
              <w:bottom w:type="dxa" w:w="80"/>
              <w:right w:type="dxa" w:w="100"/>
            </w:tcMar>
          </w:tcPr>
          <w:p>
            <w:r>
              <w:rPr>
                <w:rFonts w:ascii="Calibri" w:cs="Calibri" w:eastAsia="Calibri" w:hAnsi="Calibri"/>
                <w:b w:val="false"/>
                <w:bCs w:val="false"/>
                <w:color w:val="222222"/>
                <w:sz w:val="19"/>
                <w:szCs w:val="19"/>
              </w:rPr>
              <w:t xml:space="preserve">Velocidade, lâmina, tensão trativa ou diâmetro insuficiente.</w:t>
            </w:r>
          </w:p>
        </w:tc>
      </w:tr>
    </w:tbl>
    <w:tbl>
      <w:tblPr>
        <w:tblW w:type="pct" w:w="100%"/>
        <w:tblBorders>
          <w:top w:val="single" w:color="A33B1E" w:sz="4"/>
          <w:left w:val="single" w:color="A33B1E" w:sz="4"/>
          <w:bottom w:val="single" w:color="A33B1E" w:sz="4"/>
          <w:right w:val="single" w:color="A33B1E" w:sz="4"/>
          <w:insideH w:val="none" w:color="A33B1E" w:sz="0"/>
          <w:insideV w:val="none" w:color="A33B1E" w:sz="0"/>
        </w:tblBorders>
      </w:tblPr>
      <w:tblGrid>
        <w:gridCol w:w="100"/>
      </w:tblGrid>
      <w:tr>
        <w:tc>
          <w:tcPr>
            <w:tcW w:type="pct" w:w="100%"/>
            <w:shd w:fill="FBF1EC" w:color="auto" w:val="clear"/>
            <w:tcMar>
              <w:top w:type="dxa" w:w="120"/>
              <w:left w:type="dxa" w:w="160"/>
              <w:bottom w:type="dxa" w:w="120"/>
              <w:right w:type="dxa" w:w="160"/>
            </w:tcMar>
          </w:tcPr>
          <w:p>
            <w:pPr>
              <w:spacing w:after="60"/>
            </w:pPr>
            <w:r>
              <w:rPr>
                <w:rFonts w:ascii="Calibri" w:cs="Calibri" w:eastAsia="Calibri" w:hAnsi="Calibri"/>
                <w:b/>
                <w:bCs/>
                <w:color w:val="A33B1E"/>
                <w:sz w:val="21"/>
                <w:szCs w:val="21"/>
              </w:rPr>
              <w:t xml:space="preserve">⚠ Editar DN insuficiente não é bloqueado — vira alerta</w:t>
            </w:r>
          </w:p>
          <w:p>
            <w:pPr>
              <w:spacing w:after="60" w:line="264"/>
            </w:pPr>
            <w:r>
              <w:rPr>
                <w:rFonts w:ascii="Calibri" w:cs="Calibri" w:eastAsia="Calibri" w:hAnsi="Calibri"/>
                <w:sz w:val="20"/>
                <w:szCs w:val="20"/>
              </w:rPr>
              <w:t xml:space="preserve">Forçar um DN cuja lâmina ultrapasse y/D = 0,75 não é recusado: aparece como alerta na coluna correspondente. "Calcular" do zero descarta todos os overrides manuais.</w:t>
            </w:r>
          </w:p>
        </w:tc>
      </w:tr>
    </w:tbl>
    <w:p>
      <w:pPr>
        <w:pStyle w:val="Heading2"/>
        <w:spacing w:after="120" w:before="300"/>
      </w:pPr>
      <w:r>
        <w:rPr>
          <w:rFonts w:ascii="Calibri" w:cs="Calibri" w:eastAsia="Calibri" w:hAnsi="Calibri"/>
          <w:b/>
          <w:bCs/>
          <w:color w:val="2E7D5B"/>
          <w:sz w:val="24"/>
          <w:szCs w:val="24"/>
        </w:rPr>
        <w:t xml:space="preserve">7.1 Efeito Dominó</w:t>
      </w:r>
    </w:p>
    <w:p>
      <w:pPr>
        <w:spacing w:after="140" w:line="276"/>
      </w:pPr>
      <w:r>
        <w:rPr>
          <w:rFonts w:ascii="Calibri" w:cs="Calibri" w:eastAsia="Calibri" w:hAnsi="Calibri"/>
          <w:sz w:val="21"/>
          <w:szCs w:val="21"/>
        </w:rPr>
        <w:t xml:space="preserve">Editar a população de um trecho direto na tabela de atributos da rede, OU editar um atributo na camada de lotes (quando ela é a origem da população), dispara o recálculo automaticamente, sem precisar reabrir o diálogo nem clicar em "Calcular".</w:t>
      </w:r>
    </w:p>
    <w:p>
      <w:pPr>
        <w:pStyle w:val="Heading2"/>
        <w:spacing w:after="120" w:before="300"/>
      </w:pPr>
      <w:r>
        <w:rPr>
          <w:rFonts w:ascii="Calibri" w:cs="Calibri" w:eastAsia="Calibri" w:hAnsi="Calibri"/>
          <w:b/>
          <w:bCs/>
          <w:color w:val="2E7D5B"/>
          <w:sz w:val="24"/>
          <w:szCs w:val="24"/>
        </w:rPr>
        <w:t xml:space="preserve">7.2 Topologia Viva e Inversão Manual</w:t>
      </w:r>
    </w:p>
    <w:p>
      <w:pPr>
        <w:spacing w:after="140" w:line="276"/>
      </w:pPr>
      <w:r>
        <w:rPr>
          <w:rFonts w:ascii="Calibri" w:cs="Calibri" w:eastAsia="Calibri" w:hAnsi="Calibri"/>
          <w:sz w:val="21"/>
          <w:szCs w:val="21"/>
        </w:rPr>
        <w:t xml:space="preserve">Mover ou inserir vértice na rede (ferramentas nativas do QGIS) dispara o recálculo. Para forçar o sentido de escoamento de um trecho específico contra a regra automática (cota do terreno / árvore até o nó de descarga), selecione-o na tabela e use "Inverter sentido do trecho selecionado".</w:t>
      </w:r>
    </w:p>
    <w:p>
      <w:pPr>
        <w:pStyle w:val="Heading1"/>
        <w:pageBreakBefore/>
        <w:pBdr>
          <w:bottom w:val="single" w:color="2E7D5B" w:sz="6"/>
        </w:pBdr>
        <w:spacing w:after="200" w:before="400"/>
      </w:pPr>
      <w:r>
        <w:rPr>
          <w:rFonts w:ascii="Calibri" w:cs="Calibri" w:eastAsia="Calibri" w:hAnsi="Calibri"/>
          <w:b/>
          <w:bCs/>
          <w:color w:val="1F4E3D"/>
          <w:sz w:val="30"/>
          <w:szCs w:val="30"/>
        </w:rPr>
        <w:t xml:space="preserve">8. Simbologia Orientada a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Camada</w:t>
            </w:r>
          </w:p>
        </w:tc>
        <w:tc>
          <w:tcPr>
            <w:tcW w:type="dxa" w:w="47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Regra</w:t>
            </w:r>
          </w:p>
        </w:tc>
        <w:tc>
          <w:tcPr>
            <w:tcW w:type="dxa" w:w="24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Cor/estilo</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Galerias</w:t>
            </w:r>
          </w:p>
        </w:tc>
        <w:tc>
          <w:tcPr>
            <w:tcW w:type="dxa" w:w="4700"/>
            <w:tcMar>
              <w:top w:type="dxa" w:w="80"/>
              <w:left w:type="dxa" w:w="100"/>
              <w:bottom w:type="dxa" w:w="80"/>
              <w:right w:type="dxa" w:w="100"/>
            </w:tcMar>
          </w:tcPr>
          <w:p>
            <w:r>
              <w:rPr>
                <w:rFonts w:ascii="Calibri" w:cs="Calibri" w:eastAsia="Calibri" w:hAnsi="Calibri"/>
                <w:b w:val="false"/>
                <w:bCs w:val="false"/>
                <w:color w:val="222222"/>
                <w:sz w:val="19"/>
                <w:szCs w:val="19"/>
              </w:rPr>
              <w:t xml:space="preserve">V(m/s) &gt; 5,0 (teto NBR 9649)</w:t>
            </w:r>
          </w:p>
        </w:tc>
        <w:tc>
          <w:tcPr>
            <w:tcW w:type="dxa" w:w="2460"/>
            <w:tcMar>
              <w:top w:type="dxa" w:w="80"/>
              <w:left w:type="dxa" w:w="100"/>
              <w:bottom w:type="dxa" w:w="80"/>
              <w:right w:type="dxa" w:w="100"/>
            </w:tcMar>
          </w:tcPr>
          <w:p>
            <w:r>
              <w:rPr>
                <w:rFonts w:ascii="Calibri" w:cs="Calibri" w:eastAsia="Calibri" w:hAnsi="Calibri"/>
                <w:b w:val="false"/>
                <w:bCs w:val="false"/>
                <w:color w:val="222222"/>
                <w:sz w:val="19"/>
                <w:szCs w:val="19"/>
              </w:rPr>
              <w:t xml:space="preserve">Vermelho</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Galerias</w:t>
            </w:r>
          </w:p>
        </w:tc>
        <w:tc>
          <w:tcPr>
            <w:tcW w:type="dxa" w:w="4700"/>
            <w:tcMar>
              <w:top w:type="dxa" w:w="80"/>
              <w:left w:type="dxa" w:w="100"/>
              <w:bottom w:type="dxa" w:w="80"/>
              <w:right w:type="dxa" w:w="100"/>
            </w:tcMar>
          </w:tcPr>
          <w:p>
            <w:r>
              <w:rPr>
                <w:rFonts w:ascii="Calibri" w:cs="Calibri" w:eastAsia="Calibri" w:hAnsi="Calibri"/>
                <w:b w:val="false"/>
                <w:bCs w:val="false"/>
                <w:color w:val="222222"/>
                <w:sz w:val="19"/>
                <w:szCs w:val="19"/>
              </w:rPr>
              <w:t xml:space="preserve">σt(Pa) &lt; tensão trativa mínima configurada</w:t>
            </w:r>
          </w:p>
        </w:tc>
        <w:tc>
          <w:tcPr>
            <w:tcW w:type="dxa" w:w="2460"/>
            <w:tcMar>
              <w:top w:type="dxa" w:w="80"/>
              <w:left w:type="dxa" w:w="100"/>
              <w:bottom w:type="dxa" w:w="80"/>
              <w:right w:type="dxa" w:w="100"/>
            </w:tcMar>
          </w:tcPr>
          <w:p>
            <w:r>
              <w:rPr>
                <w:rFonts w:ascii="Calibri" w:cs="Calibri" w:eastAsia="Calibri" w:hAnsi="Calibri"/>
                <w:b w:val="false"/>
                <w:bCs w:val="false"/>
                <w:color w:val="222222"/>
                <w:sz w:val="19"/>
                <w:szCs w:val="19"/>
              </w:rPr>
              <w:t xml:space="preserve">Amarelo</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Galerias</w:t>
            </w:r>
          </w:p>
        </w:tc>
        <w:tc>
          <w:tcPr>
            <w:tcW w:type="dxa" w:w="4700"/>
            <w:tcMar>
              <w:top w:type="dxa" w:w="80"/>
              <w:left w:type="dxa" w:w="100"/>
              <w:bottom w:type="dxa" w:w="80"/>
              <w:right w:type="dxa" w:w="100"/>
            </w:tcMar>
          </w:tcPr>
          <w:p>
            <w:r>
              <w:rPr>
                <w:rFonts w:ascii="Calibri" w:cs="Calibri" w:eastAsia="Calibri" w:hAnsi="Calibri"/>
                <w:b w:val="false"/>
                <w:bCs w:val="false"/>
                <w:color w:val="222222"/>
                <w:sz w:val="19"/>
                <w:szCs w:val="19"/>
              </w:rPr>
              <w:t xml:space="preserve">y/D no limite da lâmina máxima</w:t>
            </w:r>
          </w:p>
        </w:tc>
        <w:tc>
          <w:tcPr>
            <w:tcW w:type="dxa" w:w="2460"/>
            <w:tcMar>
              <w:top w:type="dxa" w:w="80"/>
              <w:left w:type="dxa" w:w="100"/>
              <w:bottom w:type="dxa" w:w="80"/>
              <w:right w:type="dxa" w:w="100"/>
            </w:tcMar>
          </w:tcPr>
          <w:p>
            <w:r>
              <w:rPr>
                <w:rFonts w:ascii="Calibri" w:cs="Calibri" w:eastAsia="Calibri" w:hAnsi="Calibri"/>
                <w:b w:val="false"/>
                <w:bCs w:val="false"/>
                <w:color w:val="222222"/>
                <w:sz w:val="19"/>
                <w:szCs w:val="19"/>
              </w:rPr>
              <w:t xml:space="preserve">Laranja tracejado</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PVs</w:t>
            </w:r>
          </w:p>
        </w:tc>
        <w:tc>
          <w:tcPr>
            <w:tcW w:type="dxa" w:w="4700"/>
            <w:tcMar>
              <w:top w:type="dxa" w:w="80"/>
              <w:left w:type="dxa" w:w="100"/>
              <w:bottom w:type="dxa" w:w="80"/>
              <w:right w:type="dxa" w:w="100"/>
            </w:tcMar>
          </w:tcPr>
          <w:p>
            <w:r>
              <w:rPr>
                <w:rFonts w:ascii="Calibri" w:cs="Calibri" w:eastAsia="Calibri" w:hAnsi="Calibri"/>
                <w:b w:val="false"/>
                <w:bCs w:val="false"/>
                <w:color w:val="222222"/>
                <w:sz w:val="19"/>
                <w:szCs w:val="19"/>
              </w:rPr>
              <w:t xml:space="preserve">cota de fundo calculada fura o terreno natural</w:t>
            </w:r>
          </w:p>
        </w:tc>
        <w:tc>
          <w:tcPr>
            <w:tcW w:type="dxa" w:w="2460"/>
            <w:tcMar>
              <w:top w:type="dxa" w:w="80"/>
              <w:left w:type="dxa" w:w="100"/>
              <w:bottom w:type="dxa" w:w="80"/>
              <w:right w:type="dxa" w:w="100"/>
            </w:tcMar>
          </w:tcPr>
          <w:p>
            <w:r>
              <w:rPr>
                <w:rFonts w:ascii="Calibri" w:cs="Calibri" w:eastAsia="Calibri" w:hAnsi="Calibri"/>
                <w:b w:val="false"/>
                <w:bCs w:val="false"/>
                <w:color w:val="222222"/>
                <w:sz w:val="19"/>
                <w:szCs w:val="19"/>
              </w:rPr>
              <w:t xml:space="preserve">X vermelho</w:t>
            </w:r>
          </w:p>
        </w:tc>
      </w:tr>
    </w:tbl>
    <w:p>
      <w:pPr>
        <w:spacing w:after="140" w:line="276"/>
      </w:pPr>
      <w:r>
        <w:rPr>
          <w:rFonts w:ascii="Calibri" w:cs="Calibri" w:eastAsia="Calibri" w:hAnsi="Calibri"/>
          <w:sz w:val="21"/>
          <w:szCs w:val="21"/>
        </w:rPr>
        <w:t xml:space="preserve">Diferente da drenagem (onde a autolimpeza é garantida pela velocidade mínima), no esgoto quem garante a autolimpeza é a tensão trativa — por isso a regra amarela usa σt, não V.</w:t>
      </w:r>
    </w:p>
    <w:p>
      <w:pPr>
        <w:pStyle w:val="Heading1"/>
        <w:pBdr>
          <w:bottom w:val="single" w:color="2E7D5B" w:sz="6"/>
        </w:pBdr>
        <w:spacing w:after="200" w:before="400"/>
      </w:pPr>
      <w:r>
        <w:rPr>
          <w:rFonts w:ascii="Calibri" w:cs="Calibri" w:eastAsia="Calibri" w:hAnsi="Calibri"/>
          <w:b/>
          <w:bCs/>
          <w:color w:val="1F4E3D"/>
          <w:sz w:val="30"/>
          <w:szCs w:val="30"/>
        </w:rPr>
        <w:t xml:space="preserve">9. Perfil Interativo</w:t>
      </w:r>
    </w:p>
    <w:p>
      <w:pPr>
        <w:spacing w:after="140" w:line="276"/>
      </w:pPr>
      <w:r>
        <w:rPr>
          <w:rFonts w:ascii="Calibri" w:cs="Calibri" w:eastAsia="Calibri" w:hAnsi="Calibri"/>
          <w:sz w:val="21"/>
          <w:szCs w:val="21"/>
        </w:rPr>
        <w:t xml:space="preserve">"Ver Perfil (interativo)…" abre o terreno, o greide e os PVs do alinhamento escolhido. Arrastar um PV verticalmente edita sua profundidade e recalcula em cascata — mesmo mecanismo do override de "Prof.mont" na tabela.</w:t>
      </w:r>
    </w:p>
    <w:p>
      <w:pPr>
        <w:pStyle w:val="Heading1"/>
        <w:pageBreakBefore/>
        <w:pBdr>
          <w:bottom w:val="single" w:color="2E7D5B" w:sz="6"/>
        </w:pBdr>
        <w:spacing w:after="200" w:before="400"/>
      </w:pPr>
      <w:r>
        <w:rPr>
          <w:rFonts w:ascii="Calibri" w:cs="Calibri" w:eastAsia="Calibri" w:hAnsi="Calibri"/>
          <w:b/>
          <w:bCs/>
          <w:color w:val="1F4E3D"/>
          <w:sz w:val="30"/>
          <w:szCs w:val="30"/>
        </w:rPr>
        <w:t xml:space="preserve">10. Exportações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Botão</w:t>
            </w:r>
          </w:p>
        </w:tc>
        <w:tc>
          <w:tcPr>
            <w:tcW w:type="dxa" w:w="6360"/>
            <w:shd w:fill="2E7D5B" w:color="auto" w:val="clear"/>
            <w:tcMar>
              <w:top w:type="dxa" w:w="80"/>
              <w:left w:type="dxa" w:w="100"/>
              <w:bottom w:type="dxa" w:w="80"/>
              <w:right w:type="dxa" w:w="100"/>
            </w:tcMar>
          </w:tcPr>
          <w:p>
            <w:r>
              <w:rPr>
                <w:rFonts w:ascii="Calibri" w:cs="Calibri" w:eastAsia="Calibri" w:hAnsi="Calibri"/>
                <w:b/>
                <w:bCs/>
                <w:color w:val="FFFFFF"/>
                <w:sz w:val="19"/>
                <w:szCs w:val="19"/>
              </w:rPr>
              <w:t xml:space="preserve">Gera</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Exportar CSV…</w:t>
            </w:r>
          </w:p>
        </w:tc>
        <w:tc>
          <w:tcPr>
            <w:tcW w:type="dxa" w:w="6360"/>
            <w:tcMar>
              <w:top w:type="dxa" w:w="80"/>
              <w:left w:type="dxa" w:w="100"/>
              <w:bottom w:type="dxa" w:w="80"/>
              <w:right w:type="dxa" w:w="100"/>
            </w:tcMar>
          </w:tcPr>
          <w:p>
            <w:r>
              <w:rPr>
                <w:rFonts w:ascii="Calibri" w:cs="Calibri" w:eastAsia="Calibri" w:hAnsi="Calibri"/>
                <w:b w:val="false"/>
                <w:bCs w:val="false"/>
                <w:color w:val="222222"/>
                <w:sz w:val="19"/>
                <w:szCs w:val="19"/>
              </w:rPr>
              <w:t xml:space="preserve">Tabela de resultados completa.</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Exportar Perfil (DXF)…</w:t>
            </w:r>
          </w:p>
        </w:tc>
        <w:tc>
          <w:tcPr>
            <w:tcW w:type="dxa" w:w="6360"/>
            <w:tcMar>
              <w:top w:type="dxa" w:w="80"/>
              <w:left w:type="dxa" w:w="100"/>
              <w:bottom w:type="dxa" w:w="80"/>
              <w:right w:type="dxa" w:w="100"/>
            </w:tcMar>
          </w:tcPr>
          <w:p>
            <w:r>
              <w:rPr>
                <w:rFonts w:ascii="Calibri" w:cs="Calibri" w:eastAsia="Calibri" w:hAnsi="Calibri"/>
                <w:b w:val="false"/>
                <w:bCs w:val="false"/>
                <w:color w:val="222222"/>
                <w:sz w:val="19"/>
                <w:szCs w:val="19"/>
              </w:rPr>
              <w:t xml:space="preserve">Perfil longitudinal (terreno + greide + PVs), DXF R2000 (AC1015).</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Exportar Memória (DOCX)…</w:t>
            </w:r>
          </w:p>
        </w:tc>
        <w:tc>
          <w:tcPr>
            <w:tcW w:type="dxa" w:w="6360"/>
            <w:tcMar>
              <w:top w:type="dxa" w:w="80"/>
              <w:left w:type="dxa" w:w="100"/>
              <w:bottom w:type="dxa" w:w="80"/>
              <w:right w:type="dxa" w:w="100"/>
            </w:tcMar>
          </w:tcPr>
          <w:p>
            <w:r>
              <w:rPr>
                <w:rFonts w:ascii="Calibri" w:cs="Calibri" w:eastAsia="Calibri" w:hAnsi="Calibri"/>
                <w:b w:val="false"/>
                <w:bCs w:val="false"/>
                <w:color w:val="222222"/>
                <w:sz w:val="19"/>
                <w:szCs w:val="19"/>
              </w:rPr>
              <w:t xml:space="preserve">Memória de cálculo com identificação do projeto, critérios adotados (NBR 9649), tabela de dimensionamento (incluindo "Degrau PV mont. (m)") e assinatura.</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Exportar Planta (DXF)…</w:t>
            </w:r>
          </w:p>
        </w:tc>
        <w:tc>
          <w:tcPr>
            <w:tcW w:type="dxa" w:w="6360"/>
            <w:tcMar>
              <w:top w:type="dxa" w:w="80"/>
              <w:left w:type="dxa" w:w="100"/>
              <w:bottom w:type="dxa" w:w="80"/>
              <w:right w:type="dxa" w:w="100"/>
            </w:tcMar>
          </w:tcPr>
          <w:p>
            <w:r>
              <w:rPr>
                <w:rFonts w:ascii="Calibri" w:cs="Calibri" w:eastAsia="Calibri" w:hAnsi="Calibri"/>
                <w:b w:val="false"/>
                <w:bCs w:val="false"/>
                <w:color w:val="222222"/>
                <w:sz w:val="19"/>
                <w:szCs w:val="19"/>
              </w:rPr>
              <w:t xml:space="preserve">Planta da rede coletora com os PVs, DXF R2000.</w:t>
            </w:r>
          </w:p>
        </w:tc>
      </w:tr>
    </w:tbl>
    <w:p>
      <w:pPr>
        <w:pStyle w:val="Heading1"/>
        <w:pBdr>
          <w:bottom w:val="single" w:color="2E7D5B" w:sz="6"/>
        </w:pBdr>
        <w:spacing w:after="200" w:before="400"/>
      </w:pPr>
      <w:r>
        <w:rPr>
          <w:rFonts w:ascii="Calibri" w:cs="Calibri" w:eastAsia="Calibri" w:hAnsi="Calibri"/>
          <w:b/>
          <w:bCs/>
          <w:color w:val="1F4E3D"/>
          <w:sz w:val="30"/>
          <w:szCs w:val="30"/>
        </w:rPr>
        <w:t xml:space="preserve">11. Normas de Referência</w:t>
      </w:r>
    </w:p>
    <w:p>
      <w:pPr>
        <w:pStyle w:val="ListParagraph"/>
        <w:numPr>
          <w:ilvl w:val="0"/>
          <w:numId w:val="3"/>
        </w:numPr>
        <w:spacing w:after="90" w:line="264"/>
      </w:pPr>
      <w:r>
        <w:rPr>
          <w:rFonts w:ascii="Calibri" w:cs="Calibri" w:eastAsia="Calibri" w:hAnsi="Calibri"/>
          <w:sz w:val="21"/>
          <w:szCs w:val="21"/>
        </w:rPr>
        <w:t xml:space="preserve">NBR 9649 — projeto de redes coletoras de esgoto sanitário.</w:t>
      </w:r>
    </w:p>
    <w:p>
      <w:pPr>
        <w:pStyle w:val="ListParagraph"/>
        <w:numPr>
          <w:ilvl w:val="0"/>
          <w:numId w:val="3"/>
        </w:numPr>
        <w:spacing w:after="90" w:line="264"/>
      </w:pPr>
      <w:r>
        <w:rPr>
          <w:rFonts w:ascii="Calibri" w:cs="Calibri" w:eastAsia="Calibri" w:hAnsi="Calibri"/>
          <w:sz w:val="21"/>
          <w:szCs w:val="21"/>
        </w:rPr>
        <w:t xml:space="preserve">NBR 12266 — afastamento horizontal mínimo entre redes de água e esgoto (1,00 m).</w:t>
      </w:r>
    </w:p>
    <w:p>
      <w:pPr>
        <w:pStyle w:val="ListParagraph"/>
        <w:numPr>
          <w:ilvl w:val="0"/>
          <w:numId w:val="3"/>
        </w:numPr>
        <w:spacing w:after="90" w:line="264"/>
      </w:pPr>
      <w:r>
        <w:rPr>
          <w:rFonts w:ascii="Calibri" w:cs="Calibri" w:eastAsia="Calibri" w:hAnsi="Calibri"/>
          <w:sz w:val="21"/>
          <w:szCs w:val="21"/>
        </w:rPr>
        <w:t xml:space="preserve">COPASA T-194 — infiltração, profundidade máxima de PV (3,50 m), espaçamento máximo entre PVs (80 m).</w:t>
      </w:r>
    </w:p>
    <w:p>
      <w:pPr>
        <w:pStyle w:val="Heading1"/>
        <w:pageBreakBefore/>
        <w:pBdr>
          <w:bottom w:val="single" w:color="2E7D5B" w:sz="6"/>
        </w:pBdr>
        <w:spacing w:after="200" w:before="400"/>
      </w:pPr>
      <w:r>
        <w:rPr>
          <w:rFonts w:ascii="Calibri" w:cs="Calibri" w:eastAsia="Calibri" w:hAnsi="Calibri"/>
          <w:b/>
          <w:bCs/>
          <w:color w:val="1F4E3D"/>
          <w:sz w:val="30"/>
          <w:szCs w:val="30"/>
        </w:rPr>
        <w:t xml:space="preserve">12. Perguntas Frequentes / Problemas Comuns</w:t>
      </w:r>
    </w:p>
    <w:p>
      <w:pPr>
        <w:pStyle w:val="Heading3"/>
        <w:spacing w:after="80" w:before="200"/>
      </w:pPr>
      <w:r>
        <w:rPr>
          <w:rFonts w:ascii="Calibri" w:cs="Calibri" w:eastAsia="Calibri" w:hAnsi="Calibri"/>
          <w:b/>
          <w:bCs/>
          <w:color w:val="333333"/>
          <w:sz w:val="21"/>
          <w:szCs w:val="21"/>
        </w:rPr>
        <w:t xml:space="preserve">"A população saiu diferente do que eu esperava."</w:t>
      </w:r>
    </w:p>
    <w:p>
      <w:pPr>
        <w:spacing w:after="140" w:line="276"/>
      </w:pPr>
      <w:r>
        <w:rPr>
          <w:rFonts w:ascii="Calibri" w:cs="Calibri" w:eastAsia="Calibri" w:hAnsi="Calibri"/>
          <w:sz w:val="21"/>
          <w:szCs w:val="21"/>
        </w:rPr>
        <w:t xml:space="preserve">Confira se a camada de lotes está selecionada — ela sempre tem prioridade sobre o campo manual da rede. Depois confira o prefixo de área não vendável e se cada lote realmente está a menos de "Distância máx. lote→trecho" do trecho mais próximo (lotes fora dessa distância não contribuem população a nenhum trecho).</w:t>
      </w:r>
    </w:p>
    <w:p>
      <w:pPr>
        <w:pStyle w:val="Heading3"/>
        <w:spacing w:after="80" w:before="200"/>
      </w:pPr>
      <w:r>
        <w:rPr>
          <w:rFonts w:ascii="Calibri" w:cs="Calibri" w:eastAsia="Calibri" w:hAnsi="Calibri"/>
          <w:b/>
          <w:bCs/>
          <w:color w:val="333333"/>
          <w:sz w:val="21"/>
          <w:szCs w:val="21"/>
        </w:rPr>
        <w:t xml:space="preserve">"O diâmetro caiu de um trecho para o outro, montante para jusante."</w:t>
      </w:r>
    </w:p>
    <w:p>
      <w:pPr>
        <w:spacing w:after="140" w:line="276"/>
      </w:pPr>
      <w:r>
        <w:rPr>
          <w:rFonts w:ascii="Calibri" w:cs="Calibri" w:eastAsia="Calibri" w:hAnsi="Calibri"/>
          <w:sz w:val="21"/>
          <w:szCs w:val="21"/>
        </w:rPr>
        <w:t xml:space="preserve">Isso não se constrói fisicamente — revise manualmente os DNs dos dois trechos.</w:t>
      </w:r>
    </w:p>
    <w:p>
      <w:pPr>
        <w:pStyle w:val="Heading3"/>
        <w:spacing w:after="80" w:before="200"/>
      </w:pPr>
      <w:r>
        <w:rPr>
          <w:rFonts w:ascii="Calibri" w:cs="Calibri" w:eastAsia="Calibri" w:hAnsi="Calibri"/>
          <w:b/>
          <w:bCs/>
          <w:color w:val="333333"/>
          <w:sz w:val="21"/>
          <w:szCs w:val="21"/>
        </w:rPr>
        <w:t xml:space="preserve">"Profundidade quase constante em toda a rede, mesmo com terreno variando muito."</w:t>
      </w:r>
    </w:p>
    <w:p>
      <w:pPr>
        <w:spacing w:after="140" w:line="276"/>
      </w:pPr>
      <w:r>
        <w:rPr>
          <w:rFonts w:ascii="Calibri" w:cs="Calibri" w:eastAsia="Calibri" w:hAnsi="Calibri"/>
          <w:sz w:val="21"/>
          <w:szCs w:val="21"/>
        </w:rPr>
        <w:t xml:space="preserve">Isso normalmente indica que o cálculo rodou sobre um MDT ou uma camada de rede diferente da que gerou a referência esperada — confira qual MDT e qual rede foram selecionados nos combos antes de recalcular. Não force profundidade manualmente para "consertar" esse sintoma sem antes confirmar a fonte de terreno usada.</w:t>
      </w:r>
    </w:p>
    <w:p>
      <w:pPr>
        <w:pStyle w:val="Heading3"/>
        <w:spacing w:after="80" w:before="200"/>
      </w:pPr>
      <w:r>
        <w:rPr>
          <w:rFonts w:ascii="Calibri" w:cs="Calibri" w:eastAsia="Calibri" w:hAnsi="Calibri"/>
          <w:b/>
          <w:bCs/>
          <w:color w:val="333333"/>
          <w:sz w:val="21"/>
          <w:szCs w:val="21"/>
        </w:rPr>
        <w:t xml:space="preserve">"Editei o DN e o alerta de tensão trativa não sumiu."</w:t>
      </w:r>
    </w:p>
    <w:p>
      <w:pPr>
        <w:spacing w:after="140" w:line="276"/>
      </w:pPr>
      <w:r>
        <w:rPr>
          <w:rFonts w:ascii="Calibri" w:cs="Calibri" w:eastAsia="Calibri" w:hAnsi="Calibri"/>
          <w:sz w:val="21"/>
          <w:szCs w:val="21"/>
        </w:rPr>
        <w:t xml:space="preserve">A tensão trativa depende da declividade e da vazão, não só do diâmetro — em terrenos muito planos, aumentar o DN pode até reduzir a velocidade e piorar a tensão trativa. Nesses casos, teste primeiro ajustar a profundidade (declividade) do trecho antes de mudar o diâmetro.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5"/>
        <w:szCs w:val="15"/>
      </w:rPr>
      <w:t xml:space="preserve">Página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de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color w:val="5B5B5B"/>
        <w:sz w:val="15"/>
        <w:szCs w:val="15"/>
      </w:rPr>
      <w:t xml:space="preserve">Precisa Agrimensura — Manual do Usuário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2026-09-19T20:14:09.959Z</dcterms:created>
  <dcterms:modified xsi:type="dcterms:W3CDTF">2026-09-19T20:14:09.959Z</dcterms:modified>
</cp:coreProperties>
</file>

<file path=docProps/custom.xml><?xml version="1.0" encoding="utf-8"?>
<Properties xmlns="http://schemas.openxmlformats.org/officeDocument/2006/custom-properties" xmlns:vt="http://schemas.openxmlformats.org/officeDocument/2006/docPropsVTypes"/>
</file>