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3211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联邦学习</w:t>
      </w:r>
    </w:p>
    <w:p w14:paraId="23826C7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主要参考FedBN、FedProx</w:t>
      </w:r>
      <w:r>
        <w:rPr>
          <w:rFonts w:hint="eastAsia" w:asciiTheme="minorEastAsia" w:hAnsiTheme="minorEastAsia" w:cstheme="minorEastAsia"/>
          <w:sz w:val="18"/>
          <w:szCs w:val="18"/>
          <w:lang w:eastAsia="zh-CN"/>
        </w:rPr>
        <w:t>、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Fedavg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及通信高效分布式学习相关工作。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FedBN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针对不同客户端存在特征分布差异的问题，提出保留本地批归一化层以缓解feature shift；该论文也明确提到自动驾驶中highway与city等不同场景分布差异是典型例子。</w:t>
      </w:r>
      <w:r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  <w:t>FedProx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则针对联邦学习中的系统异构和统计异构问题，在FedAvg基础上加入近端项以提升异构场景下的稳定性。</w:t>
      </w:r>
    </w:p>
    <w:p w14:paraId="36BA34D6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多客户端视觉数据在类别、数量、特征上存在差异</w:t>
      </w:r>
    </w:p>
    <w:p w14:paraId="105F6F7D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FedProx\FedBN复现以及异构数据条件下的效果</w:t>
      </w:r>
    </w:p>
    <w:p w14:paraId="32E24FCE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通信轮数、客户端数量、本地训练的影响</w:t>
      </w:r>
    </w:p>
    <w:p w14:paraId="37832C65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作为多车和多无人机边缘感知场景下的分布式学习的验证</w:t>
      </w:r>
    </w:p>
    <w:p w14:paraId="0EE42C71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数据集：</w:t>
      </w:r>
    </w:p>
    <w:p w14:paraId="6E745952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客户端：做一个抽象，异构</w:t>
      </w:r>
    </w:p>
    <w:p w14:paraId="2D0FE238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 xml:space="preserve">对比：FedBN\FedProx\FedAvg等对比   </w:t>
      </w:r>
    </w:p>
    <w:p w14:paraId="08AB624F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highlight w:val="yellow"/>
          <w:lang w:val="en-US" w:eastAsia="zh-CN"/>
        </w:rPr>
        <w:t>多个子智能体学习传递给总的在进</w:t>
      </w:r>
      <w:bookmarkStart w:id="0" w:name="_GoBack"/>
      <w:bookmarkEnd w:id="0"/>
      <w:r>
        <w:rPr>
          <w:rFonts w:hint="eastAsia" w:asciiTheme="minorEastAsia" w:hAnsiTheme="minorEastAsia" w:cstheme="minorEastAsia"/>
          <w:sz w:val="18"/>
          <w:szCs w:val="18"/>
          <w:highlight w:val="yellow"/>
          <w:lang w:val="en-US" w:eastAsia="zh-CN"/>
        </w:rPr>
        <w:t>行学习</w:t>
      </w:r>
    </w:p>
    <w:p w14:paraId="424DC58B">
      <w:pPr>
        <w:numPr>
          <w:numId w:val="0"/>
        </w:numPr>
        <w:ind w:leftChars="0"/>
        <w:rPr>
          <w:rFonts w:hint="default" w:asciiTheme="minorEastAsia" w:hAnsiTheme="minorEastAsia" w:cstheme="minorEastAsia"/>
          <w:sz w:val="18"/>
          <w:szCs w:val="18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highlight w:val="yellow"/>
          <w:lang w:val="en-US" w:eastAsia="zh-CN"/>
        </w:rPr>
        <w:t>仿真里面不同的场景进行学习，然后汇总出来控制这个。</w:t>
      </w:r>
    </w:p>
    <w:p w14:paraId="3B4E031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多智能体</w:t>
      </w:r>
    </w:p>
    <w:p w14:paraId="22BD5F5F">
      <w:pPr>
        <w:numPr>
          <w:numId w:val="0"/>
        </w:numPr>
        <w:ind w:leftChars="0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主要参考DSSE、ACE以及宋老师相关的多机器人通信高效分布式学习工作。DSSE是一个基于PettingZoo的无人机群搜索环境，用于单智能体或多智能体强化学习算法，任务是让无人机在地图中搜索目标。ACE研究多机器人在未知区域中的高效协同探索，并提出异步多智能体强化学习方法。宋老师参与的Adaptive Top-K in SGD for Communication-Efficient Distributed Learning in Multi-Robot Collaboration则强调多机器人协作中的通信效率问题。</w:t>
      </w:r>
    </w:p>
    <w:p w14:paraId="3F463471">
      <w:pPr>
        <w:numPr>
          <w:ilvl w:val="0"/>
          <w:numId w:val="3"/>
        </w:numPr>
        <w:ind w:left="425" w:leftChars="0" w:hanging="425" w:firstLineChars="0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全通信、低频通信和无通信策略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对比（成功率、低频通信、无通信策略）</w:t>
      </w:r>
    </w:p>
    <w:p w14:paraId="3469DCB7">
      <w:pPr>
        <w:numPr>
          <w:ilvl w:val="0"/>
          <w:numId w:val="3"/>
        </w:numPr>
        <w:ind w:left="425" w:leftChars="0" w:hanging="425" w:firstLineChars="0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多个智能体在局部观测条件下，通信是否能显著提升搜索效率</w:t>
      </w:r>
    </w:p>
    <w:p w14:paraId="12DCB794">
      <w:pPr>
        <w:numPr>
          <w:ilvl w:val="0"/>
          <w:numId w:val="3"/>
        </w:numPr>
        <w:ind w:left="425" w:leftChars="0" w:hanging="425" w:firstLineChars="0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作为多无人机/多智能车群体协同与通信效率研究的初步验证</w:t>
      </w:r>
    </w:p>
    <w:p w14:paraId="5FE7C22A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仿真：</w:t>
      </w:r>
    </w:p>
    <w:p w14:paraId="6FEBE168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对比：</w:t>
      </w:r>
    </w:p>
    <w:p w14:paraId="30392603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搜索策略：参考DSSE、ACE</w:t>
      </w:r>
    </w:p>
    <w:p w14:paraId="15258B58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5B9A49E5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28D39A48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6E96AE03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0BE27365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5F4E3F48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2E03F484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00086636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79D34C82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3F304741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33954F80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081C0667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62868631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4BAC5616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30ED3C8F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53B6F584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442DAF2D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0701E98E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1FDCDC2A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76B77542">
      <w:pPr>
        <w:numPr>
          <w:numId w:val="0"/>
        </w:numPr>
        <w:ind w:leftChars="0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</w:p>
    <w:p w14:paraId="493CB90D">
      <w:pPr>
        <w:numPr>
          <w:numId w:val="0"/>
        </w:numPr>
        <w:ind w:leftChars="0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3F9B6F"/>
    <w:multiLevelType w:val="singleLevel"/>
    <w:tmpl w:val="AD3F9B6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13F45DA"/>
    <w:multiLevelType w:val="singleLevel"/>
    <w:tmpl w:val="D13F45D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6ADB07D2"/>
    <w:multiLevelType w:val="singleLevel"/>
    <w:tmpl w:val="6ADB07D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44576"/>
    <w:rsid w:val="3870534D"/>
    <w:rsid w:val="3B0F6035"/>
    <w:rsid w:val="52EC5B8A"/>
    <w:rsid w:val="705C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2026-07-07T10:42:37Z</dcterms:created>
  <dc:creator>HeMa</dc:creator>
  <cp:lastModifiedBy>淘金者</cp:lastModifiedBy>
  <dcterms:modified xsi:type="dcterms:W3CDTF">2026-07-07T12:14:10Z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eyJoZGlkIjoiYjI5MTQ3ZDJjMjJkMzEwMTgwMGFiYWJhOWY0YmUyZTYiLCJ1c2VySWQiOiIxMzg3MDc2MzIxIn0=</vt:lpwstr>
  </property>
  <property fmtid="{D5CDD505-2E9C-101B-9397-08002B2CF9AE}" pid="4" name="ICV">
    <vt:lpwstr>AD02470FA74F4C848A4F1679AE5FD1B1_12</vt:lpwstr>
  </property>
</Properties>
</file>