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3311B1">
      <w:pPr>
        <w:pStyle w:val="2"/>
        <w:bidi w:val="0"/>
        <w:rPr>
          <w:rFonts w:hint="eastAsia"/>
          <w:lang w:val="en-US" w:eastAsia="zh-CN"/>
        </w:rPr>
      </w:pPr>
      <w:r>
        <w:rPr>
          <w:rFonts w:hint="eastAsia"/>
          <w:lang w:val="en-US" w:eastAsia="zh-CN"/>
        </w:rPr>
        <w:t>1 Introduction and Significance</w:t>
      </w:r>
    </w:p>
    <w:p w14:paraId="640D32D1">
      <w:pPr>
        <w:rPr>
          <w:rFonts w:hint="default"/>
          <w:lang w:val="en-US" w:eastAsia="zh-CN"/>
        </w:rPr>
      </w:pPr>
      <w:r>
        <w:rPr>
          <w:rFonts w:hint="default"/>
          <w:lang w:val="en-US" w:eastAsia="zh-CN"/>
        </w:rPr>
        <w:t>交通标志识别是智能交通系统与自动驾驶感知中的重要任务。车辆需要准确识别限速、警告、禁止和指示等不同类型的交通标志，才能为后续的驾驶决策、道路安全提示和车辆控制提供可靠信息。高性能交通标志识别模型通常需要利用来自不同车辆、道路和地区的大量图像进行训练。然而，将这些图像统一上传至中央服务器，可能带来数据隐私、数据所有权、大规模存储和通信开销等问题。因此，如何在不集中原始图像的情况下，利用分散在不同车辆或数据拥有方的数据训练共享模型，具有重要的研究与应用价值。</w:t>
      </w:r>
    </w:p>
    <w:p w14:paraId="38749E37">
      <w:pPr>
        <w:rPr>
          <w:rFonts w:hint="default"/>
          <w:lang w:val="en-US" w:eastAsia="zh-CN"/>
        </w:rPr>
      </w:pPr>
    </w:p>
    <w:p w14:paraId="5B84EB5C">
      <w:pPr>
        <w:rPr>
          <w:rFonts w:hint="default"/>
          <w:lang w:val="en-US" w:eastAsia="zh-CN"/>
        </w:rPr>
      </w:pPr>
      <w:r>
        <w:rPr>
          <w:rFonts w:hint="default"/>
          <w:lang w:val="en-US" w:eastAsia="zh-CN"/>
        </w:rPr>
        <w:t>联邦学习为这一问题提供了一种可行方案。在联邦学习过程中，各客户端保留本地数据，只在本地完成模型训练，并将模型参数或参数更新上传至服务器进行聚合。服务器形成新的全局模型后，再将其下发给各客户端继续训练。与传统集中式学习相比，这种方式能够减少对原始数据集中共享的依赖，并为跨车辆、跨机构或跨地区的协作式模型训练提供基础。然而，联邦学习的有效性不仅取决于聚合算法，也受到客户端数据分布差异的显著影响。</w:t>
      </w:r>
    </w:p>
    <w:p w14:paraId="08480ACD">
      <w:pPr>
        <w:rPr>
          <w:rFonts w:hint="default"/>
          <w:lang w:val="en-US" w:eastAsia="zh-CN"/>
        </w:rPr>
      </w:pPr>
    </w:p>
    <w:p w14:paraId="12688C5D">
      <w:pPr>
        <w:rPr>
          <w:rFonts w:hint="default"/>
          <w:lang w:val="en-US" w:eastAsia="zh-CN"/>
        </w:rPr>
      </w:pPr>
      <w:r>
        <w:rPr>
          <w:rFonts w:hint="default"/>
          <w:lang w:val="en-US" w:eastAsia="zh-CN"/>
        </w:rPr>
        <w:t>在真实车辆环境中，不同客户端采集的数据通常并非独立同分布。车辆行驶于不同道路、地区和交通环境时，所观察到的交通标志类别及其出现频率可能存在明显差异。例如，某些客户端可能包含大量限速标志，而另一些客户端则主要包含警告或禁止类标志。这种标签分布偏斜会使各客户端的本地优化目标和模型更新方向产生差异。当服务器使用 Federated Averaging（FedAvg）直接平均这些更新时，全局模型可能偏向在部分客户端中占优势的类别，并对分布不足的类别产生较差的识别能力。与此同时，总体准确率更容易受到样本数量较多类别的影响，因而可能掩盖少数类别的严重退化。除总体测试准确率外，宏平均类别准确率和逐类别准确率也是评价 Non-IID 联邦分类模型的重要指标。</w:t>
      </w:r>
    </w:p>
    <w:p w14:paraId="52236C5F">
      <w:pPr>
        <w:rPr>
          <w:rFonts w:hint="default"/>
          <w:lang w:val="en-US" w:eastAsia="zh-CN"/>
        </w:rPr>
      </w:pPr>
    </w:p>
    <w:p w14:paraId="0BDEAE39">
      <w:pPr>
        <w:rPr>
          <w:rFonts w:hint="default"/>
          <w:lang w:val="en-US" w:eastAsia="zh-CN"/>
        </w:rPr>
      </w:pPr>
      <w:r>
        <w:rPr>
          <w:rFonts w:hint="default"/>
          <w:lang w:val="en-US" w:eastAsia="zh-CN"/>
        </w:rPr>
        <w:t>现有的 FedProx 方法在客户端本地目标中加入近端正则项，用于限制本地模型过度偏离当前全局模型，因此可能缓解数据异构条件下的客户端漂移。然而，FedProx 的实际作用需要通过严格控制的实验加以验证。若 FedAvg 与 FedProx 使用不同的模型初始化、优化器、学习率或训练预算，观察到的性能差异便不能清楚归因于近端约束本身。因此，本项目计划在固定数据划分、模型结构、客户端参与规则和训练预算的条件下，系统研究不同程度的标签分布异构如何影响联邦交通标志识别，并比较 FedAvg 与 FedProx 在强 Non-IID 条件下的表现。</w:t>
      </w:r>
    </w:p>
    <w:p w14:paraId="311F9041">
      <w:pPr>
        <w:rPr>
          <w:rFonts w:hint="default"/>
          <w:lang w:val="en-US" w:eastAsia="zh-CN"/>
        </w:rPr>
      </w:pPr>
    </w:p>
    <w:p w14:paraId="2CE38A8D">
      <w:pPr>
        <w:rPr>
          <w:rFonts w:hint="default"/>
          <w:lang w:val="en-US" w:eastAsia="zh-CN"/>
        </w:rPr>
      </w:pPr>
      <w:r>
        <w:rPr>
          <w:rFonts w:hint="default"/>
          <w:lang w:val="en-US" w:eastAsia="zh-CN"/>
        </w:rPr>
        <w:t>本项目将以 German Traffic Sign Recognition Benchmark（GTSRB）为实验基础，构建五客户端、可复现的联邦图像分类流程，并利用 Dirichlet 分布生成由轻度到极端的标签异构设置。已经完成的初步实验表明，FedAvg 在轻度和中度标签偏斜下仍能保持接近 IID 基线的性能，但在极端异构条件下会出现明显的总体性能下降和类别级失效；严格配对的实验也初步显示，FedProx 能够对这种退化提供一定程度的缓解，但并不能完全消除所有类别的问题。</w:t>
      </w:r>
    </w:p>
    <w:p w14:paraId="0E226D6E">
      <w:pPr>
        <w:rPr>
          <w:rFonts w:hint="default"/>
          <w:lang w:val="en-US" w:eastAsia="zh-CN"/>
        </w:rPr>
      </w:pPr>
    </w:p>
    <w:p w14:paraId="3BCFF5F1">
      <w:pPr>
        <w:rPr>
          <w:rFonts w:hint="default"/>
          <w:lang w:val="en-US" w:eastAsia="zh-CN"/>
        </w:rPr>
      </w:pPr>
      <w:r>
        <w:rPr>
          <w:rFonts w:hint="default"/>
          <w:lang w:val="en-US" w:eastAsia="zh-CN"/>
        </w:rPr>
        <w:t>因此，本研究的意义不仅在于比较两种联邦算法的最终准确率，更在于建立一种可复现、可审计且具有明确控制变量的实验方法，识别 FedAvg 面对标签异构时的实际鲁棒性边界，并评价 FedProx 在何种异构程度下能够产生有效改善。研究结果可为后续开展多随机种子验证、部分客户端参与、更多本地训练轮次，以及 SCAFFOLD、MOON、FedBN 和通信压缩等扩展研究提供统一基础，也可为面向真实车联网环境的联邦视觉模型设计提供初步参考。</w:t>
      </w:r>
    </w:p>
    <w:p w14:paraId="0B025444">
      <w:pPr>
        <w:pStyle w:val="2"/>
        <w:bidi w:val="0"/>
        <w:rPr>
          <w:rFonts w:hint="eastAsia"/>
          <w:lang w:val="en-US" w:eastAsia="zh-CN"/>
        </w:rPr>
      </w:pPr>
      <w:r>
        <w:rPr>
          <w:rFonts w:hint="eastAsia"/>
          <w:lang w:val="en-US" w:eastAsia="zh-CN"/>
        </w:rPr>
        <w:t>2 Preliminary Work and Research Gap</w:t>
      </w:r>
    </w:p>
    <w:p w14:paraId="767551B8">
      <w:pPr>
        <w:rPr>
          <w:rFonts w:hint="default"/>
          <w:lang w:val="en-US" w:eastAsia="zh-CN"/>
        </w:rPr>
      </w:pPr>
      <w:r>
        <w:rPr>
          <w:rFonts w:hint="default"/>
          <w:lang w:val="en-US" w:eastAsia="zh-CN"/>
        </w:rPr>
        <w:t>在正式研究计划展开之前，本项目已完成一系列初步实验，以验证研究问题的可行性并建立可复现的实验基础。首先，项目基于 German Traffic Sign Recognition Benchmark（GTSRB）构建了一个五客户端联邦图像分类流程，完成了数据完整性检查、图像预处理、固定客户端划分、本地训练、服务器加权聚合、模型评估以及 checkpoint 保存与恢复。实验统一采用不含 Batch Normalisation 的卷积神经网络，以避免联邦训练中 Batch Normalisation 非训练统计量处理不一致对算法比较造成干扰。项目还建立了 Centralised、Local-only 和 IID FedAvg 三组基线。在当前训练配置下，Centralised 模型的测试准确率为 91.16%，五个 Local-only 模型的平均测试准确率为 60.11%，而 IID FedAvg 达到 92.60%的测试准确率和 89.44%的宏平均类别准确率。这些结果表明，联邦参数聚合能够显著弥补单个客户端训练数据有限所造成的泛化不足，并为后续 Non-IID 研究提供了可靠基线。</w:t>
      </w:r>
    </w:p>
    <w:p w14:paraId="48B82716">
      <w:pPr>
        <w:rPr>
          <w:rFonts w:hint="default"/>
          <w:lang w:val="en-US" w:eastAsia="zh-CN"/>
        </w:rPr>
      </w:pPr>
    </w:p>
    <w:p w14:paraId="6604C99B">
      <w:pPr>
        <w:rPr>
          <w:rFonts w:hint="default"/>
          <w:lang w:val="en-US" w:eastAsia="zh-CN"/>
        </w:rPr>
      </w:pPr>
      <w:r>
        <w:rPr>
          <w:rFonts w:hint="default"/>
          <w:lang w:val="en-US" w:eastAsia="zh-CN"/>
        </w:rPr>
        <w:t>在此基础上，项目使用固定随机种子和对称 Dirichlet 分布构造了 α=10、1.0、0.5 和 0.1 四种标签分布偏斜程度，并确保所有算法复用相同的客户端数据划分。初步结果表明，FedAvg 并不会因为数据属于 Non-IID 就立即失效。在 α=10 和 α=1.0 的轻度与中度偏斜下，其总体测试准确率和宏平均类别准确率仍接近 IID 基线；在 α=0.5 时，总体准确率仅小幅下降，但宏平均类别准确率已经表现出更明显的退化。当异构程度增加至 α=0.1 时，测试准确率下降至 71.49%，宏平均类别准确率下降至 69.42%，并有多个类别出现零准确率。这说明 FedAvg 在当前五客户端、全参与和每轮一个本地 epoch 的条件下具有一定鲁棒性，但在极端标签偏斜下存在清晰的性能边界，而且类别级问题可能早于总体准确率被观察到。</w:t>
      </w:r>
    </w:p>
    <w:p w14:paraId="6C58BBB1">
      <w:pPr>
        <w:rPr>
          <w:rFonts w:hint="default"/>
          <w:lang w:val="en-US" w:eastAsia="zh-CN"/>
        </w:rPr>
      </w:pPr>
    </w:p>
    <w:p w14:paraId="0BDAD864">
      <w:pPr>
        <w:rPr>
          <w:rFonts w:hint="default"/>
          <w:lang w:val="en-US" w:eastAsia="zh-CN"/>
        </w:rPr>
      </w:pPr>
      <w:r>
        <w:rPr>
          <w:rFonts w:hint="default"/>
          <w:lang w:val="en-US" w:eastAsia="zh-CN"/>
        </w:rPr>
        <w:t>项目随后完成了 FedProx 的初步严格配对实验。为了单独评价近端正则项的作用，实验在同一训练器中比较 μ=0 和 μ=0.1，并固定模型初始权重、客户端划分、客户端顺序、优化器、学习率、服务器更新方式和训练预算。在 α=0.1 下，μ=0.1 将测试准确率由 77.51%提高至84.52%，将宏平均类别准确率由73.60%提高至80.79%，同时降低了测试损失；在 α=0.5 下，两项准确率也均有所提高。类别级分析显示，α=0.1 下共有33个类别得到改善，但仍有9个类别下降，且部分弱类别的恢复幅度有限。因此，这些初步结果支持“FedProx 可以部分缓解强标签偏斜”的研究假设，但不足以说明其能够完全解决 Non-IID 条件下的类别失效问题。</w:t>
      </w:r>
    </w:p>
    <w:p w14:paraId="21772B2C">
      <w:pPr>
        <w:rPr>
          <w:rFonts w:hint="default"/>
          <w:lang w:val="en-US" w:eastAsia="zh-CN"/>
        </w:rPr>
      </w:pPr>
    </w:p>
    <w:p w14:paraId="350F448A">
      <w:pPr>
        <w:rPr>
          <w:rFonts w:hint="default"/>
          <w:lang w:val="en-US" w:eastAsia="zh-CN"/>
        </w:rPr>
      </w:pPr>
      <w:r>
        <w:rPr>
          <w:rFonts w:hint="default"/>
          <w:lang w:val="en-US" w:eastAsia="zh-CN"/>
        </w:rPr>
        <w:t>尽管已有实验建立了技术可行性并提供了初步证据，当前研究仍存在若干需要进一步解决的缺口。首先，正式实验仅使用一个固定的数据划分和训练随机种子。固定随机性有利于进行严格配对比较，但无法衡量不同客户端分配和模型初始化所引起的统计波动，因此现有结果不能直接推广为普遍结论。其次，当前环境仅包含五个模拟客户端，所有客户端每轮均参与训练，且每轮只进行一个本地 epoch。这种设置减少了客户端采样噪声和模型漂移，但低估了真实联邦系统中部分参与、客户端掉线、样本量不均和多本地更新带来的困难。</w:t>
      </w:r>
    </w:p>
    <w:p w14:paraId="4E93364A">
      <w:pPr>
        <w:rPr>
          <w:rFonts w:hint="default"/>
          <w:lang w:val="en-US" w:eastAsia="zh-CN"/>
        </w:rPr>
      </w:pPr>
    </w:p>
    <w:p w14:paraId="0A2D6513">
      <w:pPr>
        <w:rPr>
          <w:rFonts w:hint="default"/>
          <w:lang w:val="en-US" w:eastAsia="zh-CN"/>
        </w:rPr>
      </w:pPr>
      <w:r>
        <w:rPr>
          <w:rFonts w:hint="default"/>
          <w:lang w:val="en-US" w:eastAsia="zh-CN"/>
        </w:rPr>
        <w:t>此外，本项目目前主要研究标签分布偏斜，而真实车辆之间还可能存在摄像头质量、光照、天气、道路环境、视角和图像模糊等特征或域分布差异。Dirichlet 标签划分无法完整表示这些场景异构。现阶段完成的优化算法扩展也仅限于 FedProx；SCAFFOLD、MOON 和 FedBN 等方法采用不同的客户端漂移修正、表示约束或局部参数保留机制，仍需在统一控制变量下进行后续比较。通信压缩及准确率与传输成本之间的权衡同样尚未纳入主实验。</w:t>
      </w:r>
    </w:p>
    <w:p w14:paraId="237F7706">
      <w:pPr>
        <w:rPr>
          <w:rFonts w:hint="default"/>
          <w:lang w:val="en-US" w:eastAsia="zh-CN"/>
        </w:rPr>
      </w:pPr>
    </w:p>
    <w:p w14:paraId="6334C39E">
      <w:pPr>
        <w:rPr>
          <w:rFonts w:hint="default"/>
          <w:lang w:val="en-US" w:eastAsia="zh-CN"/>
        </w:rPr>
      </w:pPr>
      <w:r>
        <w:rPr>
          <w:rFonts w:hint="default"/>
          <w:lang w:val="en-US" w:eastAsia="zh-CN"/>
        </w:rPr>
        <w:t>因此，后续研究不会仅以获得更高的单次准确率为目标，而将重点验证初步结论的稳定性和适用范围，包括开展多随机种子重复实验、增加部分客户端参与与多本地 epoch 压力测试，并在独立研究轴上扩展至特征异构和其他联邦优化方法。现有结果将被视为研究可行性和实验设计的初步依据，而非最终的统计性证明。</w:t>
      </w:r>
    </w:p>
    <w:p w14:paraId="163036ED">
      <w:pPr>
        <w:pStyle w:val="2"/>
        <w:bidi w:val="0"/>
        <w:rPr>
          <w:rFonts w:hint="eastAsia"/>
          <w:lang w:val="en-US" w:eastAsia="zh-CN"/>
        </w:rPr>
      </w:pPr>
      <w:r>
        <w:rPr>
          <w:rFonts w:hint="eastAsia"/>
          <w:lang w:val="en-US" w:eastAsia="zh-CN"/>
        </w:rPr>
        <w:t>3 Objectives and Research Questions</w:t>
      </w:r>
    </w:p>
    <w:p w14:paraId="3DB287A1">
      <w:pPr>
        <w:rPr>
          <w:rFonts w:hint="default"/>
          <w:lang w:val="en-US" w:eastAsia="zh-CN"/>
        </w:rPr>
      </w:pPr>
      <w:r>
        <w:rPr>
          <w:rFonts w:hint="default"/>
          <w:lang w:val="en-US" w:eastAsia="zh-CN"/>
        </w:rPr>
        <w:t>本项目的总体目标是建立一个可复现的联邦交通标志识别实验框架，系统研究客户端标签分布异构对全局模型性能的影响，并评价 FedProx 的近端正则机制能否缓解强 Non-IID 条件下的性能退化。与仅追求单次最高准确率不同，本研究强调固定数据划分、严格控制实验变量、同时评价总体性能与类别级表现，从而使不同算法和异构设置之间的比较具有可解释性。</w:t>
      </w:r>
    </w:p>
    <w:p w14:paraId="6F147F4E">
      <w:pPr>
        <w:pStyle w:val="3"/>
        <w:bidi w:val="0"/>
        <w:rPr>
          <w:rFonts w:hint="eastAsia"/>
          <w:lang w:val="en-US" w:eastAsia="zh-CN"/>
        </w:rPr>
      </w:pPr>
      <w:r>
        <w:rPr>
          <w:rFonts w:hint="eastAsia"/>
          <w:lang w:val="en-US" w:eastAsia="zh-CN"/>
        </w:rPr>
        <w:t>3.1 具体研究目标</w:t>
      </w:r>
    </w:p>
    <w:p w14:paraId="7CA460D8">
      <w:pPr>
        <w:rPr>
          <w:rFonts w:hint="default"/>
          <w:lang w:val="en-US" w:eastAsia="zh-CN"/>
        </w:rPr>
      </w:pPr>
      <w:r>
        <w:rPr>
          <w:rFonts w:hint="eastAsia"/>
          <w:lang w:val="en-US" w:eastAsia="zh-CN"/>
        </w:rPr>
        <w:t>1、</w:t>
      </w:r>
      <w:r>
        <w:rPr>
          <w:rFonts w:hint="default"/>
          <w:lang w:val="en-US" w:eastAsia="zh-CN"/>
        </w:rPr>
        <w:t>目标一：建立可靠且可复现的联邦学习基线。</w:t>
      </w:r>
    </w:p>
    <w:p w14:paraId="7B541030">
      <w:pPr>
        <w:rPr>
          <w:rFonts w:hint="default"/>
          <w:lang w:val="en-US" w:eastAsia="zh-CN"/>
        </w:rPr>
      </w:pPr>
      <w:r>
        <w:rPr>
          <w:rFonts w:hint="default"/>
          <w:lang w:val="en-US" w:eastAsia="zh-CN"/>
        </w:rPr>
        <w:t>本项目将使用 GTSRB 数据集构建五客户端交通标志分类流程，并比较 Centralised、Local-only 和 FedAvg 三种训练方式。该目标用于验证数据加载、本地训练、服务器聚合、全局模型更新、指标记录以及 checkpoint 恢复等联邦学习环节能够正常运行，同时确认联邦聚合能否弥补单客户端训练数据有限造成的泛化不足。</w:t>
      </w:r>
    </w:p>
    <w:p w14:paraId="494F9EC4">
      <w:pPr>
        <w:rPr>
          <w:rFonts w:hint="default"/>
          <w:lang w:val="en-US" w:eastAsia="zh-CN"/>
        </w:rPr>
      </w:pPr>
      <w:r>
        <w:rPr>
          <w:rFonts w:hint="eastAsia"/>
          <w:lang w:val="en-US" w:eastAsia="zh-CN"/>
        </w:rPr>
        <w:t>2、</w:t>
      </w:r>
      <w:r>
        <w:rPr>
          <w:rFonts w:hint="default"/>
          <w:lang w:val="en-US" w:eastAsia="zh-CN"/>
        </w:rPr>
        <w:t>目标二：量化不同标签异构程度对 FedAvg 的影响。</w:t>
      </w:r>
    </w:p>
    <w:p w14:paraId="24339AB1">
      <w:pPr>
        <w:rPr>
          <w:rFonts w:hint="default"/>
          <w:lang w:val="en-US" w:eastAsia="zh-CN"/>
        </w:rPr>
      </w:pPr>
      <w:r>
        <w:rPr>
          <w:rFonts w:hint="default"/>
          <w:lang w:val="en-US" w:eastAsia="zh-CN"/>
        </w:rPr>
        <w:t>本项目将使用 Dirichlet 分布构造由轻度到极端的标签分布偏斜，并分析 α 值降低时 FedAvg 的总体测试准确率、宏平均类别准确率、逐类别准确率、测试损失和收敛行为。研究重点不是简单判断 Non-IID 数据是否有害，而是识别 FedAvg 在当前训练条件下能够容忍的异构范围及其明显退化的边界。</w:t>
      </w:r>
    </w:p>
    <w:p w14:paraId="64E9C111">
      <w:pPr>
        <w:rPr>
          <w:rFonts w:hint="default"/>
          <w:lang w:val="en-US" w:eastAsia="zh-CN"/>
        </w:rPr>
      </w:pPr>
      <w:r>
        <w:rPr>
          <w:rFonts w:hint="eastAsia"/>
          <w:lang w:val="en-US" w:eastAsia="zh-CN"/>
        </w:rPr>
        <w:t>3、</w:t>
      </w:r>
      <w:r>
        <w:rPr>
          <w:rFonts w:hint="default"/>
          <w:lang w:val="en-US" w:eastAsia="zh-CN"/>
        </w:rPr>
        <w:t>目标三：在严格匹配的条件下评价 FedProx。</w:t>
      </w:r>
    </w:p>
    <w:p w14:paraId="1FDE1B2B">
      <w:pPr>
        <w:rPr>
          <w:rFonts w:hint="default"/>
          <w:lang w:val="en-US" w:eastAsia="zh-CN"/>
        </w:rPr>
      </w:pPr>
      <w:r>
        <w:rPr>
          <w:rFonts w:hint="default"/>
          <w:lang w:val="en-US" w:eastAsia="zh-CN"/>
        </w:rPr>
        <w:t>本项目将比较同一 FedProx 训练器中的 μ=0 与 μ=0.1。两组实验将使用相同的模型初始化、客户端数据、训练顺序、优化器、学习率、服务器更新、通信轮数和评估流程，仅改变近端项强度。由此判断在强标签偏斜下观察到的性能变化能否主要归因于近端正则机制，而不是其他训练配置差异。</w:t>
      </w:r>
    </w:p>
    <w:p w14:paraId="53096978">
      <w:pPr>
        <w:rPr>
          <w:rFonts w:hint="default"/>
          <w:lang w:val="en-US" w:eastAsia="zh-CN"/>
        </w:rPr>
      </w:pPr>
      <w:r>
        <w:rPr>
          <w:rFonts w:hint="eastAsia"/>
          <w:lang w:val="en-US" w:eastAsia="zh-CN"/>
        </w:rPr>
        <w:t>4、</w:t>
      </w:r>
      <w:r>
        <w:rPr>
          <w:rFonts w:hint="default"/>
          <w:lang w:val="en-US" w:eastAsia="zh-CN"/>
        </w:rPr>
        <w:t>目标四：评价类别级性能、公平性与实验成本。</w:t>
      </w:r>
    </w:p>
    <w:p w14:paraId="0B5771F2">
      <w:pPr>
        <w:rPr>
          <w:rFonts w:hint="default"/>
          <w:lang w:val="en-US" w:eastAsia="zh-CN"/>
        </w:rPr>
      </w:pPr>
      <w:r>
        <w:rPr>
          <w:rFonts w:hint="default"/>
          <w:lang w:val="en-US" w:eastAsia="zh-CN"/>
        </w:rPr>
        <w:t>除 Overall Test Accuracy 外，本项目还将使用 Macro-class Accuracy、Per-class Accuracy 和 Confusion Matrix 分析不同类别的恢复与退化情况，并记录通信轮数、估算通信量和模型收敛轮次。该目标用于避免总体准确率掩盖少数但可能具有安全意义的交通标志类别失效。</w:t>
      </w:r>
    </w:p>
    <w:p w14:paraId="43D05683">
      <w:pPr>
        <w:pStyle w:val="3"/>
        <w:bidi w:val="0"/>
        <w:rPr>
          <w:rFonts w:hint="eastAsia"/>
          <w:lang w:val="en-US" w:eastAsia="zh-CN"/>
        </w:rPr>
      </w:pPr>
      <w:r>
        <w:rPr>
          <w:rFonts w:hint="eastAsia"/>
          <w:lang w:val="en-US" w:eastAsia="zh-CN"/>
        </w:rPr>
        <w:t>3.2 核心研究问题</w:t>
      </w:r>
    </w:p>
    <w:p w14:paraId="25C45B92">
      <w:pPr>
        <w:rPr>
          <w:rFonts w:hint="default"/>
          <w:lang w:val="en-US" w:eastAsia="zh-CN"/>
        </w:rPr>
      </w:pPr>
      <w:r>
        <w:rPr>
          <w:rFonts w:hint="default"/>
          <w:lang w:val="en-US" w:eastAsia="zh-CN"/>
        </w:rPr>
        <w:t>本研究将重点回答以下三个问题：</w:t>
      </w:r>
    </w:p>
    <w:p w14:paraId="34A54B51">
      <w:pPr>
        <w:rPr>
          <w:rFonts w:hint="default"/>
          <w:lang w:val="en-US" w:eastAsia="zh-CN"/>
        </w:rPr>
      </w:pPr>
      <w:r>
        <w:rPr>
          <w:rFonts w:hint="default"/>
          <w:lang w:val="en-US" w:eastAsia="zh-CN"/>
        </w:rPr>
        <w:t>RQ1： 在五客户端交通标志分类任务中，FedAvg 能否在 IID 条件下达到与集中式训练相近的性能，并明显优于各客户端独立训练？</w:t>
      </w:r>
    </w:p>
    <w:p w14:paraId="3B870A38">
      <w:pPr>
        <w:rPr>
          <w:rFonts w:hint="default"/>
          <w:lang w:val="en-US" w:eastAsia="zh-CN"/>
        </w:rPr>
      </w:pPr>
      <w:r>
        <w:rPr>
          <w:rFonts w:hint="default"/>
          <w:lang w:val="en-US" w:eastAsia="zh-CN"/>
        </w:rPr>
        <w:t>RQ2： 随着 Dirichlet 标签异构程度增强，FedAvg 的总体性能和类别级性能如何变化，其明显退化出现在哪一异构区间？</w:t>
      </w:r>
    </w:p>
    <w:p w14:paraId="7EFE6124">
      <w:pPr>
        <w:rPr>
          <w:rFonts w:hint="default"/>
          <w:lang w:val="en-US" w:eastAsia="zh-CN"/>
        </w:rPr>
      </w:pPr>
      <w:r>
        <w:rPr>
          <w:rFonts w:hint="default"/>
          <w:lang w:val="en-US" w:eastAsia="zh-CN"/>
        </w:rPr>
        <w:t>RQ3： 在其他实验条件保持一致时，FedProx 的近端正则项能否缓解强 Label Skew 引起的总体准确率下降和类别级失效？</w:t>
      </w:r>
    </w:p>
    <w:p w14:paraId="5E6991FE">
      <w:pPr>
        <w:rPr>
          <w:rFonts w:hint="default"/>
          <w:lang w:val="en-US" w:eastAsia="zh-CN"/>
        </w:rPr>
      </w:pPr>
      <w:r>
        <w:rPr>
          <w:rFonts w:hint="default"/>
          <w:lang w:val="en-US" w:eastAsia="zh-CN"/>
        </w:rPr>
        <w:t>初步结果已经表明，FedAvg 在轻度和中度偏斜下保持相对稳定，但在 α=0.1 时达到明显的鲁棒性边界；严格配对的 FedProx 实验也显示 μ=0.1 能够提供部分而非完全的缓解。因此，正式研究将进一步围绕这些问题整理证据、明确适用条件并限制结论的推广范围。</w:t>
      </w:r>
    </w:p>
    <w:p w14:paraId="639C48CB">
      <w:pPr>
        <w:pStyle w:val="2"/>
        <w:bidi w:val="0"/>
        <w:rPr>
          <w:rFonts w:hint="eastAsia"/>
          <w:lang w:val="en-US" w:eastAsia="zh-CN"/>
        </w:rPr>
      </w:pPr>
      <w:r>
        <w:rPr>
          <w:rFonts w:hint="eastAsia"/>
          <w:lang w:val="en-US" w:eastAsia="zh-CN"/>
        </w:rPr>
        <w:t>4 Methods</w:t>
      </w:r>
    </w:p>
    <w:p w14:paraId="75B457EA">
      <w:pPr>
        <w:pStyle w:val="3"/>
        <w:bidi w:val="0"/>
        <w:rPr>
          <w:rFonts w:hint="eastAsia"/>
          <w:lang w:val="en-US" w:eastAsia="zh-CN"/>
        </w:rPr>
      </w:pPr>
      <w:r>
        <w:rPr>
          <w:rFonts w:hint="eastAsia"/>
          <w:lang w:val="en-US" w:eastAsia="zh-CN"/>
        </w:rPr>
        <w:t>4.1 总体研究设计</w:t>
      </w:r>
    </w:p>
    <w:p w14:paraId="131A919B">
      <w:pPr>
        <w:rPr>
          <w:rFonts w:hint="default"/>
          <w:lang w:val="en-US" w:eastAsia="zh-CN"/>
        </w:rPr>
      </w:pPr>
      <w:r>
        <w:rPr>
          <w:rFonts w:hint="default"/>
          <w:lang w:val="en-US" w:eastAsia="zh-CN"/>
        </w:rPr>
        <w:t>本项目采用模拟联邦学习实验设计，在同一数据集、同一模型主干和固定客户端划分下，逐步比较集中式训练、本地独立训练、FedAvg 和 FedProx。研究分为三个相互衔接的阶段：</w:t>
      </w:r>
    </w:p>
    <w:p w14:paraId="2A0224D5">
      <w:pPr>
        <w:rPr>
          <w:rFonts w:hint="default"/>
          <w:lang w:val="en-US" w:eastAsia="zh-CN"/>
        </w:rPr>
      </w:pPr>
      <w:r>
        <w:rPr>
          <w:rFonts w:hint="default"/>
          <w:lang w:val="en-US" w:eastAsia="zh-CN"/>
        </w:rPr>
        <w:t>第一阶段建立 Centralised、Local-only 和 IID FedAvg 基线，用于确认完整训练流程和联邦聚合的有效性；第二阶段仅改变客户端标签分布，通过不同 Dirichlet α 值研究 FedAvg 对不同程度 Non-IID 数据的鲁棒性；第三阶段在强标签异构设置下使用严格配对实验评价 FedProx。各阶段分别控制变量，避免同时改变模型、数据划分和联邦算法而导致无法解释性能差异。</w:t>
      </w:r>
    </w:p>
    <w:p w14:paraId="54534EAD">
      <w:pPr>
        <w:pStyle w:val="3"/>
        <w:bidi w:val="0"/>
        <w:rPr>
          <w:rFonts w:hint="eastAsia"/>
          <w:lang w:val="en-US" w:eastAsia="zh-CN"/>
        </w:rPr>
      </w:pPr>
      <w:r>
        <w:rPr>
          <w:rFonts w:hint="eastAsia"/>
          <w:lang w:val="en-US" w:eastAsia="zh-CN"/>
        </w:rPr>
        <w:t>4.2 数据集与图像预处理</w:t>
      </w:r>
    </w:p>
    <w:p w14:paraId="0D13631D">
      <w:pPr>
        <w:rPr>
          <w:rFonts w:hint="default"/>
          <w:lang w:val="en-US" w:eastAsia="zh-CN"/>
        </w:rPr>
      </w:pPr>
      <w:r>
        <w:rPr>
          <w:rFonts w:hint="default"/>
          <w:lang w:val="en-US" w:eastAsia="zh-CN"/>
        </w:rPr>
        <w:t>实验使用 German Traffic Sign Recognition Benchmark（GTSRB）。该数据集包含 39,209 张官方训练图像和 12,630 张官方测试图像，共有 43 个交通标志类别。训练前将检查图片路径、标签范围、重复样本以及训练集与测试集之间是否存在交叉。</w:t>
      </w:r>
    </w:p>
    <w:p w14:paraId="53CC7C0C">
      <w:pPr>
        <w:rPr>
          <w:rFonts w:hint="default"/>
          <w:lang w:val="en-US" w:eastAsia="zh-CN"/>
        </w:rPr>
      </w:pPr>
      <w:r>
        <w:rPr>
          <w:rFonts w:hint="default"/>
          <w:lang w:val="en-US" w:eastAsia="zh-CN"/>
        </w:rPr>
        <w:t>所有图像将被解码为 RGB 三通道，缩放至 32×32 像素，转换为 float32，并将像素归一化至 [0,1]。训练数据采用 shuffle、batch 和 prefetch 处理。由于部分方向类交通标志在水平翻转后可能改变语义，本项目不使用水平翻转增强。官方测试集不参与客户端数据划分、模型训练或超参数选择，仅在实验配置冻结后进行最终评价。</w:t>
      </w:r>
    </w:p>
    <w:p w14:paraId="7BDD85A8">
      <w:pPr>
        <w:pStyle w:val="3"/>
        <w:bidi w:val="0"/>
        <w:rPr>
          <w:rFonts w:hint="eastAsia"/>
          <w:lang w:val="en-US" w:eastAsia="zh-CN"/>
        </w:rPr>
      </w:pPr>
      <w:r>
        <w:rPr>
          <w:rFonts w:hint="eastAsia"/>
          <w:lang w:val="en-US" w:eastAsia="zh-CN"/>
        </w:rPr>
        <w:t>4.3 客户端构造与Non-IID划分</w:t>
      </w:r>
    </w:p>
    <w:p w14:paraId="4CD4D390">
      <w:pPr>
        <w:rPr>
          <w:rFonts w:hint="default"/>
          <w:lang w:val="en-US" w:eastAsia="zh-CN"/>
        </w:rPr>
      </w:pPr>
      <w:r>
        <w:rPr>
          <w:rFonts w:hint="default"/>
          <w:lang w:val="en-US" w:eastAsia="zh-CN"/>
        </w:rPr>
        <w:t>实验模拟五个联邦客户端，并使用固定随机种子 20260720 保存所有客户端划分。</w:t>
      </w:r>
    </w:p>
    <w:p w14:paraId="784CA71D">
      <w:pPr>
        <w:rPr>
          <w:rFonts w:hint="default"/>
          <w:lang w:val="en-US" w:eastAsia="zh-CN"/>
        </w:rPr>
      </w:pPr>
    </w:p>
    <w:p w14:paraId="756340FC">
      <w:pPr>
        <w:rPr>
          <w:rFonts w:hint="default"/>
          <w:lang w:val="en-US" w:eastAsia="zh-CN"/>
        </w:rPr>
      </w:pPr>
      <w:r>
        <w:rPr>
          <w:rFonts w:hint="default"/>
          <w:lang w:val="en-US" w:eastAsia="zh-CN"/>
        </w:rPr>
        <w:t>IID 基线采用按类别分层的近似均衡划分，使每个客户端包含全部 43 个类别，并拥有近似相同的样本数量。Non-IID 实验对每个类别采样一个对称 Dirichlet 分布：</w:t>
      </w:r>
    </w:p>
    <w:p w14:paraId="29492BC0">
      <w:pPr>
        <m:rPr/>
        <w:rPr>
          <w:rFonts w:hint="default" w:hAnsi="Cambria Math"/>
          <w:i w:val="0"/>
          <w:lang w:val="en-US" w:eastAsia="zh-CN"/>
        </w:rPr>
      </w:pPr>
      <m:oMathPara>
        <m:oMath>
          <m:sSub>
            <m:sSubPr>
              <m:ctrlPr>
                <w:rPr>
                  <w:rFonts w:ascii="Cambria Math" w:hAnsi="Cambria Math"/>
                  <w:i/>
                  <w:lang w:val="en-US"/>
                </w:rPr>
              </m:ctrlPr>
            </m:sSubPr>
            <m:e>
              <m:r>
                <m:rPr/>
                <w:rPr>
                  <w:rFonts w:hint="default" w:ascii="Cambria Math" w:hAnsi="Cambria Math"/>
                  <w:lang w:val="en-US" w:eastAsia="zh-CN"/>
                </w:rPr>
                <m:t>P</m:t>
              </m:r>
              <m:ctrlPr>
                <w:rPr>
                  <w:rFonts w:ascii="Cambria Math" w:hAnsi="Cambria Math"/>
                  <w:i/>
                  <w:lang w:val="en-US"/>
                </w:rPr>
              </m:ctrlPr>
            </m:e>
            <m:sub>
              <m:r>
                <m:rPr/>
                <w:rPr>
                  <w:rFonts w:hint="default" w:ascii="Cambria Math" w:hAnsi="Cambria Math"/>
                  <w:lang w:val="en-US" w:eastAsia="zh-CN"/>
                </w:rPr>
                <m:t>c</m:t>
              </m:r>
              <m:ctrlPr>
                <w:rPr>
                  <w:rFonts w:ascii="Cambria Math" w:hAnsi="Cambria Math"/>
                  <w:i/>
                  <w:lang w:val="en-US"/>
                </w:rPr>
              </m:ctrlPr>
            </m:sub>
          </m:sSub>
          <m:r>
            <m:rPr/>
            <w:rPr>
              <w:rFonts w:hint="default" w:ascii="Cambria Math" w:hAnsi="Cambria Math"/>
              <w:lang w:val="en-US" w:eastAsia="zh-CN"/>
            </w:rPr>
            <m:t xml:space="preserve"> ~ Dirichlet(</m:t>
          </m:r>
          <m:r>
            <m:rPr/>
            <w:rPr>
              <w:rFonts w:ascii="Cambria Math" w:hAnsi="Cambria Math"/>
              <w:lang w:val="en-US"/>
            </w:rPr>
            <m:t>α</m:t>
          </m:r>
          <m:r>
            <m:rPr/>
            <w:rPr>
              <w:rFonts w:hint="default" w:ascii="Cambria Math" w:hAnsi="Cambria Math"/>
              <w:lang w:val="en-US" w:eastAsia="zh-CN"/>
            </w:rPr>
            <m:t>,...,</m:t>
          </m:r>
          <m:r>
            <m:rPr/>
            <w:rPr>
              <w:rFonts w:ascii="Cambria Math" w:hAnsi="Cambria Math"/>
              <w:lang w:val="en-US"/>
            </w:rPr>
            <m:t>α</m:t>
          </m:r>
          <m:r>
            <m:rPr/>
            <w:rPr>
              <w:rFonts w:hint="default" w:ascii="Cambria Math" w:hAnsi="Cambria Math"/>
              <w:lang w:val="en-US" w:eastAsia="zh-CN"/>
            </w:rPr>
            <m:t>)</m:t>
          </m:r>
        </m:oMath>
      </m:oMathPara>
    </w:p>
    <w:p w14:paraId="60311928">
      <w:pPr>
        <m:rPr/>
        <w:rPr>
          <w:rFonts w:hint="default" w:hAnsi="Cambria Math"/>
          <w:i w:val="0"/>
          <w:lang w:val="en-US" w:eastAsia="zh-CN"/>
        </w:rPr>
      </w:pPr>
      <w:r>
        <m:rPr/>
        <w:rPr>
          <w:rFonts w:hint="default" w:hAnsi="Cambria Math"/>
          <w:i w:val="0"/>
          <w:lang w:val="en-US" w:eastAsia="zh-CN"/>
        </w:rPr>
        <w:t xml:space="preserve">其中 </w:t>
      </w:r>
      <w:r>
        <m:rPr/>
        <w:rPr>
          <w:rFonts w:hint="eastAsia" w:hAnsi="Cambria Math"/>
          <w:i w:val="0"/>
          <w:lang w:val="en-US" w:eastAsia="zh-CN"/>
        </w:rPr>
        <w:t>P</w:t>
      </w:r>
      <w:r>
        <m:rPr/>
        <w:rPr>
          <w:rFonts w:hint="eastAsia" w:hAnsi="Cambria Math"/>
          <w:i w:val="0"/>
          <w:vertAlign w:val="subscript"/>
          <w:lang w:val="en-US" w:eastAsia="zh-CN"/>
        </w:rPr>
        <w:t>c</w:t>
      </w:r>
      <w:r>
        <m:rPr/>
        <w:rPr>
          <w:rFonts w:hint="default" w:hAnsi="Cambria Math"/>
          <w:i w:val="0"/>
          <w:lang w:val="en-US" w:eastAsia="zh-CN"/>
        </w:rPr>
        <w:t>表示某一类别在五个客户端之间的分配比例。α 越大，类别样本在客户端之间越均衡；α 越小，单个类别越可能集中在少数客户端。</w:t>
      </w:r>
    </w:p>
    <w:p w14:paraId="1FFDAD77">
      <w:pPr>
        <m:rPr/>
        <w:rPr>
          <w:rFonts w:hint="default" w:hAnsi="Cambria Math"/>
          <w:i w:val="0"/>
          <w:lang w:val="en-US" w:eastAsia="zh-CN"/>
        </w:rPr>
      </w:pPr>
      <w:r>
        <m:rPr/>
        <w:rPr>
          <w:rFonts w:hint="default" w:hAnsi="Cambria Math"/>
          <w:i w:val="0"/>
          <w:lang w:val="en-US" w:eastAsia="zh-CN"/>
        </w:rPr>
        <w:t>本项目设置：α=10：接近 IID 的轻度 Label Skew；α=1.0：中度 Label Skew；α=0.5：较明显的 Label Skew；α=0.1：极端 Label Skew。</w:t>
      </w:r>
    </w:p>
    <w:p w14:paraId="2453C289">
      <w:pPr>
        <m:rPr/>
        <w:rPr>
          <w:rFonts w:hint="default" w:hAnsi="Cambria Math"/>
          <w:i w:val="0"/>
          <w:lang w:val="en-US" w:eastAsia="zh-CN"/>
        </w:rPr>
      </w:pPr>
      <w:r>
        <m:rPr/>
        <w:rPr>
          <w:rFonts w:hint="default" w:hAnsi="Cambria Math"/>
          <w:i w:val="0"/>
          <w:lang w:val="en-US" w:eastAsia="zh-CN"/>
        </w:rPr>
        <w:t>每种划分均保存为固定的客户端 CSV 文件。不同算法必须读取完全相同的数据划分，不在实验过程中重新采样，以保证性能差异能够主要归因于算法机制，而不是客户端类别组成变化。</w:t>
      </w:r>
    </w:p>
    <w:p w14:paraId="3FACF778">
      <w:pPr>
        <w:pStyle w:val="3"/>
        <w:bidi w:val="0"/>
        <m:rPr/>
        <w:rPr>
          <w:rFonts w:hint="eastAsia"/>
          <w:lang w:val="en-US" w:eastAsia="zh-CN"/>
        </w:rPr>
      </w:pPr>
      <w:r>
        <m:rPr/>
        <w:rPr>
          <w:rFonts w:hint="eastAsia"/>
          <w:lang w:val="en-US" w:eastAsia="zh-CN"/>
        </w:rPr>
        <w:t>4.4 模型结构与基线方法</w:t>
      </w:r>
    </w:p>
    <w:p w14:paraId="08B66F18">
      <w:pPr>
        <m:rPr/>
        <w:rPr>
          <w:rFonts w:hint="default"/>
          <w:lang w:val="en-US" w:eastAsia="zh-CN"/>
        </w:rPr>
      </w:pPr>
      <w:r>
        <m:rPr/>
        <w:rPr>
          <w:rFonts w:hint="default"/>
          <w:lang w:val="en-US" w:eastAsia="zh-CN"/>
        </w:rPr>
        <w:t>主实验统一采用不含 Batch Normalisation 的卷积神经网络：</w:t>
      </w:r>
    </w:p>
    <w:p w14:paraId="74F27AE3">
      <w:pPr>
        <w:jc w:val="left"/>
        <m:rPr/>
        <w:rPr>
          <w:rFonts w:hint="default"/>
          <w:lang w:val="en-US" w:eastAsia="zh-CN"/>
        </w:rPr>
      </w:pPr>
      <w:r>
        <m:rPr/>
        <w:rPr>
          <w:rFonts w:hint="default"/>
          <w:lang w:val="en-US" w:eastAsia="zh-CN"/>
        </w:rPr>
        <w:t>Conv32→MaxPool→Conv64→MaxPool→Conv128→Global Average Pooling→Dropout(0.25)→Dense(43)</w:t>
      </w:r>
    </w:p>
    <w:p w14:paraId="2355648A">
      <w:pPr>
        <m:rPr/>
        <w:rPr>
          <w:rFonts w:hint="default"/>
          <w:lang w:val="en-US" w:eastAsia="zh-CN"/>
        </w:rPr>
      </w:pPr>
      <w:r>
        <m:rPr/>
        <w:rPr>
          <w:rFonts w:hint="default"/>
          <w:lang w:val="en-US" w:eastAsia="zh-CN"/>
        </w:rPr>
        <w:t>模型输出 43 个 logits，损失函数使用 Sparse Categorical Cross-Entropy，评价指标使用 Sparse Categorical Accuracy。</w:t>
      </w:r>
    </w:p>
    <w:p w14:paraId="5A97268C">
      <w:pPr>
        <m:rPr/>
        <w:rPr>
          <w:rFonts w:hint="default"/>
          <w:lang w:val="en-US" w:eastAsia="zh-CN"/>
        </w:rPr>
      </w:pPr>
      <w:r>
        <m:rPr/>
        <w:rPr>
          <w:rFonts w:hint="default"/>
          <w:lang w:val="en-US" w:eastAsia="zh-CN"/>
        </w:rPr>
        <w:t>选择无 Batch Normalisation 模型是为了排除 BN moving mean 和 moving variance 等非训练统计量在联邦状态维护、聚合和模型导出过程中造成的实现干扰。此前的带 BN 实验将保留为工程失败案例，但不作为本研究中 FedAvg 与 FedProx 的正式算法比较基础。</w:t>
      </w:r>
    </w:p>
    <w:p w14:paraId="5F10F43F">
      <w:pPr>
        <m:rPr/>
        <w:rPr>
          <w:rFonts w:hint="default"/>
          <w:lang w:val="en-US" w:eastAsia="zh-CN"/>
        </w:rPr>
      </w:pPr>
      <w:r>
        <m:rPr/>
        <w:rPr>
          <w:rFonts w:hint="default"/>
          <w:lang w:val="en-US" w:eastAsia="zh-CN"/>
        </w:rPr>
        <w:t>本项目设置三组基础对照：</w:t>
      </w:r>
    </w:p>
    <w:p w14:paraId="0B0012C5">
      <w:pPr>
        <m:rPr/>
        <w:rPr>
          <w:rFonts w:hint="default"/>
          <w:lang w:val="en-US" w:eastAsia="zh-CN"/>
        </w:rPr>
      </w:pPr>
      <w:r>
        <m:rPr/>
        <w:rPr>
          <w:rFonts w:hint="eastAsia"/>
          <w:lang w:val="en-US" w:eastAsia="zh-CN"/>
        </w:rPr>
        <w:t>1、</w:t>
      </w:r>
      <w:r>
        <m:rPr/>
        <w:rPr>
          <w:rFonts w:hint="default"/>
          <w:lang w:val="en-US" w:eastAsia="zh-CN"/>
        </w:rPr>
        <w:t>Centralised： 使用全部训练数据在单一训练流程中训练；</w:t>
      </w:r>
    </w:p>
    <w:p w14:paraId="4F480571">
      <w:pPr>
        <m:rPr/>
        <w:rPr>
          <w:rFonts w:hint="default"/>
          <w:lang w:val="en-US" w:eastAsia="zh-CN"/>
        </w:rPr>
      </w:pPr>
      <w:r>
        <m:rPr/>
        <w:rPr>
          <w:rFonts w:hint="eastAsia"/>
          <w:lang w:val="en-US" w:eastAsia="zh-CN"/>
        </w:rPr>
        <w:t>2、</w:t>
      </w:r>
      <w:r>
        <m:rPr/>
        <w:rPr>
          <w:rFonts w:hint="default"/>
          <w:lang w:val="en-US" w:eastAsia="zh-CN"/>
        </w:rPr>
        <w:t>Local-only： 五个客户端分别独立训练，不交换模型参数；</w:t>
      </w:r>
    </w:p>
    <w:p w14:paraId="494C503F">
      <w:pPr>
        <m:rPr/>
        <w:rPr>
          <w:rFonts w:hint="default"/>
          <w:lang w:val="en-US" w:eastAsia="zh-CN"/>
        </w:rPr>
      </w:pPr>
      <w:r>
        <m:rPr/>
        <w:rPr>
          <w:rFonts w:hint="eastAsia"/>
          <w:lang w:val="en-US" w:eastAsia="zh-CN"/>
        </w:rPr>
        <w:t>3、</w:t>
      </w:r>
      <w:r>
        <m:rPr/>
        <w:rPr>
          <w:rFonts w:hint="default"/>
          <w:lang w:val="en-US" w:eastAsia="zh-CN"/>
        </w:rPr>
        <w:t>Weighted FedAvg： 每轮向客户端下发全局模型，各客户端进行本地训练后上传更新，服务器按照客户端实际训练样本数加权聚合。</w:t>
      </w:r>
    </w:p>
    <w:p w14:paraId="2C265C62">
      <w:pPr>
        <m:rPr/>
        <w:rPr>
          <w:rFonts w:hint="default"/>
          <w:lang w:val="en-US" w:eastAsia="zh-CN"/>
        </w:rPr>
      </w:pPr>
      <w:r>
        <m:rPr/>
        <w:rPr>
          <w:rFonts w:hint="default"/>
          <w:lang w:val="en-US" w:eastAsia="zh-CN"/>
        </w:rPr>
        <w:t>这些基线分别代表集中使用全部数据、完全不协作以及通过联邦聚合协作三种条件。</w:t>
      </w:r>
    </w:p>
    <w:p w14:paraId="0F73FA9A">
      <w:pPr>
        <w:pStyle w:val="3"/>
        <w:bidi w:val="0"/>
        <m:rPr/>
        <w:rPr>
          <w:rFonts w:hint="eastAsia"/>
          <w:lang w:val="en-US" w:eastAsia="zh-CN"/>
        </w:rPr>
      </w:pPr>
      <w:r>
        <m:rPr/>
        <w:rPr>
          <w:rFonts w:hint="eastAsia"/>
          <w:lang w:val="en-US" w:eastAsia="zh-CN"/>
        </w:rPr>
        <w:t>4.5 FedAvg与Non-IID实验</w:t>
      </w:r>
    </w:p>
    <w:p w14:paraId="3EDA2E07">
      <w:pPr>
        <m:rPr/>
        <w:rPr>
          <w:rFonts w:hint="default"/>
          <w:lang w:val="en-US" w:eastAsia="zh-CN"/>
        </w:rPr>
      </w:pPr>
      <w:r>
        <m:rPr/>
        <w:rPr>
          <w:rFonts w:hint="default"/>
          <w:lang w:val="en-US" w:eastAsia="zh-CN"/>
        </w:rPr>
        <w:t>FedAvg 每轮训练过程为：</w:t>
      </w:r>
    </w:p>
    <w:p w14:paraId="3610EFC9">
      <w:pPr>
        <m:rPr/>
        <w:rPr>
          <w:rFonts w:hint="default"/>
          <w:lang w:val="en-US" w:eastAsia="zh-CN"/>
        </w:rPr>
      </w:pPr>
      <w:r>
        <m:rPr/>
        <w:rPr>
          <w:rFonts w:hint="default"/>
          <w:lang w:val="en-US" w:eastAsia="zh-CN"/>
        </w:rPr>
        <w:t>服务器下发全局模型→客户端本地训练→上传模型更新→样本量加权聚合→更新全局模型</w:t>
      </w:r>
    </w:p>
    <w:p w14:paraId="4C17CD6B">
      <w:pPr>
        <m:rPr/>
        <w:rPr>
          <w:rFonts w:hint="default"/>
          <w:lang w:val="en-US" w:eastAsia="zh-CN"/>
        </w:rPr>
      </w:pPr>
      <w:r>
        <m:rPr/>
        <w:rPr>
          <w:rFonts w:hint="default"/>
          <w:lang w:val="en-US" w:eastAsia="zh-CN"/>
        </w:rPr>
        <w:t>FedAvg 的主要 Non-IID 实验保持五个客户端每轮全部参与，每个客户端训练一个 local epoch，batch size 为 64，总训练预算为 160 个通信轮次。除客户端训练数据划分外，其余模型和评估条件保持不变。</w:t>
      </w:r>
    </w:p>
    <w:p w14:paraId="5894B030">
      <w:pPr>
        <m:rPr/>
        <w:rPr>
          <w:rFonts w:hint="default"/>
          <w:lang w:val="en-US" w:eastAsia="zh-CN"/>
        </w:rPr>
      </w:pPr>
      <w:r>
        <m:rPr/>
        <w:rPr>
          <w:rFonts w:hint="default"/>
          <w:lang w:val="en-US" w:eastAsia="zh-CN"/>
        </w:rPr>
        <w:t>实验首先比较 IID、α=10、α=1.0、α=0.5 和 α=0.1 下的最终性能及收敛过程，用于确定性能变化是连续下降、局部波动，还是只在极端异构下出现明显退化。初步结果显示 α=10 和 α=1.0 的性能接近 IID，α=0.5 的 Macro-class Accuracy 比总体准确率下降更明显，而 α=0.1 出现了显著总体退化和多个零准确率类别。</w:t>
      </w:r>
    </w:p>
    <w:p w14:paraId="6AEDAA48">
      <w:pPr>
        <w:pStyle w:val="3"/>
        <w:bidi w:val="0"/>
        <m:rPr/>
        <w:rPr>
          <w:rFonts w:hint="eastAsia"/>
          <w:lang w:val="en-US" w:eastAsia="zh-CN"/>
        </w:rPr>
      </w:pPr>
      <w:r>
        <m:rPr/>
        <w:rPr>
          <w:rFonts w:hint="eastAsia"/>
          <w:lang w:val="en-US" w:eastAsia="zh-CN"/>
        </w:rPr>
        <w:t>4.6 FedProx严格配对实验</w:t>
      </w:r>
    </w:p>
    <w:p w14:paraId="1E73F19D">
      <w:pPr>
        <m:rPr/>
        <w:rPr>
          <w:rFonts w:hint="default"/>
          <w:lang w:val="en-US" w:eastAsia="zh-CN"/>
        </w:rPr>
      </w:pPr>
      <w:r>
        <m:rPr/>
        <w:rPr>
          <w:rFonts w:hint="default"/>
          <w:lang w:val="en-US" w:eastAsia="zh-CN"/>
        </w:rPr>
        <w:t>FedProx 保留 FedAvg 的服务器加权聚合流程，但在客户端本地目标中加入近端项：</w:t>
      </w:r>
    </w:p>
    <w:p w14:paraId="523A5302">
      <w:pPr>
        <w:rPr>
          <w:rFonts w:hint="default" w:hAnsi="Cambria Math"/>
          <w:i w:val="0"/>
          <w:lang w:val="en-US" w:eastAsia="zh-CN"/>
        </w:rPr>
      </w:pPr>
      <m:oMathPara>
        <m:oMath>
          <m:sSub>
            <m:sSubPr>
              <m:ctrlPr>
                <w:rPr>
                  <w:rFonts w:ascii="Cambria Math" w:hAnsi="Cambria Math"/>
                  <w:i/>
                  <w:lang w:val="en-US"/>
                </w:rPr>
              </m:ctrlPr>
            </m:sSubPr>
            <m:e>
              <m:r>
                <m:rPr>
                  <m:scr m:val="script"/>
                </m:rPr>
                <w:rPr>
                  <w:rFonts w:ascii="Cambria Math" w:hAnsi="Cambria Math"/>
                  <w:lang w:val="en-US"/>
                </w:rPr>
                <m:t>ℒ</m:t>
              </m:r>
              <m:ctrlPr>
                <w:rPr>
                  <w:rFonts w:ascii="Cambria Math" w:hAnsi="Cambria Math"/>
                  <w:i/>
                  <w:lang w:val="en-US"/>
                </w:rPr>
              </m:ctrlPr>
            </m:e>
            <m:sub>
              <m:r>
                <m:rPr/>
                <w:rPr>
                  <w:rFonts w:hint="default" w:ascii="Cambria Math" w:hAnsi="Cambria Math"/>
                  <w:lang w:val="en-US" w:eastAsia="zh-CN"/>
                </w:rPr>
                <m:t>k</m:t>
              </m:r>
              <m:ctrlPr>
                <w:rPr>
                  <w:rFonts w:ascii="Cambria Math" w:hAnsi="Cambria Math"/>
                  <w:i/>
                  <w:lang w:val="en-US"/>
                </w:rPr>
              </m:ctrlPr>
            </m:sub>
          </m:sSub>
          <m:r>
            <m:rPr/>
            <w:rPr>
              <w:rFonts w:hint="default" w:ascii="Cambria Math" w:hAnsi="Cambria Math"/>
              <w:lang w:val="en-US" w:eastAsia="zh-CN"/>
            </w:rPr>
            <m:t>(w)=</m:t>
          </m:r>
          <m:sSub>
            <m:sSubPr>
              <m:ctrlPr>
                <w:rPr>
                  <w:rFonts w:hint="default" w:ascii="Cambria Math" w:hAnsi="Cambria Math"/>
                  <w:i/>
                  <w:lang w:val="en-US" w:eastAsia="zh-CN"/>
                </w:rPr>
              </m:ctrlPr>
            </m:sSubPr>
            <m:e>
              <m:r>
                <m:rPr>
                  <m:scr m:val="script"/>
                </m:rPr>
                <w:rPr>
                  <w:rFonts w:ascii="Cambria Math" w:hAnsi="Cambria Math"/>
                  <w:lang w:val="en-US"/>
                </w:rPr>
                <m:t>ℒ</m:t>
              </m:r>
              <m:ctrlPr>
                <w:rPr>
                  <w:rFonts w:hint="default" w:ascii="Cambria Math" w:hAnsi="Cambria Math"/>
                  <w:i/>
                  <w:lang w:val="en-US" w:eastAsia="zh-CN"/>
                </w:rPr>
              </m:ctrlPr>
            </m:e>
            <m:sub>
              <m:r>
                <m:rPr/>
                <w:rPr>
                  <w:rFonts w:hint="default" w:ascii="Cambria Math" w:hAnsi="Cambria Math"/>
                  <w:lang w:val="en-US" w:eastAsia="zh-CN"/>
                </w:rPr>
                <m:t>task, k</m:t>
              </m:r>
              <m:ctrlPr>
                <w:rPr>
                  <w:rFonts w:hint="default" w:ascii="Cambria Math" w:hAnsi="Cambria Math"/>
                  <w:i/>
                  <w:lang w:val="en-US" w:eastAsia="zh-CN"/>
                </w:rPr>
              </m:ctrlPr>
            </m:sub>
          </m:sSub>
          <m:r>
            <m:rPr/>
            <w:rPr>
              <w:rFonts w:hint="default" w:ascii="Cambria Math" w:hAnsi="Cambria Math"/>
              <w:lang w:val="en-US" w:eastAsia="zh-CN"/>
            </w:rPr>
            <m:t>(w)+</m:t>
          </m:r>
          <m:f>
            <m:fPr>
              <m:ctrlPr>
                <w:rPr>
                  <w:rFonts w:hint="default" w:ascii="Cambria Math" w:hAnsi="Cambria Math"/>
                  <w:i/>
                  <w:lang w:val="en-US" w:eastAsia="zh-CN"/>
                </w:rPr>
              </m:ctrlPr>
            </m:fPr>
            <m:num>
              <m:r>
                <m:rPr/>
                <w:rPr>
                  <w:rFonts w:hint="default" w:ascii="Cambria Math" w:hAnsi="Cambria Math"/>
                  <w:lang w:val="en-US" w:eastAsia="zh-CN"/>
                </w:rPr>
                <m:t>u</m:t>
              </m:r>
              <m:ctrlPr>
                <w:rPr>
                  <w:rFonts w:hint="default" w:ascii="Cambria Math" w:hAnsi="Cambria Math"/>
                  <w:i/>
                  <w:lang w:val="en-US" w:eastAsia="zh-CN"/>
                </w:rPr>
              </m:ctrlPr>
            </m:num>
            <m:den>
              <m:r>
                <m:rPr/>
                <w:rPr>
                  <w:rFonts w:hint="default" w:ascii="Cambria Math" w:hAnsi="Cambria Math"/>
                  <w:lang w:val="en-US" w:eastAsia="zh-CN"/>
                </w:rPr>
                <m:t>2</m:t>
              </m:r>
              <m:ctrlPr>
                <w:rPr>
                  <w:rFonts w:hint="default" w:ascii="Cambria Math" w:hAnsi="Cambria Math"/>
                  <w:i/>
                  <w:lang w:val="en-US" w:eastAsia="zh-CN"/>
                </w:rPr>
              </m:ctrlPr>
            </m:den>
          </m:f>
          <m:r>
            <m:rPr/>
            <w:rPr>
              <w:rFonts w:hint="default" w:ascii="Cambria Math" w:hAnsi="Cambria Math"/>
              <w:lang w:val="en-US" w:eastAsia="zh-CN"/>
            </w:rPr>
            <m:t>||w−</m:t>
          </m:r>
          <m:sSup>
            <m:sSupPr>
              <m:ctrlPr>
                <w:rPr>
                  <w:rFonts w:hint="default" w:ascii="Cambria Math" w:hAnsi="Cambria Math"/>
                  <w:i/>
                  <w:lang w:val="en-US" w:eastAsia="zh-CN"/>
                </w:rPr>
              </m:ctrlPr>
            </m:sSupPr>
            <m:e>
              <m:r>
                <m:rPr/>
                <w:rPr>
                  <w:rFonts w:hint="default" w:ascii="Cambria Math" w:hAnsi="Cambria Math"/>
                  <w:lang w:val="en-US" w:eastAsia="zh-CN"/>
                </w:rPr>
                <m:t>w</m:t>
              </m:r>
              <m:ctrlPr>
                <w:rPr>
                  <w:rFonts w:hint="default" w:ascii="Cambria Math" w:hAnsi="Cambria Math"/>
                  <w:i/>
                  <w:lang w:val="en-US" w:eastAsia="zh-CN"/>
                </w:rPr>
              </m:ctrlPr>
            </m:e>
            <m:sup>
              <m:r>
                <m:rPr/>
                <w:rPr>
                  <w:rFonts w:hint="default" w:ascii="Cambria Math" w:hAnsi="Cambria Math"/>
                  <w:lang w:val="en-US" w:eastAsia="zh-CN"/>
                </w:rPr>
                <m:t>t</m:t>
              </m:r>
              <m:ctrlPr>
                <w:rPr>
                  <w:rFonts w:hint="default" w:ascii="Cambria Math" w:hAnsi="Cambria Math"/>
                  <w:i/>
                  <w:lang w:val="en-US" w:eastAsia="zh-CN"/>
                </w:rPr>
              </m:ctrlPr>
            </m:sup>
          </m:sSup>
          <m:r>
            <m:rPr/>
            <w:rPr>
              <w:rFonts w:hint="default" w:ascii="Cambria Math" w:hAnsi="Cambria Math"/>
              <w:lang w:val="en-US" w:eastAsia="zh-CN"/>
            </w:rPr>
            <m:t>|</m:t>
          </m:r>
          <m:sSubSup>
            <m:sSubSupPr>
              <m:ctrlPr>
                <w:rPr>
                  <w:rFonts w:hint="default" w:ascii="Cambria Math" w:hAnsi="Cambria Math"/>
                  <w:i/>
                  <w:lang w:val="en-US" w:eastAsia="zh-CN"/>
                </w:rPr>
              </m:ctrlPr>
            </m:sSubSupPr>
            <m:e>
              <m:r>
                <m:rPr/>
                <w:rPr>
                  <w:rFonts w:hint="default" w:ascii="Cambria Math" w:hAnsi="Cambria Math"/>
                  <w:lang w:val="en-US" w:eastAsia="zh-CN"/>
                </w:rPr>
                <m:t>|</m:t>
              </m:r>
              <m:ctrlPr>
                <w:rPr>
                  <w:rFonts w:hint="default" w:ascii="Cambria Math" w:hAnsi="Cambria Math"/>
                  <w:i/>
                  <w:lang w:val="en-US" w:eastAsia="zh-CN"/>
                </w:rPr>
              </m:ctrlPr>
            </m:e>
            <m:sub>
              <m:r>
                <m:rPr/>
                <w:rPr>
                  <w:rFonts w:hint="default" w:ascii="Cambria Math" w:hAnsi="Cambria Math"/>
                  <w:lang w:val="en-US" w:eastAsia="zh-CN"/>
                </w:rPr>
                <m:t>2</m:t>
              </m:r>
              <m:ctrlPr>
                <w:rPr>
                  <w:rFonts w:hint="default" w:ascii="Cambria Math" w:hAnsi="Cambria Math"/>
                  <w:i/>
                  <w:lang w:val="en-US" w:eastAsia="zh-CN"/>
                </w:rPr>
              </m:ctrlPr>
            </m:sub>
            <m:sup>
              <m:r>
                <m:rPr/>
                <w:rPr>
                  <w:rFonts w:hint="default" w:ascii="Cambria Math" w:hAnsi="Cambria Math"/>
                  <w:lang w:val="en-US" w:eastAsia="zh-CN"/>
                </w:rPr>
                <m:t>2</m:t>
              </m:r>
              <m:ctrlPr>
                <w:rPr>
                  <w:rFonts w:hint="default" w:ascii="Cambria Math" w:hAnsi="Cambria Math"/>
                  <w:i/>
                  <w:lang w:val="en-US" w:eastAsia="zh-CN"/>
                </w:rPr>
              </m:ctrlPr>
            </m:sup>
          </m:sSubSup>
        </m:oMath>
      </m:oMathPara>
    </w:p>
    <w:p w14:paraId="6F3EB618">
      <w:pPr>
        <w:rPr>
          <w:rFonts w:hint="eastAsia" w:hAnsi="Cambria Math"/>
          <w:i w:val="0"/>
          <w:lang w:val="en-US" w:eastAsia="zh-CN"/>
        </w:rPr>
      </w:pPr>
      <w:r>
        <w:rPr>
          <w:rFonts w:hint="eastAsia" w:hAnsi="Cambria Math"/>
          <w:i w:val="0"/>
          <w:lang w:val="en-US" w:eastAsia="zh-CN"/>
        </w:rPr>
        <w:t>其中：</w:t>
      </w:r>
    </w:p>
    <w:p w14:paraId="0FFAC2F1">
      <w:pPr>
        <w:numPr>
          <w:ilvl w:val="0"/>
          <w:numId w:val="0"/>
        </w:numPr>
        <w:ind w:leftChars="0"/>
        <w:rPr>
          <w:rFonts w:hint="eastAsia" w:hAnsi="Cambria Math"/>
          <w:i w:val="0"/>
          <w:lang w:val="en-US" w:eastAsia="zh-CN"/>
        </w:rPr>
      </w:pPr>
      <w:r>
        <w:rPr>
          <w:rFonts w:hint="eastAsia" w:hAnsi="Cambria Math"/>
          <w:i w:val="0"/>
          <w:lang w:val="en-US" w:eastAsia="zh-CN"/>
        </w:rPr>
        <w:t>·</w:t>
      </w:r>
      <m:oMath>
        <m:sSub>
          <m:sSubPr>
            <m:ctrlPr>
              <w:rPr>
                <w:rFonts w:ascii="Cambria Math" w:hAnsi="Cambria Math"/>
                <w:i/>
                <w:lang w:val="en-US"/>
              </w:rPr>
            </m:ctrlPr>
          </m:sSubPr>
          <m:e>
            <m:r>
              <m:rPr>
                <m:scr m:val="script"/>
              </m:rPr>
              <w:rPr>
                <w:rFonts w:ascii="Cambria Math" w:hAnsi="Cambria Math"/>
                <w:lang w:val="en-US"/>
              </w:rPr>
              <m:t>ℒ</m:t>
            </m:r>
            <m:ctrlPr>
              <w:rPr>
                <w:rFonts w:ascii="Cambria Math" w:hAnsi="Cambria Math"/>
                <w:i/>
                <w:lang w:val="en-US"/>
              </w:rPr>
            </m:ctrlPr>
          </m:e>
          <m:sub>
            <m:r>
              <m:rPr/>
              <w:rPr>
                <w:rFonts w:hint="default" w:ascii="Cambria Math" w:hAnsi="Cambria Math"/>
                <w:lang w:val="en-US" w:eastAsia="zh-CN"/>
              </w:rPr>
              <m:t>task, k</m:t>
            </m:r>
            <m:ctrlPr>
              <w:rPr>
                <w:rFonts w:ascii="Cambria Math" w:hAnsi="Cambria Math"/>
                <w:i/>
                <w:lang w:val="en-US"/>
              </w:rPr>
            </m:ctrlPr>
          </m:sub>
        </m:sSub>
      </m:oMath>
      <w:r>
        <w:rPr>
          <w:rFonts w:hint="eastAsia" w:hAnsi="Cambria Math"/>
          <w:i w:val="0"/>
          <w:lang w:val="en-US" w:eastAsia="zh-CN"/>
        </w:rPr>
        <w:t>是客户端本地分类损失；</w:t>
      </w:r>
    </w:p>
    <w:p w14:paraId="33F7A9E9">
      <w:pPr>
        <w:numPr>
          <w:ilvl w:val="0"/>
          <w:numId w:val="0"/>
        </w:numPr>
        <w:ind w:leftChars="0"/>
        <w:rPr>
          <w:rFonts w:hint="eastAsia" w:hAnsi="Cambria Math"/>
          <w:i w:val="0"/>
          <w:lang w:val="en-US" w:eastAsia="zh-CN"/>
        </w:rPr>
      </w:pPr>
      <w:r>
        <w:rPr>
          <w:rFonts w:hint="eastAsia" w:hAnsi="Cambria Math"/>
          <w:i w:val="0"/>
          <w:lang w:val="en-US" w:eastAsia="zh-CN"/>
        </w:rPr>
        <w:t>·</w:t>
      </w:r>
      <m:oMath>
        <m:sSup>
          <m:sSupPr>
            <m:ctrlPr>
              <w:rPr>
                <w:rFonts w:ascii="Cambria Math" w:hAnsi="Cambria Math"/>
                <w:i/>
                <w:lang w:val="en-US"/>
              </w:rPr>
            </m:ctrlPr>
          </m:sSupPr>
          <m:e>
            <m:r>
              <m:rPr/>
              <w:rPr>
                <w:rFonts w:hint="default" w:ascii="Cambria Math" w:hAnsi="Cambria Math"/>
                <w:lang w:val="en-US" w:eastAsia="zh-CN"/>
              </w:rPr>
              <m:t>w</m:t>
            </m:r>
            <m:ctrlPr>
              <w:rPr>
                <w:rFonts w:ascii="Cambria Math" w:hAnsi="Cambria Math"/>
                <w:i/>
                <w:lang w:val="en-US"/>
              </w:rPr>
            </m:ctrlPr>
          </m:e>
          <m:sup>
            <m:r>
              <m:rPr/>
              <w:rPr>
                <w:rFonts w:hint="default" w:ascii="Cambria Math" w:hAnsi="Cambria Math"/>
                <w:lang w:val="en-US" w:eastAsia="zh-CN"/>
              </w:rPr>
              <m:t>t</m:t>
            </m:r>
            <m:ctrlPr>
              <w:rPr>
                <w:rFonts w:ascii="Cambria Math" w:hAnsi="Cambria Math"/>
                <w:i/>
                <w:lang w:val="en-US"/>
              </w:rPr>
            </m:ctrlPr>
          </m:sup>
        </m:sSup>
      </m:oMath>
      <w:r>
        <w:rPr>
          <w:rFonts w:hint="eastAsia" w:hAnsi="Cambria Math"/>
          <w:i w:val="0"/>
          <w:lang w:val="en-US" w:eastAsia="zh-CN"/>
        </w:rPr>
        <w:t>是本轮开始时服务器下发的全局模型；</w:t>
      </w:r>
    </w:p>
    <w:p w14:paraId="56263C40">
      <w:pPr>
        <w:numPr>
          <w:ilvl w:val="0"/>
          <w:numId w:val="0"/>
        </w:numPr>
        <w:ind w:leftChars="0"/>
        <w:rPr>
          <w:rFonts w:hint="eastAsia" w:hAnsi="Cambria Math"/>
          <w:i w:val="0"/>
          <w:lang w:val="en-US" w:eastAsia="zh-CN"/>
        </w:rPr>
      </w:pPr>
      <w:r>
        <w:rPr>
          <w:rFonts w:hint="eastAsia" w:hAnsi="Cambria Math"/>
          <w:i w:val="0"/>
          <w:lang w:val="en-US" w:eastAsia="zh-CN"/>
        </w:rPr>
        <w:t>·w是客户端当前的模型；</w:t>
      </w:r>
    </w:p>
    <w:p w14:paraId="457B5093">
      <w:pPr>
        <w:numPr>
          <w:ilvl w:val="0"/>
          <w:numId w:val="0"/>
        </w:numPr>
        <w:ind w:leftChars="0"/>
        <w:rPr>
          <w:rFonts w:hint="eastAsia" w:hAnsi="Cambria Math"/>
          <w:i w:val="0"/>
          <w:lang w:val="en-US" w:eastAsia="zh-CN"/>
        </w:rPr>
      </w:pPr>
      <w:r>
        <w:rPr>
          <w:rFonts w:hint="eastAsia" w:hAnsi="Cambria Math"/>
          <w:i w:val="0"/>
          <w:lang w:val="en-US" w:eastAsia="zh-CN"/>
        </w:rPr>
        <w:t>·μ是近端约束强度。</w:t>
      </w:r>
    </w:p>
    <w:p w14:paraId="15018D66">
      <w:pPr>
        <m:rPr/>
        <w:rPr>
          <w:rFonts w:hint="default"/>
          <w:lang w:val="en-US" w:eastAsia="zh-CN"/>
        </w:rPr>
      </w:pPr>
      <w:r>
        <m:rPr/>
        <w:rPr>
          <w:rFonts w:hint="default"/>
          <w:lang w:val="en-US" w:eastAsia="zh-CN"/>
        </w:rPr>
        <w:t>当 μ=0 时，近端项消失，因此可作为同一训练器中的 FedAvg-equivalent control。正式配对实验在 α=0.1 和 α=0.5 上比较 μ=0 与 μ=0.1，统一使用客户端 SGD、学习率 0.1、零 momentum、服务器学习率 1.0、五客户端全参与、一个 local epoch、batch size 64 和 160 个通信轮次。</w:t>
      </w:r>
    </w:p>
    <w:p w14:paraId="3B459534">
      <w:pPr>
        <m:rPr/>
        <w:rPr>
          <w:rFonts w:hint="default"/>
          <w:lang w:val="en-US" w:eastAsia="zh-CN"/>
        </w:rPr>
      </w:pPr>
      <w:r>
        <m:rPr/>
        <w:rPr>
          <w:rFonts w:hint="default"/>
          <w:lang w:val="en-US" w:eastAsia="zh-CN"/>
        </w:rPr>
        <w:t>历史 Stage 1B FedAvg 使用 Adam，因此其结果只作为理解标签异构趋势的背景，不直接作为近端项因果效果的主对照。FedProx 的核心结论将来自同一 SGD 训练器中 μ=0 与 μ=0.1 的配对差异。初步配对实验表明，μ=0.1 在 α=0.1 和 α=0.5 下均提高 Test Accuracy 和 Macro-class Accuracy，并降低 Test Loss，但仍有部分类别出现下降。</w:t>
      </w:r>
    </w:p>
    <w:p w14:paraId="745C6E2D">
      <w:pPr>
        <w:pStyle w:val="3"/>
        <w:bidi w:val="0"/>
        <m:rPr/>
        <w:rPr>
          <w:rFonts w:hint="eastAsia"/>
          <w:lang w:val="en-US" w:eastAsia="zh-CN"/>
        </w:rPr>
      </w:pPr>
      <w:r>
        <m:rPr/>
        <w:rPr>
          <w:rFonts w:hint="eastAsia"/>
          <w:lang w:val="en-US" w:eastAsia="zh-CN"/>
        </w:rPr>
        <w:t>4.7 模型选择与评价指标</w:t>
      </w:r>
    </w:p>
    <w:p w14:paraId="62560699">
      <w:pPr>
        <m:rPr/>
        <w:rPr>
          <w:rFonts w:hint="default"/>
          <w:lang w:val="en-US" w:eastAsia="zh-CN"/>
        </w:rPr>
      </w:pPr>
      <w:r>
        <m:rPr/>
        <w:rPr>
          <w:rFonts w:hint="default"/>
          <w:lang w:val="en-US" w:eastAsia="zh-CN"/>
        </w:rPr>
        <w:t>每个客户端划分中的 10% 样本将保留为本地验证集，并合并为全局验证集。模型训练过程中根据 global validation accuracy 保存最佳 checkpoint，最终使用最佳模型在官方测试集上进行一次正式评价。</w:t>
      </w:r>
    </w:p>
    <w:p w14:paraId="66BEA23F">
      <w:pPr>
        <m:rPr/>
        <w:rPr>
          <w:rFonts w:hint="default"/>
          <w:lang w:val="en-US" w:eastAsia="zh-CN"/>
        </w:rPr>
      </w:pPr>
      <w:r>
        <m:rPr/>
        <w:rPr>
          <w:rFonts w:hint="default"/>
          <w:lang w:val="en-US" w:eastAsia="zh-CN"/>
        </w:rPr>
        <w:t>主要指标包括：</w:t>
      </w:r>
    </w:p>
    <w:p w14:paraId="72580C7C">
      <w:pPr>
        <m:rPr/>
        <w:rPr>
          <w:rFonts w:hint="default"/>
          <w:lang w:val="en-US" w:eastAsia="zh-CN"/>
        </w:rPr>
      </w:pPr>
      <w:r>
        <m:rPr/>
        <w:rPr>
          <w:rFonts w:hint="eastAsia"/>
          <w:lang w:val="en-US" w:eastAsia="zh-CN"/>
        </w:rPr>
        <w:t>·</w:t>
      </w:r>
      <w:r>
        <m:rPr/>
        <w:rPr>
          <w:rFonts w:hint="default"/>
          <w:lang w:val="en-US" w:eastAsia="zh-CN"/>
        </w:rPr>
        <w:t>Overall Test Accuracy；</w:t>
      </w:r>
    </w:p>
    <w:p w14:paraId="737F91A0">
      <w:pPr>
        <m:rPr/>
        <w:rPr>
          <w:rFonts w:hint="default"/>
          <w:lang w:val="en-US" w:eastAsia="zh-CN"/>
        </w:rPr>
      </w:pPr>
      <w:r>
        <m:rPr/>
        <w:rPr>
          <w:rFonts w:hint="eastAsia"/>
          <w:lang w:val="en-US" w:eastAsia="zh-CN"/>
        </w:rPr>
        <w:t>·</w:t>
      </w:r>
      <w:r>
        <m:rPr/>
        <w:rPr>
          <w:rFonts w:hint="default"/>
          <w:lang w:val="en-US" w:eastAsia="zh-CN"/>
        </w:rPr>
        <w:t>Test Loss；</w:t>
      </w:r>
    </w:p>
    <w:p w14:paraId="24485980">
      <w:pPr>
        <m:rPr/>
        <w:rPr>
          <w:rFonts w:hint="default"/>
          <w:lang w:val="en-US" w:eastAsia="zh-CN"/>
        </w:rPr>
      </w:pPr>
      <w:r>
        <m:rPr/>
        <w:rPr>
          <w:rFonts w:hint="eastAsia"/>
          <w:lang w:val="en-US" w:eastAsia="zh-CN"/>
        </w:rPr>
        <w:t>·</w:t>
      </w:r>
      <w:r>
        <m:rPr/>
        <w:rPr>
          <w:rFonts w:hint="default"/>
          <w:lang w:val="en-US" w:eastAsia="zh-CN"/>
        </w:rPr>
        <w:t>Macro-class Accuracy；</w:t>
      </w:r>
    </w:p>
    <w:p w14:paraId="186D676B">
      <w:pPr>
        <m:rPr/>
        <w:rPr>
          <w:rFonts w:hint="default"/>
          <w:lang w:val="en-US" w:eastAsia="zh-CN"/>
        </w:rPr>
      </w:pPr>
      <w:r>
        <m:rPr/>
        <w:rPr>
          <w:rFonts w:hint="eastAsia"/>
          <w:lang w:val="en-US" w:eastAsia="zh-CN"/>
        </w:rPr>
        <w:t>·</w:t>
      </w:r>
      <w:r>
        <m:rPr/>
        <w:rPr>
          <w:rFonts w:hint="default"/>
          <w:lang w:val="en-US" w:eastAsia="zh-CN"/>
        </w:rPr>
        <w:t>Per-class Accuracy；</w:t>
      </w:r>
    </w:p>
    <w:p w14:paraId="744BF541">
      <w:pPr>
        <m:rPr/>
        <w:rPr>
          <w:rFonts w:hint="default"/>
          <w:lang w:val="en-US" w:eastAsia="zh-CN"/>
        </w:rPr>
      </w:pPr>
      <w:r>
        <m:rPr/>
        <w:rPr>
          <w:rFonts w:hint="eastAsia"/>
          <w:lang w:val="en-US" w:eastAsia="zh-CN"/>
        </w:rPr>
        <w:t>·</w:t>
      </w:r>
      <w:r>
        <m:rPr/>
        <w:rPr>
          <w:rFonts w:hint="default"/>
          <w:lang w:val="en-US" w:eastAsia="zh-CN"/>
        </w:rPr>
        <w:t>Confusion Matrix；</w:t>
      </w:r>
    </w:p>
    <w:p w14:paraId="61DCCD79">
      <w:pPr>
        <m:rPr/>
        <w:rPr>
          <w:rFonts w:hint="default"/>
          <w:lang w:val="en-US" w:eastAsia="zh-CN"/>
        </w:rPr>
      </w:pPr>
      <w:r>
        <m:rPr/>
        <w:rPr>
          <w:rFonts w:hint="eastAsia"/>
          <w:lang w:val="en-US" w:eastAsia="zh-CN"/>
        </w:rPr>
        <w:t>·</w:t>
      </w:r>
      <w:r>
        <m:rPr/>
        <w:rPr>
          <w:rFonts w:hint="default"/>
          <w:lang w:val="en-US" w:eastAsia="zh-CN"/>
        </w:rPr>
        <w:t>Best Communication Round；</w:t>
      </w:r>
    </w:p>
    <w:p w14:paraId="45924D18">
      <w:pPr>
        <m:rPr/>
        <w:rPr>
          <w:rFonts w:hint="default"/>
          <w:lang w:val="en-US" w:eastAsia="zh-CN"/>
        </w:rPr>
      </w:pPr>
      <w:r>
        <m:rPr/>
        <w:rPr>
          <w:rFonts w:hint="eastAsia"/>
          <w:lang w:val="en-US" w:eastAsia="zh-CN"/>
        </w:rPr>
        <w:t>·</w:t>
      </w:r>
      <w:r>
        <m:rPr/>
        <w:rPr>
          <w:rFonts w:hint="default"/>
          <w:lang w:val="en-US" w:eastAsia="zh-CN"/>
        </w:rPr>
        <w:t>训练和验证曲线；</w:t>
      </w:r>
    </w:p>
    <w:p w14:paraId="221C5750">
      <w:pPr>
        <m:rPr/>
        <w:rPr>
          <w:rFonts w:hint="default"/>
          <w:lang w:val="en-US" w:eastAsia="zh-CN"/>
        </w:rPr>
      </w:pPr>
      <w:r>
        <m:rPr/>
        <w:rPr>
          <w:rFonts w:hint="eastAsia"/>
          <w:lang w:val="en-US" w:eastAsia="zh-CN"/>
        </w:rPr>
        <w:t>·</w:t>
      </w:r>
      <w:r>
        <m:rPr/>
        <w:rPr>
          <w:rFonts w:hint="default"/>
          <w:lang w:val="en-US" w:eastAsia="zh-CN"/>
        </w:rPr>
        <w:t>估算通信字节。</w:t>
      </w:r>
    </w:p>
    <w:p w14:paraId="0FD4EAF3">
      <w:pPr>
        <m:rPr/>
        <w:rPr>
          <w:rFonts w:hint="default"/>
          <w:lang w:val="en-US" w:eastAsia="zh-CN"/>
        </w:rPr>
      </w:pPr>
      <w:r>
        <m:rPr/>
        <w:rPr>
          <w:rFonts w:hint="default"/>
          <w:lang w:val="en-US" w:eastAsia="zh-CN"/>
        </w:rPr>
        <w:t>Macro-class Accuracy 对 43 个类别赋予相同权重，可用于识别总体准确率可能掩盖的弱类别。逐类别准确率和混淆矩阵则用于判断性能下降是均匀发生，还是集中在特定类别和错误类别对。</w:t>
      </w:r>
    </w:p>
    <w:p w14:paraId="6D13EE5D">
      <w:pPr>
        <w:pStyle w:val="3"/>
        <w:bidi w:val="0"/>
        <m:rPr/>
        <w:rPr>
          <w:rFonts w:hint="eastAsia"/>
          <w:lang w:val="en-US" w:eastAsia="zh-CN"/>
        </w:rPr>
      </w:pPr>
      <w:r>
        <m:rPr/>
        <w:rPr>
          <w:rFonts w:hint="eastAsia"/>
          <w:lang w:val="en-US" w:eastAsia="zh-CN"/>
        </w:rPr>
        <w:t>4.8 可复现性与实验有效性</w:t>
      </w:r>
    </w:p>
    <w:p w14:paraId="5BE23BBE">
      <w:pPr>
        <m:rPr/>
        <w:rPr>
          <w:rFonts w:hint="default"/>
          <w:lang w:val="en-US" w:eastAsia="zh-CN"/>
        </w:rPr>
      </w:pPr>
      <w:r>
        <m:rPr/>
        <w:rPr>
          <w:rFonts w:hint="default"/>
          <w:lang w:val="en-US" w:eastAsia="zh-CN"/>
        </w:rPr>
        <w:t>本项目将保存实验配置、固定客户端 CSV、每轮指标、最佳与最终 checkpoint、官方测试结果、逐类别准确率和混淆矩阵。配对实验还将检查：</w:t>
      </w:r>
    </w:p>
    <w:p w14:paraId="2C214AFD">
      <w:pPr>
        <m:rPr/>
        <w:rPr>
          <w:rFonts w:hint="default"/>
          <w:lang w:val="en-US" w:eastAsia="zh-CN"/>
        </w:rPr>
      </w:pPr>
      <w:r>
        <m:rPr/>
        <w:rPr>
          <w:rFonts w:hint="eastAsia"/>
          <w:lang w:val="en-US" w:eastAsia="zh-CN"/>
        </w:rPr>
        <w:t>·</w:t>
      </w:r>
      <w:r>
        <m:rPr/>
        <w:rPr>
          <w:rFonts w:hint="default"/>
          <w:lang w:val="en-US" w:eastAsia="zh-CN"/>
        </w:rPr>
        <w:t>Round 0 初始模型权重是否一致；</w:t>
      </w:r>
    </w:p>
    <w:p w14:paraId="3FCDCC40">
      <w:pPr>
        <m:rPr/>
        <w:rPr>
          <w:rFonts w:hint="default"/>
          <w:lang w:val="en-US" w:eastAsia="zh-CN"/>
        </w:rPr>
      </w:pPr>
      <w:r>
        <m:rPr/>
        <w:rPr>
          <w:rFonts w:hint="eastAsia"/>
          <w:lang w:val="en-US" w:eastAsia="zh-CN"/>
        </w:rPr>
        <w:t>·</w:t>
      </w:r>
      <w:r>
        <m:rPr/>
        <w:rPr>
          <w:rFonts w:hint="default"/>
          <w:lang w:val="en-US" w:eastAsia="zh-CN"/>
        </w:rPr>
        <w:t>数据划分和客户端顺序是否一致；</w:t>
      </w:r>
    </w:p>
    <w:p w14:paraId="6E9FF8B5">
      <w:pPr>
        <m:rPr/>
        <w:rPr>
          <w:rFonts w:hint="default"/>
          <w:lang w:val="en-US" w:eastAsia="zh-CN"/>
        </w:rPr>
      </w:pPr>
      <w:r>
        <m:rPr/>
        <w:rPr>
          <w:rFonts w:hint="eastAsia"/>
          <w:lang w:val="en-US" w:eastAsia="zh-CN"/>
        </w:rPr>
        <w:t>·</w:t>
      </w:r>
      <w:r>
        <m:rPr/>
        <w:rPr>
          <w:rFonts w:hint="default"/>
          <w:lang w:val="en-US" w:eastAsia="zh-CN"/>
        </w:rPr>
        <w:t>模型更新是否全部为有限数值；</w:t>
      </w:r>
    </w:p>
    <w:p w14:paraId="219DACCD">
      <w:pPr>
        <m:rPr/>
        <w:rPr>
          <w:rFonts w:hint="default"/>
          <w:lang w:val="en-US" w:eastAsia="zh-CN"/>
        </w:rPr>
      </w:pPr>
      <w:r>
        <m:rPr/>
        <w:rPr>
          <w:rFonts w:hint="eastAsia"/>
          <w:lang w:val="en-US" w:eastAsia="zh-CN"/>
        </w:rPr>
        <w:t>·</w:t>
      </w:r>
      <w:r>
        <m:rPr/>
        <w:rPr>
          <w:rFonts w:hint="default"/>
          <w:lang w:val="en-US" w:eastAsia="zh-CN"/>
        </w:rPr>
        <w:t>服务器聚合是否按客户端样本数执行；</w:t>
      </w:r>
    </w:p>
    <w:p w14:paraId="1BDB3590">
      <w:pPr>
        <m:rPr/>
        <w:rPr>
          <w:rFonts w:hint="default"/>
          <w:lang w:val="en-US" w:eastAsia="zh-CN"/>
        </w:rPr>
      </w:pPr>
      <w:r>
        <m:rPr/>
        <w:rPr>
          <w:rFonts w:hint="eastAsia"/>
          <w:lang w:val="en-US" w:eastAsia="zh-CN"/>
        </w:rPr>
        <w:t>·</w:t>
      </w:r>
      <w:r>
        <m:rPr/>
        <w:rPr>
          <w:rFonts w:hint="default"/>
          <w:lang w:val="en-US" w:eastAsia="zh-CN"/>
        </w:rPr>
        <w:t>连续训练与 checkpoint 恢复训练是否一致；</w:t>
      </w:r>
    </w:p>
    <w:p w14:paraId="693EF90D">
      <w:pPr>
        <m:rPr/>
        <w:rPr>
          <w:rFonts w:hint="default"/>
          <w:lang w:val="en-US" w:eastAsia="zh-CN"/>
        </w:rPr>
      </w:pPr>
      <w:r>
        <m:rPr/>
        <w:rPr>
          <w:rFonts w:hint="eastAsia"/>
          <w:lang w:val="en-US" w:eastAsia="zh-CN"/>
        </w:rPr>
        <w:t>·</w:t>
      </w:r>
      <w:r>
        <m:rPr/>
        <w:rPr>
          <w:rFonts w:hint="default"/>
          <w:lang w:val="en-US" w:eastAsia="zh-CN"/>
        </w:rPr>
        <w:t>官方测试集是否在参数冻结后才被使用。</w:t>
      </w:r>
    </w:p>
    <w:p w14:paraId="3CD7A0E5">
      <w:pPr>
        <m:rPr/>
        <w:rPr>
          <w:rFonts w:hint="default"/>
          <w:lang w:val="en-US" w:eastAsia="zh-CN"/>
        </w:rPr>
      </w:pPr>
      <w:r>
        <m:rPr/>
        <w:rPr>
          <w:rFonts w:hint="default"/>
          <w:lang w:val="en-US" w:eastAsia="zh-CN"/>
        </w:rPr>
        <w:t>这些措施既是工程实现的一部分，也是保证实验结论可审计和可解释的研究设计。由于目前正式实验只使用一个固定随机种子，结果将被表述为当前实验条件下的证据，而不提供统计显著性或普遍性结论。</w:t>
      </w:r>
    </w:p>
    <w:p w14:paraId="59D35703">
      <w:pPr>
        <w:pStyle w:val="2"/>
        <w:bidi w:val="0"/>
        <m:rPr/>
        <w:rPr>
          <w:rFonts w:hint="eastAsia"/>
          <w:lang w:val="en-US" w:eastAsia="zh-CN"/>
        </w:rPr>
      </w:pPr>
      <w:r>
        <m:rPr/>
        <w:rPr>
          <w:rFonts w:hint="eastAsia"/>
          <w:lang w:val="en-US" w:eastAsia="zh-CN"/>
        </w:rPr>
        <w:t>5 Expected Outcomes</w:t>
      </w:r>
    </w:p>
    <w:p w14:paraId="09CDBCD6">
      <w:pPr>
        <m:rPr/>
        <w:rPr>
          <w:rFonts w:hint="default"/>
          <w:lang w:val="en-US" w:eastAsia="zh-CN"/>
        </w:rPr>
      </w:pPr>
      <w:r>
        <m:rPr/>
        <w:rPr>
          <w:rFonts w:hint="default"/>
          <w:lang w:val="en-US" w:eastAsia="zh-CN"/>
        </w:rPr>
        <w:t>本项目预期形成以下研究成果。</w:t>
      </w:r>
    </w:p>
    <w:p w14:paraId="367D4F96">
      <w:pPr>
        <m:rPr/>
        <w:rPr>
          <w:rFonts w:hint="default"/>
          <w:lang w:val="en-US" w:eastAsia="zh-CN"/>
        </w:rPr>
      </w:pPr>
      <w:r>
        <m:rPr/>
        <w:rPr>
          <w:rFonts w:hint="default"/>
          <w:lang w:val="en-US" w:eastAsia="zh-CN"/>
        </w:rPr>
        <w:t>首先，项目将建立一个完整、可复现的五客户端联邦交通标志识别流程。该流程应能够支持固定数据划分、客户端本地训练、样本量加权聚合、每轮指标记录、模型保存和训练恢复，并能够在相同评估规则下比较 Centralised、Local-only、FedAvg 和 FedProx。初步实验已经证明该流程具备技术可行性，正式 Proposal 将把这些已有工作作为后续研究的可靠基础。</w:t>
      </w:r>
    </w:p>
    <w:p w14:paraId="59120228">
      <w:pPr>
        <m:rPr/>
        <w:rPr>
          <w:rFonts w:hint="default"/>
          <w:lang w:val="en-US" w:eastAsia="zh-CN"/>
        </w:rPr>
      </w:pPr>
      <w:r>
        <m:rPr/>
        <w:rPr>
          <w:rFonts w:hint="default"/>
          <w:lang w:val="en-US" w:eastAsia="zh-CN"/>
        </w:rPr>
        <w:t>其次，研究预期刻画 FedAvg 在不同标签异构强度下的实际性能边界。根据初步结果，FedAvg 预计不会在轻度 Non-IID 条件下立即失效，而是在 α 值降低、类别逐渐集中到少数客户端后出现更明显退化。研究将进一步说明这种退化不仅体现在总体测试准确率，也可能首先出现在 Macro-class Accuracy 和个别低频类别中。</w:t>
      </w:r>
    </w:p>
    <w:p w14:paraId="5BD413EB">
      <w:pPr>
        <m:rPr/>
        <w:rPr>
          <w:rFonts w:hint="default"/>
          <w:lang w:val="en-US" w:eastAsia="zh-CN"/>
        </w:rPr>
      </w:pPr>
      <w:r>
        <m:rPr/>
        <w:rPr>
          <w:rFonts w:hint="default"/>
          <w:lang w:val="en-US" w:eastAsia="zh-CN"/>
        </w:rPr>
        <w:t>第三，研究预期评价 FedProx 能否部分缓解强 Label Skew 下的性能下降。初步配对实验支持 μ=0.1 在 α=0.1 和 α=0.5 下优于严格匹配的 μ=0 控制组，且在更强异构条件下改善幅度更大。正式结论预计是 FedProx 能够减轻而不是完全消除客户端标签异构造成的问题，不应把它描述为对所有 Non-IID 场景的通用解决方案。</w:t>
      </w:r>
    </w:p>
    <w:p w14:paraId="147A3199">
      <w:pPr>
        <m:rPr/>
        <w:rPr>
          <w:rFonts w:hint="default"/>
          <w:lang w:val="en-US" w:eastAsia="zh-CN"/>
        </w:rPr>
      </w:pPr>
      <w:r>
        <m:rPr/>
        <w:rPr>
          <w:rFonts w:hint="default"/>
          <w:lang w:val="en-US" w:eastAsia="zh-CN"/>
        </w:rPr>
        <w:t>第四，项目预期证明类别级评价在交通标志识别中的必要性。总体准确率可能在多数样本类别表现较好时保持稳定，却掩盖某些交通标志类别接近或达到零准确率。通过 Macro-class Accuracy、Per-class Accuracy 和 Confusion Matrix，研究将识别哪些类别得到恢复、哪些类别继续退化，以及错误是否集中在特定类别对。</w:t>
      </w:r>
    </w:p>
    <w:p w14:paraId="051AAB71">
      <w:pPr>
        <m:rPr/>
        <w:rPr>
          <w:rFonts w:hint="default"/>
          <w:lang w:val="en-US" w:eastAsia="zh-CN"/>
        </w:rPr>
      </w:pPr>
      <w:r>
        <m:rPr/>
        <w:rPr>
          <w:rFonts w:hint="default"/>
          <w:lang w:val="en-US" w:eastAsia="zh-CN"/>
        </w:rPr>
        <w:t>最后，本项目预期形成一套可供后续研究复用的实验资产，包括固定 IID 与 Dirichlet 数据划分、统一模型与训练脚本、测试输出、checkpoint、实验配置和结果分析方法。这些资产可进一步支持多随机种子验证、部分客户端参与、多 local epochs、SCAFFOLD、MOON、FedBN、特征异构和通信压缩等扩展研究。</w:t>
      </w:r>
    </w:p>
    <w:p w14:paraId="1B8C7EFE">
      <w:pPr>
        <w:pStyle w:val="2"/>
        <w:bidi w:val="0"/>
        <m:rPr/>
        <w:rPr>
          <w:rFonts w:hint="eastAsia"/>
          <w:lang w:val="en-US" w:eastAsia="zh-CN"/>
        </w:rPr>
      </w:pPr>
      <w:r>
        <m:rPr/>
        <w:rPr>
          <w:rFonts w:hint="eastAsia"/>
          <w:lang w:val="en-US" w:eastAsia="zh-CN"/>
        </w:rPr>
        <w:t>6 Detailed Timeline</w:t>
      </w:r>
    </w:p>
    <w:p w14:paraId="1BC41F23">
      <w:pPr>
        <m:rPr/>
        <w:rPr>
          <w:rFonts w:hint="default"/>
          <w:lang w:val="en-US" w:eastAsia="zh-CN"/>
        </w:rPr>
      </w:pPr>
      <w:r>
        <m:rPr/>
        <w:rPr>
          <w:rFonts w:hint="default"/>
          <w:lang w:val="en-US" w:eastAsia="zh-CN"/>
        </w:rPr>
        <w:t>考虑到本 Proposal 在项目进行过程中撰写，时间表采用“研究计划与实际进度相结合”的形式，既说明原定目标，也标记已完成和仍待完成的工作。Workshop 的正式研究周期为 2026 年 7 月 3 日至 7 月 31 日，并要求在 Workshop 结束前提交 Proposal、Final Report 和完成线上汇报。</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72"/>
        <w:gridCol w:w="4397"/>
        <w:gridCol w:w="2264"/>
        <w:gridCol w:w="663"/>
      </w:tblGrid>
      <w:tr w14:paraId="7F8D4D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B55FFDB">
            <w:pPr>
              <w:keepNext w:val="0"/>
              <w:keepLines w:val="0"/>
              <w:widowControl/>
              <w:suppressLineNumbers w:val="0"/>
              <w:jc w:val="center"/>
              <w:rPr>
                <w:b/>
                <w:bCs/>
              </w:rPr>
            </w:pPr>
            <w:r>
              <w:rPr>
                <w:rFonts w:ascii="宋体" w:hAnsi="宋体" w:eastAsia="宋体" w:cs="宋体"/>
                <w:b/>
                <w:bCs/>
                <w:kern w:val="0"/>
                <w:sz w:val="24"/>
                <w:szCs w:val="24"/>
                <w:lang w:val="en-US" w:eastAsia="zh-CN" w:bidi="ar"/>
              </w:rPr>
              <w:t>时间</w:t>
            </w:r>
          </w:p>
        </w:tc>
        <w:tc>
          <w:tcPr>
            <w:tcW w:w="0" w:type="auto"/>
            <w:shd w:val="clear"/>
            <w:vAlign w:val="center"/>
          </w:tcPr>
          <w:p w14:paraId="3E2EC60D">
            <w:pPr>
              <w:keepNext w:val="0"/>
              <w:keepLines w:val="0"/>
              <w:widowControl/>
              <w:suppressLineNumbers w:val="0"/>
              <w:jc w:val="center"/>
              <w:rPr>
                <w:b/>
                <w:bCs/>
              </w:rPr>
            </w:pPr>
            <w:r>
              <w:rPr>
                <w:rFonts w:ascii="宋体" w:hAnsi="宋体" w:eastAsia="宋体" w:cs="宋体"/>
                <w:b/>
                <w:bCs/>
                <w:kern w:val="0"/>
                <w:sz w:val="24"/>
                <w:szCs w:val="24"/>
                <w:lang w:val="en-US" w:eastAsia="zh-CN" w:bidi="ar"/>
              </w:rPr>
              <w:t>研究目标与主要工作</w:t>
            </w:r>
          </w:p>
        </w:tc>
        <w:tc>
          <w:tcPr>
            <w:tcW w:w="0" w:type="auto"/>
            <w:shd w:val="clear"/>
            <w:vAlign w:val="center"/>
          </w:tcPr>
          <w:p w14:paraId="295CDF3A">
            <w:pPr>
              <w:keepNext w:val="0"/>
              <w:keepLines w:val="0"/>
              <w:widowControl/>
              <w:suppressLineNumbers w:val="0"/>
              <w:jc w:val="center"/>
              <w:rPr>
                <w:b/>
                <w:bCs/>
              </w:rPr>
            </w:pPr>
            <w:r>
              <w:rPr>
                <w:rFonts w:ascii="宋体" w:hAnsi="宋体" w:eastAsia="宋体" w:cs="宋体"/>
                <w:b/>
                <w:bCs/>
                <w:kern w:val="0"/>
                <w:sz w:val="24"/>
                <w:szCs w:val="24"/>
                <w:lang w:val="en-US" w:eastAsia="zh-CN" w:bidi="ar"/>
              </w:rPr>
              <w:t>目标成果</w:t>
            </w:r>
          </w:p>
        </w:tc>
        <w:tc>
          <w:tcPr>
            <w:tcW w:w="0" w:type="auto"/>
            <w:shd w:val="clear"/>
            <w:vAlign w:val="center"/>
          </w:tcPr>
          <w:p w14:paraId="0CEBD8B6">
            <w:pPr>
              <w:keepNext w:val="0"/>
              <w:keepLines w:val="0"/>
              <w:widowControl/>
              <w:suppressLineNumbers w:val="0"/>
              <w:jc w:val="center"/>
              <w:rPr>
                <w:b/>
                <w:bCs/>
              </w:rPr>
            </w:pPr>
            <w:r>
              <w:rPr>
                <w:rFonts w:ascii="宋体" w:hAnsi="宋体" w:eastAsia="宋体" w:cs="宋体"/>
                <w:b/>
                <w:bCs/>
                <w:kern w:val="0"/>
                <w:sz w:val="24"/>
                <w:szCs w:val="24"/>
                <w:lang w:val="en-US" w:eastAsia="zh-CN" w:bidi="ar"/>
              </w:rPr>
              <w:t>状态</w:t>
            </w:r>
          </w:p>
        </w:tc>
      </w:tr>
      <w:tr w14:paraId="6ADDDA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374A9DD">
            <w:pPr>
              <w:keepNext w:val="0"/>
              <w:keepLines w:val="0"/>
              <w:widowControl/>
              <w:suppressLineNumbers w:val="0"/>
              <w:jc w:val="left"/>
            </w:pPr>
            <w:r>
              <w:rPr>
                <w:rFonts w:ascii="宋体" w:hAnsi="宋体" w:eastAsia="宋体" w:cs="宋体"/>
                <w:kern w:val="0"/>
                <w:sz w:val="24"/>
                <w:szCs w:val="24"/>
                <w:lang w:val="en-US" w:eastAsia="zh-CN" w:bidi="ar"/>
              </w:rPr>
              <w:t>3–7 July 2026</w:t>
            </w:r>
          </w:p>
        </w:tc>
        <w:tc>
          <w:tcPr>
            <w:tcW w:w="0" w:type="auto"/>
            <w:shd w:val="clear"/>
            <w:vAlign w:val="center"/>
          </w:tcPr>
          <w:p w14:paraId="60AEAEC0">
            <w:pPr>
              <w:keepNext w:val="0"/>
              <w:keepLines w:val="0"/>
              <w:widowControl/>
              <w:suppressLineNumbers w:val="0"/>
              <w:jc w:val="left"/>
            </w:pPr>
            <w:r>
              <w:rPr>
                <w:rFonts w:ascii="宋体" w:hAnsi="宋体" w:eastAsia="宋体" w:cs="宋体"/>
                <w:kern w:val="0"/>
                <w:sz w:val="24"/>
                <w:szCs w:val="24"/>
                <w:lang w:val="en-US" w:eastAsia="zh-CN" w:bidi="ar"/>
              </w:rPr>
              <w:t>阅读联邦学习、FedAvg、FedProx、Non-IID 和 GTSRB 相关文献；确定研究问题和技术路线</w:t>
            </w:r>
          </w:p>
        </w:tc>
        <w:tc>
          <w:tcPr>
            <w:tcW w:w="0" w:type="auto"/>
            <w:shd w:val="clear"/>
            <w:vAlign w:val="center"/>
          </w:tcPr>
          <w:p w14:paraId="7D99965F">
            <w:pPr>
              <w:keepNext w:val="0"/>
              <w:keepLines w:val="0"/>
              <w:widowControl/>
              <w:suppressLineNumbers w:val="0"/>
              <w:jc w:val="left"/>
            </w:pPr>
            <w:r>
              <w:rPr>
                <w:rFonts w:ascii="宋体" w:hAnsi="宋体" w:eastAsia="宋体" w:cs="宋体"/>
                <w:kern w:val="0"/>
                <w:sz w:val="24"/>
                <w:szCs w:val="24"/>
                <w:lang w:val="en-US" w:eastAsia="zh-CN" w:bidi="ar"/>
              </w:rPr>
              <w:t>文献框架、研究题目、初步实施方案</w:t>
            </w:r>
          </w:p>
        </w:tc>
        <w:tc>
          <w:tcPr>
            <w:tcW w:w="0" w:type="auto"/>
            <w:shd w:val="clear"/>
            <w:vAlign w:val="center"/>
          </w:tcPr>
          <w:p w14:paraId="0ECBF617">
            <w:pPr>
              <w:keepNext w:val="0"/>
              <w:keepLines w:val="0"/>
              <w:widowControl/>
              <w:suppressLineNumbers w:val="0"/>
              <w:jc w:val="left"/>
            </w:pPr>
            <w:r>
              <w:rPr>
                <w:rFonts w:ascii="宋体" w:hAnsi="宋体" w:eastAsia="宋体" w:cs="宋体"/>
                <w:kern w:val="0"/>
                <w:sz w:val="24"/>
                <w:szCs w:val="24"/>
                <w:lang w:val="en-US" w:eastAsia="zh-CN" w:bidi="ar"/>
              </w:rPr>
              <w:t>已完成</w:t>
            </w:r>
          </w:p>
        </w:tc>
      </w:tr>
      <w:tr w14:paraId="575A8E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88843A0">
            <w:pPr>
              <w:keepNext w:val="0"/>
              <w:keepLines w:val="0"/>
              <w:widowControl/>
              <w:suppressLineNumbers w:val="0"/>
              <w:jc w:val="left"/>
            </w:pPr>
            <w:r>
              <w:rPr>
                <w:rFonts w:ascii="宋体" w:hAnsi="宋体" w:eastAsia="宋体" w:cs="宋体"/>
                <w:kern w:val="0"/>
                <w:sz w:val="24"/>
                <w:szCs w:val="24"/>
                <w:lang w:val="en-US" w:eastAsia="zh-CN" w:bidi="ar"/>
              </w:rPr>
              <w:t>8–12 July</w:t>
            </w:r>
          </w:p>
        </w:tc>
        <w:tc>
          <w:tcPr>
            <w:tcW w:w="0" w:type="auto"/>
            <w:shd w:val="clear"/>
            <w:vAlign w:val="center"/>
          </w:tcPr>
          <w:p w14:paraId="505372E1">
            <w:pPr>
              <w:keepNext w:val="0"/>
              <w:keepLines w:val="0"/>
              <w:widowControl/>
              <w:suppressLineNumbers w:val="0"/>
              <w:jc w:val="left"/>
            </w:pPr>
            <w:r>
              <w:rPr>
                <w:rFonts w:ascii="宋体" w:hAnsi="宋体" w:eastAsia="宋体" w:cs="宋体"/>
                <w:kern w:val="0"/>
                <w:sz w:val="24"/>
                <w:szCs w:val="24"/>
                <w:lang w:val="en-US" w:eastAsia="zh-CN" w:bidi="ar"/>
              </w:rPr>
              <w:t>配置 TensorFlow Federated 环境；检查和预处理 GTSRB；建立五客户端 IID 划分</w:t>
            </w:r>
          </w:p>
        </w:tc>
        <w:tc>
          <w:tcPr>
            <w:tcW w:w="0" w:type="auto"/>
            <w:shd w:val="clear"/>
            <w:vAlign w:val="center"/>
          </w:tcPr>
          <w:p w14:paraId="2805AA4F">
            <w:pPr>
              <w:keepNext w:val="0"/>
              <w:keepLines w:val="0"/>
              <w:widowControl/>
              <w:suppressLineNumbers w:val="0"/>
              <w:jc w:val="left"/>
            </w:pPr>
            <w:r>
              <w:rPr>
                <w:rFonts w:ascii="宋体" w:hAnsi="宋体" w:eastAsia="宋体" w:cs="宋体"/>
                <w:kern w:val="0"/>
                <w:sz w:val="24"/>
                <w:szCs w:val="24"/>
                <w:lang w:val="en-US" w:eastAsia="zh-CN" w:bidi="ar"/>
              </w:rPr>
              <w:t>可复现数据流水线与客户端数据</w:t>
            </w:r>
          </w:p>
        </w:tc>
        <w:tc>
          <w:tcPr>
            <w:tcW w:w="0" w:type="auto"/>
            <w:shd w:val="clear"/>
            <w:vAlign w:val="center"/>
          </w:tcPr>
          <w:p w14:paraId="75066987">
            <w:pPr>
              <w:keepNext w:val="0"/>
              <w:keepLines w:val="0"/>
              <w:widowControl/>
              <w:suppressLineNumbers w:val="0"/>
              <w:jc w:val="left"/>
            </w:pPr>
            <w:r>
              <w:rPr>
                <w:rFonts w:ascii="宋体" w:hAnsi="宋体" w:eastAsia="宋体" w:cs="宋体"/>
                <w:kern w:val="0"/>
                <w:sz w:val="24"/>
                <w:szCs w:val="24"/>
                <w:lang w:val="en-US" w:eastAsia="zh-CN" w:bidi="ar"/>
              </w:rPr>
              <w:t>已完成</w:t>
            </w:r>
          </w:p>
        </w:tc>
      </w:tr>
      <w:tr w14:paraId="58EFDF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D5AFACC">
            <w:pPr>
              <w:keepNext w:val="0"/>
              <w:keepLines w:val="0"/>
              <w:widowControl/>
              <w:suppressLineNumbers w:val="0"/>
              <w:jc w:val="left"/>
            </w:pPr>
            <w:r>
              <w:rPr>
                <w:rFonts w:ascii="宋体" w:hAnsi="宋体" w:eastAsia="宋体" w:cs="宋体"/>
                <w:kern w:val="0"/>
                <w:sz w:val="24"/>
                <w:szCs w:val="24"/>
                <w:lang w:val="en-US" w:eastAsia="zh-CN" w:bidi="ar"/>
              </w:rPr>
              <w:t>13–17 July</w:t>
            </w:r>
          </w:p>
        </w:tc>
        <w:tc>
          <w:tcPr>
            <w:tcW w:w="0" w:type="auto"/>
            <w:shd w:val="clear"/>
            <w:vAlign w:val="center"/>
          </w:tcPr>
          <w:p w14:paraId="23979765">
            <w:pPr>
              <w:keepNext w:val="0"/>
              <w:keepLines w:val="0"/>
              <w:widowControl/>
              <w:suppressLineNumbers w:val="0"/>
              <w:jc w:val="left"/>
            </w:pPr>
            <w:r>
              <w:rPr>
                <w:rFonts w:ascii="宋体" w:hAnsi="宋体" w:eastAsia="宋体" w:cs="宋体"/>
                <w:kern w:val="0"/>
                <w:sz w:val="24"/>
                <w:szCs w:val="24"/>
                <w:lang w:val="en-US" w:eastAsia="zh-CN" w:bidi="ar"/>
              </w:rPr>
              <w:t>实现 Centralised、Local-only 和 IID FedAvg；诊断 Batch Normalisation 状态问题并确定无 BN 模型</w:t>
            </w:r>
          </w:p>
        </w:tc>
        <w:tc>
          <w:tcPr>
            <w:tcW w:w="0" w:type="auto"/>
            <w:shd w:val="clear"/>
            <w:vAlign w:val="center"/>
          </w:tcPr>
          <w:p w14:paraId="41956A33">
            <w:pPr>
              <w:keepNext w:val="0"/>
              <w:keepLines w:val="0"/>
              <w:widowControl/>
              <w:suppressLineNumbers w:val="0"/>
              <w:jc w:val="left"/>
            </w:pPr>
            <w:r>
              <w:rPr>
                <w:rFonts w:ascii="宋体" w:hAnsi="宋体" w:eastAsia="宋体" w:cs="宋体"/>
                <w:kern w:val="0"/>
                <w:sz w:val="24"/>
                <w:szCs w:val="24"/>
                <w:lang w:val="en-US" w:eastAsia="zh-CN" w:bidi="ar"/>
              </w:rPr>
              <w:t>三组基线、模型与训练曲线</w:t>
            </w:r>
          </w:p>
        </w:tc>
        <w:tc>
          <w:tcPr>
            <w:tcW w:w="0" w:type="auto"/>
            <w:shd w:val="clear"/>
            <w:vAlign w:val="center"/>
          </w:tcPr>
          <w:p w14:paraId="4A5876D9">
            <w:pPr>
              <w:keepNext w:val="0"/>
              <w:keepLines w:val="0"/>
              <w:widowControl/>
              <w:suppressLineNumbers w:val="0"/>
              <w:jc w:val="left"/>
            </w:pPr>
            <w:r>
              <w:rPr>
                <w:rFonts w:ascii="宋体" w:hAnsi="宋体" w:eastAsia="宋体" w:cs="宋体"/>
                <w:kern w:val="0"/>
                <w:sz w:val="24"/>
                <w:szCs w:val="24"/>
                <w:lang w:val="en-US" w:eastAsia="zh-CN" w:bidi="ar"/>
              </w:rPr>
              <w:t>已完成</w:t>
            </w:r>
          </w:p>
        </w:tc>
      </w:tr>
      <w:tr w14:paraId="71B091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1261782">
            <w:pPr>
              <w:keepNext w:val="0"/>
              <w:keepLines w:val="0"/>
              <w:widowControl/>
              <w:suppressLineNumbers w:val="0"/>
              <w:jc w:val="left"/>
            </w:pPr>
            <w:r>
              <w:rPr>
                <w:rFonts w:ascii="宋体" w:hAnsi="宋体" w:eastAsia="宋体" w:cs="宋体"/>
                <w:kern w:val="0"/>
                <w:sz w:val="24"/>
                <w:szCs w:val="24"/>
                <w:lang w:val="en-US" w:eastAsia="zh-CN" w:bidi="ar"/>
              </w:rPr>
              <w:t>18–21 July</w:t>
            </w:r>
          </w:p>
        </w:tc>
        <w:tc>
          <w:tcPr>
            <w:tcW w:w="0" w:type="auto"/>
            <w:shd w:val="clear"/>
            <w:vAlign w:val="center"/>
          </w:tcPr>
          <w:p w14:paraId="19857B79">
            <w:pPr>
              <w:keepNext w:val="0"/>
              <w:keepLines w:val="0"/>
              <w:widowControl/>
              <w:suppressLineNumbers w:val="0"/>
              <w:jc w:val="left"/>
            </w:pPr>
            <w:r>
              <w:rPr>
                <w:rFonts w:ascii="宋体" w:hAnsi="宋体" w:eastAsia="宋体" w:cs="宋体"/>
                <w:kern w:val="0"/>
                <w:sz w:val="24"/>
                <w:szCs w:val="24"/>
                <w:lang w:val="en-US" w:eastAsia="zh-CN" w:bidi="ar"/>
              </w:rPr>
              <w:t>构造 α=10、1.0、0.5 和 0.1 的固定 Dirichlet 划分；完成 Non-IID FedAvg 实验</w:t>
            </w:r>
          </w:p>
        </w:tc>
        <w:tc>
          <w:tcPr>
            <w:tcW w:w="0" w:type="auto"/>
            <w:shd w:val="clear"/>
            <w:vAlign w:val="center"/>
          </w:tcPr>
          <w:p w14:paraId="387D574D">
            <w:pPr>
              <w:keepNext w:val="0"/>
              <w:keepLines w:val="0"/>
              <w:widowControl/>
              <w:suppressLineNumbers w:val="0"/>
              <w:jc w:val="left"/>
            </w:pPr>
            <w:r>
              <w:rPr>
                <w:rFonts w:ascii="宋体" w:hAnsi="宋体" w:eastAsia="宋体" w:cs="宋体"/>
                <w:kern w:val="0"/>
                <w:sz w:val="24"/>
                <w:szCs w:val="24"/>
                <w:lang w:val="en-US" w:eastAsia="zh-CN" w:bidi="ar"/>
              </w:rPr>
              <w:t>不同异构程度下的性能与类别分析</w:t>
            </w:r>
          </w:p>
        </w:tc>
        <w:tc>
          <w:tcPr>
            <w:tcW w:w="0" w:type="auto"/>
            <w:shd w:val="clear"/>
            <w:vAlign w:val="center"/>
          </w:tcPr>
          <w:p w14:paraId="05379402">
            <w:pPr>
              <w:keepNext w:val="0"/>
              <w:keepLines w:val="0"/>
              <w:widowControl/>
              <w:suppressLineNumbers w:val="0"/>
              <w:jc w:val="left"/>
            </w:pPr>
            <w:r>
              <w:rPr>
                <w:rFonts w:ascii="宋体" w:hAnsi="宋体" w:eastAsia="宋体" w:cs="宋体"/>
                <w:kern w:val="0"/>
                <w:sz w:val="24"/>
                <w:szCs w:val="24"/>
                <w:lang w:val="en-US" w:eastAsia="zh-CN" w:bidi="ar"/>
              </w:rPr>
              <w:t>已完成</w:t>
            </w:r>
          </w:p>
        </w:tc>
      </w:tr>
      <w:tr w14:paraId="319193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5A514BE">
            <w:pPr>
              <w:keepNext w:val="0"/>
              <w:keepLines w:val="0"/>
              <w:widowControl/>
              <w:suppressLineNumbers w:val="0"/>
              <w:jc w:val="left"/>
            </w:pPr>
            <w:r>
              <w:rPr>
                <w:rFonts w:ascii="宋体" w:hAnsi="宋体" w:eastAsia="宋体" w:cs="宋体"/>
                <w:kern w:val="0"/>
                <w:sz w:val="24"/>
                <w:szCs w:val="24"/>
                <w:lang w:val="en-US" w:eastAsia="zh-CN" w:bidi="ar"/>
              </w:rPr>
              <w:t>22–24 July</w:t>
            </w:r>
          </w:p>
        </w:tc>
        <w:tc>
          <w:tcPr>
            <w:tcW w:w="0" w:type="auto"/>
            <w:shd w:val="clear"/>
            <w:vAlign w:val="center"/>
          </w:tcPr>
          <w:p w14:paraId="720B223D">
            <w:pPr>
              <w:keepNext w:val="0"/>
              <w:keepLines w:val="0"/>
              <w:widowControl/>
              <w:suppressLineNumbers w:val="0"/>
              <w:jc w:val="left"/>
            </w:pPr>
            <w:r>
              <w:rPr>
                <w:rFonts w:ascii="宋体" w:hAnsi="宋体" w:eastAsia="宋体" w:cs="宋体"/>
                <w:kern w:val="0"/>
                <w:sz w:val="24"/>
                <w:szCs w:val="24"/>
                <w:lang w:val="en-US" w:eastAsia="zh-CN" w:bidi="ar"/>
              </w:rPr>
              <w:t>实现 FedProx；完成 μ=0 退化检查、学习率筛选和 μ 参数筛选</w:t>
            </w:r>
          </w:p>
        </w:tc>
        <w:tc>
          <w:tcPr>
            <w:tcW w:w="0" w:type="auto"/>
            <w:shd w:val="clear"/>
            <w:vAlign w:val="center"/>
          </w:tcPr>
          <w:p w14:paraId="4BAFF9AA">
            <w:pPr>
              <w:keepNext w:val="0"/>
              <w:keepLines w:val="0"/>
              <w:widowControl/>
              <w:suppressLineNumbers w:val="0"/>
              <w:jc w:val="left"/>
            </w:pPr>
            <w:r>
              <w:rPr>
                <w:rFonts w:ascii="宋体" w:hAnsi="宋体" w:eastAsia="宋体" w:cs="宋体"/>
                <w:kern w:val="0"/>
                <w:sz w:val="24"/>
                <w:szCs w:val="24"/>
                <w:lang w:val="en-US" w:eastAsia="zh-CN" w:bidi="ar"/>
              </w:rPr>
              <w:t>可验证的 FedProx 训练器与冻结参数</w:t>
            </w:r>
          </w:p>
        </w:tc>
        <w:tc>
          <w:tcPr>
            <w:tcW w:w="0" w:type="auto"/>
            <w:shd w:val="clear"/>
            <w:vAlign w:val="center"/>
          </w:tcPr>
          <w:p w14:paraId="49C1F6A1">
            <w:pPr>
              <w:keepNext w:val="0"/>
              <w:keepLines w:val="0"/>
              <w:widowControl/>
              <w:suppressLineNumbers w:val="0"/>
              <w:jc w:val="left"/>
            </w:pPr>
            <w:r>
              <w:rPr>
                <w:rFonts w:ascii="宋体" w:hAnsi="宋体" w:eastAsia="宋体" w:cs="宋体"/>
                <w:kern w:val="0"/>
                <w:sz w:val="24"/>
                <w:szCs w:val="24"/>
                <w:lang w:val="en-US" w:eastAsia="zh-CN" w:bidi="ar"/>
              </w:rPr>
              <w:t>已完成</w:t>
            </w:r>
          </w:p>
        </w:tc>
      </w:tr>
      <w:tr w14:paraId="1462AA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0F4EF91">
            <w:pPr>
              <w:keepNext w:val="0"/>
              <w:keepLines w:val="0"/>
              <w:widowControl/>
              <w:suppressLineNumbers w:val="0"/>
              <w:jc w:val="left"/>
            </w:pPr>
            <w:r>
              <w:rPr>
                <w:rFonts w:ascii="宋体" w:hAnsi="宋体" w:eastAsia="宋体" w:cs="宋体"/>
                <w:kern w:val="0"/>
                <w:sz w:val="24"/>
                <w:szCs w:val="24"/>
                <w:lang w:val="en-US" w:eastAsia="zh-CN" w:bidi="ar"/>
              </w:rPr>
              <w:t>25–27 July</w:t>
            </w:r>
          </w:p>
        </w:tc>
        <w:tc>
          <w:tcPr>
            <w:tcW w:w="0" w:type="auto"/>
            <w:shd w:val="clear"/>
            <w:vAlign w:val="center"/>
          </w:tcPr>
          <w:p w14:paraId="27D4A0FD">
            <w:pPr>
              <w:keepNext w:val="0"/>
              <w:keepLines w:val="0"/>
              <w:widowControl/>
              <w:suppressLineNumbers w:val="0"/>
              <w:jc w:val="left"/>
            </w:pPr>
            <w:r>
              <w:rPr>
                <w:rFonts w:ascii="宋体" w:hAnsi="宋体" w:eastAsia="宋体" w:cs="宋体"/>
                <w:kern w:val="0"/>
                <w:sz w:val="24"/>
                <w:szCs w:val="24"/>
                <w:lang w:val="en-US" w:eastAsia="zh-CN" w:bidi="ar"/>
              </w:rPr>
              <w:t>完成 α=0.1 和 α=0.5 下 μ=0/μ=0.1 的 160 轮正式配对实验；进行 checkpoint、类别和可比性审计</w:t>
            </w:r>
          </w:p>
        </w:tc>
        <w:tc>
          <w:tcPr>
            <w:tcW w:w="0" w:type="auto"/>
            <w:shd w:val="clear"/>
            <w:vAlign w:val="center"/>
          </w:tcPr>
          <w:p w14:paraId="72FF88BF">
            <w:pPr>
              <w:keepNext w:val="0"/>
              <w:keepLines w:val="0"/>
              <w:widowControl/>
              <w:suppressLineNumbers w:val="0"/>
              <w:jc w:val="left"/>
            </w:pPr>
            <w:r>
              <w:rPr>
                <w:rFonts w:ascii="宋体" w:hAnsi="宋体" w:eastAsia="宋体" w:cs="宋体"/>
                <w:kern w:val="0"/>
                <w:sz w:val="24"/>
                <w:szCs w:val="24"/>
                <w:lang w:val="en-US" w:eastAsia="zh-CN" w:bidi="ar"/>
              </w:rPr>
              <w:t>正式测试结果、逐类别结果与审计文件</w:t>
            </w:r>
          </w:p>
        </w:tc>
        <w:tc>
          <w:tcPr>
            <w:tcW w:w="0" w:type="auto"/>
            <w:shd w:val="clear"/>
            <w:vAlign w:val="center"/>
          </w:tcPr>
          <w:p w14:paraId="1003C67E">
            <w:pPr>
              <w:keepNext w:val="0"/>
              <w:keepLines w:val="0"/>
              <w:widowControl/>
              <w:suppressLineNumbers w:val="0"/>
              <w:jc w:val="left"/>
            </w:pPr>
            <w:r>
              <w:rPr>
                <w:rFonts w:ascii="宋体" w:hAnsi="宋体" w:eastAsia="宋体" w:cs="宋体"/>
                <w:kern w:val="0"/>
                <w:sz w:val="24"/>
                <w:szCs w:val="24"/>
                <w:lang w:val="en-US" w:eastAsia="zh-CN" w:bidi="ar"/>
              </w:rPr>
              <w:t>已完成</w:t>
            </w:r>
          </w:p>
        </w:tc>
      </w:tr>
      <w:tr w14:paraId="5A91A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6AC3D2B">
            <w:pPr>
              <w:keepNext w:val="0"/>
              <w:keepLines w:val="0"/>
              <w:widowControl/>
              <w:suppressLineNumbers w:val="0"/>
              <w:jc w:val="left"/>
            </w:pPr>
            <w:r>
              <w:rPr>
                <w:rFonts w:ascii="宋体" w:hAnsi="宋体" w:eastAsia="宋体" w:cs="宋体"/>
                <w:kern w:val="0"/>
                <w:sz w:val="24"/>
                <w:szCs w:val="24"/>
                <w:lang w:val="en-US" w:eastAsia="zh-CN" w:bidi="ar"/>
              </w:rPr>
              <w:t>28–29 July</w:t>
            </w:r>
          </w:p>
        </w:tc>
        <w:tc>
          <w:tcPr>
            <w:tcW w:w="0" w:type="auto"/>
            <w:shd w:val="clear"/>
            <w:vAlign w:val="center"/>
          </w:tcPr>
          <w:p w14:paraId="3CBB296B">
            <w:pPr>
              <w:keepNext w:val="0"/>
              <w:keepLines w:val="0"/>
              <w:widowControl/>
              <w:suppressLineNumbers w:val="0"/>
              <w:jc w:val="left"/>
            </w:pPr>
            <w:r>
              <w:rPr>
                <w:rFonts w:ascii="宋体" w:hAnsi="宋体" w:eastAsia="宋体" w:cs="宋体"/>
                <w:kern w:val="0"/>
                <w:sz w:val="24"/>
                <w:szCs w:val="24"/>
                <w:lang w:val="en-US" w:eastAsia="zh-CN" w:bidi="ar"/>
              </w:rPr>
              <w:t>完成 Research Proposal、Final Report 和主要图表；统一术语、引用和格式</w:t>
            </w:r>
          </w:p>
        </w:tc>
        <w:tc>
          <w:tcPr>
            <w:tcW w:w="0" w:type="auto"/>
            <w:shd w:val="clear"/>
            <w:vAlign w:val="center"/>
          </w:tcPr>
          <w:p w14:paraId="70EBA38C">
            <w:pPr>
              <w:keepNext w:val="0"/>
              <w:keepLines w:val="0"/>
              <w:widowControl/>
              <w:suppressLineNumbers w:val="0"/>
              <w:jc w:val="left"/>
            </w:pPr>
            <w:r>
              <w:rPr>
                <w:rFonts w:ascii="宋体" w:hAnsi="宋体" w:eastAsia="宋体" w:cs="宋体"/>
                <w:kern w:val="0"/>
                <w:sz w:val="24"/>
                <w:szCs w:val="24"/>
                <w:lang w:val="en-US" w:eastAsia="zh-CN" w:bidi="ar"/>
              </w:rPr>
              <w:t>可提交的研究文档</w:t>
            </w:r>
          </w:p>
        </w:tc>
        <w:tc>
          <w:tcPr>
            <w:tcW w:w="0" w:type="auto"/>
            <w:shd w:val="clear"/>
            <w:vAlign w:val="center"/>
          </w:tcPr>
          <w:p w14:paraId="57F4F1BB">
            <w:pPr>
              <w:keepNext w:val="0"/>
              <w:keepLines w:val="0"/>
              <w:widowControl/>
              <w:suppressLineNumbers w:val="0"/>
              <w:jc w:val="left"/>
            </w:pPr>
            <w:r>
              <w:rPr>
                <w:rFonts w:ascii="宋体" w:hAnsi="宋体" w:eastAsia="宋体" w:cs="宋体"/>
                <w:kern w:val="0"/>
                <w:sz w:val="24"/>
                <w:szCs w:val="24"/>
                <w:lang w:val="en-US" w:eastAsia="zh-CN" w:bidi="ar"/>
              </w:rPr>
              <w:t>进行中</w:t>
            </w:r>
          </w:p>
        </w:tc>
      </w:tr>
      <w:tr w14:paraId="11F44B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0A8DAE7">
            <w:pPr>
              <w:keepNext w:val="0"/>
              <w:keepLines w:val="0"/>
              <w:widowControl/>
              <w:suppressLineNumbers w:val="0"/>
              <w:jc w:val="left"/>
            </w:pPr>
            <w:r>
              <w:rPr>
                <w:rFonts w:ascii="宋体" w:hAnsi="宋体" w:eastAsia="宋体" w:cs="宋体"/>
                <w:kern w:val="0"/>
                <w:sz w:val="24"/>
                <w:szCs w:val="24"/>
                <w:lang w:val="en-US" w:eastAsia="zh-CN" w:bidi="ar"/>
              </w:rPr>
              <w:t>30 July</w:t>
            </w:r>
          </w:p>
        </w:tc>
        <w:tc>
          <w:tcPr>
            <w:tcW w:w="0" w:type="auto"/>
            <w:shd w:val="clear"/>
            <w:vAlign w:val="center"/>
          </w:tcPr>
          <w:p w14:paraId="490C35E6">
            <w:pPr>
              <w:keepNext w:val="0"/>
              <w:keepLines w:val="0"/>
              <w:widowControl/>
              <w:suppressLineNumbers w:val="0"/>
              <w:jc w:val="left"/>
            </w:pPr>
            <w:r>
              <w:rPr>
                <w:rFonts w:ascii="宋体" w:hAnsi="宋体" w:eastAsia="宋体" w:cs="宋体"/>
                <w:kern w:val="0"/>
                <w:sz w:val="24"/>
                <w:szCs w:val="24"/>
                <w:lang w:val="en-US" w:eastAsia="zh-CN" w:bidi="ar"/>
              </w:rPr>
              <w:t>完成导师反馈修改并提交 Proposal 与 Final Report</w:t>
            </w:r>
          </w:p>
        </w:tc>
        <w:tc>
          <w:tcPr>
            <w:tcW w:w="0" w:type="auto"/>
            <w:shd w:val="clear"/>
            <w:vAlign w:val="center"/>
          </w:tcPr>
          <w:p w14:paraId="2A075B26">
            <w:pPr>
              <w:keepNext w:val="0"/>
              <w:keepLines w:val="0"/>
              <w:widowControl/>
              <w:suppressLineNumbers w:val="0"/>
              <w:jc w:val="left"/>
            </w:pPr>
            <w:r>
              <w:rPr>
                <w:rFonts w:ascii="宋体" w:hAnsi="宋体" w:eastAsia="宋体" w:cs="宋体"/>
                <w:kern w:val="0"/>
                <w:sz w:val="24"/>
                <w:szCs w:val="24"/>
                <w:lang w:val="en-US" w:eastAsia="zh-CN" w:bidi="ar"/>
              </w:rPr>
              <w:t>正式提交文件</w:t>
            </w:r>
          </w:p>
        </w:tc>
        <w:tc>
          <w:tcPr>
            <w:tcW w:w="0" w:type="auto"/>
            <w:shd w:val="clear"/>
            <w:vAlign w:val="center"/>
          </w:tcPr>
          <w:p w14:paraId="1E4F91D0">
            <w:pPr>
              <w:keepNext w:val="0"/>
              <w:keepLines w:val="0"/>
              <w:widowControl/>
              <w:suppressLineNumbers w:val="0"/>
              <w:jc w:val="left"/>
            </w:pPr>
            <w:r>
              <w:rPr>
                <w:rFonts w:ascii="宋体" w:hAnsi="宋体" w:eastAsia="宋体" w:cs="宋体"/>
                <w:kern w:val="0"/>
                <w:sz w:val="24"/>
                <w:szCs w:val="24"/>
                <w:lang w:val="en-US" w:eastAsia="zh-CN" w:bidi="ar"/>
              </w:rPr>
              <w:t>计划完成</w:t>
            </w:r>
          </w:p>
        </w:tc>
      </w:tr>
      <w:tr w14:paraId="7DA348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83EA8A7">
            <w:pPr>
              <w:keepNext w:val="0"/>
              <w:keepLines w:val="0"/>
              <w:widowControl/>
              <w:suppressLineNumbers w:val="0"/>
              <w:jc w:val="left"/>
            </w:pPr>
            <w:r>
              <w:rPr>
                <w:rFonts w:ascii="宋体" w:hAnsi="宋体" w:eastAsia="宋体" w:cs="宋体"/>
                <w:kern w:val="0"/>
                <w:sz w:val="24"/>
                <w:szCs w:val="24"/>
                <w:lang w:val="en-US" w:eastAsia="zh-CN" w:bidi="ar"/>
              </w:rPr>
              <w:t>30–31 July</w:t>
            </w:r>
          </w:p>
        </w:tc>
        <w:tc>
          <w:tcPr>
            <w:tcW w:w="0" w:type="auto"/>
            <w:shd w:val="clear"/>
            <w:vAlign w:val="center"/>
          </w:tcPr>
          <w:p w14:paraId="133D1100">
            <w:pPr>
              <w:keepNext w:val="0"/>
              <w:keepLines w:val="0"/>
              <w:widowControl/>
              <w:suppressLineNumbers w:val="0"/>
              <w:jc w:val="left"/>
            </w:pPr>
            <w:r>
              <w:rPr>
                <w:rFonts w:ascii="宋体" w:hAnsi="宋体" w:eastAsia="宋体" w:cs="宋体"/>
                <w:kern w:val="0"/>
                <w:sz w:val="24"/>
                <w:szCs w:val="24"/>
                <w:lang w:val="en-US" w:eastAsia="zh-CN" w:bidi="ar"/>
              </w:rPr>
              <w:t>准备线上汇报，包括研究问题、方法、主要结果、限制与未来工作；完成答辩练习</w:t>
            </w:r>
          </w:p>
        </w:tc>
        <w:tc>
          <w:tcPr>
            <w:tcW w:w="0" w:type="auto"/>
            <w:shd w:val="clear"/>
            <w:vAlign w:val="center"/>
          </w:tcPr>
          <w:p w14:paraId="3C535997">
            <w:pPr>
              <w:keepNext w:val="0"/>
              <w:keepLines w:val="0"/>
              <w:widowControl/>
              <w:suppressLineNumbers w:val="0"/>
              <w:jc w:val="left"/>
            </w:pPr>
            <w:r>
              <w:rPr>
                <w:rFonts w:ascii="宋体" w:hAnsi="宋体" w:eastAsia="宋体" w:cs="宋体"/>
                <w:kern w:val="0"/>
                <w:sz w:val="24"/>
                <w:szCs w:val="24"/>
                <w:lang w:val="en-US" w:eastAsia="zh-CN" w:bidi="ar"/>
              </w:rPr>
              <w:t>Presentation slides 与口头汇报</w:t>
            </w:r>
          </w:p>
        </w:tc>
        <w:tc>
          <w:tcPr>
            <w:tcW w:w="0" w:type="auto"/>
            <w:shd w:val="clear"/>
            <w:vAlign w:val="center"/>
          </w:tcPr>
          <w:p w14:paraId="0894AB46">
            <w:pPr>
              <w:keepNext w:val="0"/>
              <w:keepLines w:val="0"/>
              <w:widowControl/>
              <w:suppressLineNumbers w:val="0"/>
              <w:jc w:val="left"/>
            </w:pPr>
            <w:r>
              <w:rPr>
                <w:rFonts w:ascii="宋体" w:hAnsi="宋体" w:eastAsia="宋体" w:cs="宋体"/>
                <w:kern w:val="0"/>
                <w:sz w:val="24"/>
                <w:szCs w:val="24"/>
                <w:lang w:val="en-US" w:eastAsia="zh-CN" w:bidi="ar"/>
              </w:rPr>
              <w:t>计划完成</w:t>
            </w:r>
          </w:p>
        </w:tc>
      </w:tr>
      <w:tr w14:paraId="5E783C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5CF33ED">
            <w:pPr>
              <w:keepNext w:val="0"/>
              <w:keepLines w:val="0"/>
              <w:widowControl/>
              <w:suppressLineNumbers w:val="0"/>
              <w:jc w:val="left"/>
            </w:pPr>
            <w:r>
              <w:rPr>
                <w:rFonts w:ascii="宋体" w:hAnsi="宋体" w:eastAsia="宋体" w:cs="宋体"/>
                <w:kern w:val="0"/>
                <w:sz w:val="24"/>
                <w:szCs w:val="24"/>
                <w:lang w:val="en-US" w:eastAsia="zh-CN" w:bidi="ar"/>
              </w:rPr>
              <w:t>31 July</w:t>
            </w:r>
          </w:p>
        </w:tc>
        <w:tc>
          <w:tcPr>
            <w:tcW w:w="0" w:type="auto"/>
            <w:shd w:val="clear"/>
            <w:vAlign w:val="center"/>
          </w:tcPr>
          <w:p w14:paraId="6126D6E6">
            <w:pPr>
              <w:keepNext w:val="0"/>
              <w:keepLines w:val="0"/>
              <w:widowControl/>
              <w:suppressLineNumbers w:val="0"/>
              <w:jc w:val="left"/>
            </w:pPr>
            <w:r>
              <w:rPr>
                <w:rFonts w:ascii="宋体" w:hAnsi="宋体" w:eastAsia="宋体" w:cs="宋体"/>
                <w:kern w:val="0"/>
                <w:sz w:val="24"/>
                <w:szCs w:val="24"/>
                <w:lang w:val="en-US" w:eastAsia="zh-CN" w:bidi="ar"/>
              </w:rPr>
              <w:t>完成线上研究汇报和 Workshop 相关收尾事项</w:t>
            </w:r>
          </w:p>
        </w:tc>
        <w:tc>
          <w:tcPr>
            <w:tcW w:w="0" w:type="auto"/>
            <w:shd w:val="clear"/>
            <w:vAlign w:val="center"/>
          </w:tcPr>
          <w:p w14:paraId="224D314A">
            <w:pPr>
              <w:keepNext w:val="0"/>
              <w:keepLines w:val="0"/>
              <w:widowControl/>
              <w:suppressLineNumbers w:val="0"/>
              <w:jc w:val="left"/>
            </w:pPr>
            <w:r>
              <w:rPr>
                <w:rFonts w:ascii="宋体" w:hAnsi="宋体" w:eastAsia="宋体" w:cs="宋体"/>
                <w:kern w:val="0"/>
                <w:sz w:val="24"/>
                <w:szCs w:val="24"/>
                <w:lang w:val="en-US" w:eastAsia="zh-CN" w:bidi="ar"/>
              </w:rPr>
              <w:t>项目展示与 Workshop 完成</w:t>
            </w:r>
          </w:p>
        </w:tc>
        <w:tc>
          <w:tcPr>
            <w:tcW w:w="0" w:type="auto"/>
            <w:shd w:val="clear"/>
            <w:vAlign w:val="center"/>
          </w:tcPr>
          <w:p w14:paraId="04BE3AF0">
            <w:pPr>
              <w:keepNext w:val="0"/>
              <w:keepLines w:val="0"/>
              <w:widowControl/>
              <w:suppressLineNumbers w:val="0"/>
              <w:jc w:val="left"/>
            </w:pPr>
            <w:r>
              <w:rPr>
                <w:rFonts w:ascii="宋体" w:hAnsi="宋体" w:eastAsia="宋体" w:cs="宋体"/>
                <w:kern w:val="0"/>
                <w:sz w:val="24"/>
                <w:szCs w:val="24"/>
                <w:lang w:val="en-US" w:eastAsia="zh-CN" w:bidi="ar"/>
              </w:rPr>
              <w:t>目标完成日期</w:t>
            </w:r>
          </w:p>
        </w:tc>
      </w:tr>
    </w:tbl>
    <w:p w14:paraId="3D9EA409">
      <w:pPr>
        <m:rPr/>
        <w:rPr>
          <w:rFonts w:hint="default"/>
          <w:lang w:val="en-US" w:eastAsia="zh-CN"/>
        </w:rPr>
      </w:pPr>
      <w:r>
        <m:rPr/>
        <w:rPr>
          <w:rFonts w:hint="default"/>
          <w:lang w:val="en-US" w:eastAsia="zh-CN"/>
        </w:rPr>
        <w:t>若时间和计算资源允许，多随机种子、部分参与和更多 local epochs 将作为后续扩展，而不作为本次 Workshop 最低交付要求，以避免在正式文档提交前引入未经充分验证的新实验。</w:t>
      </w:r>
    </w:p>
    <w:p w14:paraId="0988B694">
      <w:pPr>
        <w:pStyle w:val="2"/>
        <w:bidi w:val="0"/>
        <m:rPr/>
        <w:rPr>
          <w:rFonts w:hint="eastAsia"/>
          <w:lang w:val="en-US" w:eastAsia="zh-CN"/>
        </w:rPr>
      </w:pPr>
      <w:r>
        <m:rPr/>
        <w:rPr>
          <w:rFonts w:hint="eastAsia"/>
          <w:lang w:val="en-US" w:eastAsia="zh-CN"/>
        </w:rPr>
        <w:t>7 Literature/References</w:t>
      </w:r>
    </w:p>
    <w:p w14:paraId="7A65D3A2">
      <w:pPr>
        <w:pStyle w:val="3"/>
        <w:bidi w:val="0"/>
        <m:rPr/>
        <w:rPr>
          <w:rFonts w:hint="eastAsia"/>
          <w:lang w:val="en-US" w:eastAsia="zh-CN"/>
        </w:rPr>
      </w:pPr>
      <w:r>
        <m:rPr/>
        <w:rPr>
          <w:rFonts w:hint="eastAsia"/>
          <w:lang w:val="en-US" w:eastAsia="zh-CN"/>
        </w:rPr>
        <w:t>7.1 文献综述</w:t>
      </w:r>
    </w:p>
    <w:p w14:paraId="589B08BD">
      <w:pPr>
        <m:rPr/>
        <w:rPr>
          <w:rFonts w:hint="default"/>
          <w:lang w:val="en-US" w:eastAsia="zh-CN"/>
        </w:rPr>
      </w:pPr>
      <w:r>
        <m:rPr/>
        <w:rPr>
          <w:rFonts w:hint="default"/>
          <w:lang w:val="en-US" w:eastAsia="zh-CN"/>
        </w:rPr>
        <w:t>McMahan 等人提出的 Federated Averaging 为本项目的基础联邦训练机制。FedAvg 允许客户端在本地执行多步优化，并由服务器对客户端模型更新进行加权平均，从而在不集中原始数据的情况下训练共享模型 [1]。该方法结构简单、通信流程清晰，适合作为联邦图像分类的基础算法，但其性能可能受到客户端数据分布差异的影响。</w:t>
      </w:r>
    </w:p>
    <w:p w14:paraId="6A621543">
      <w:pPr>
        <m:rPr/>
        <w:rPr>
          <w:rFonts w:hint="default"/>
          <w:lang w:val="en-US" w:eastAsia="zh-CN"/>
        </w:rPr>
      </w:pPr>
      <w:r>
        <m:rPr/>
        <w:rPr>
          <w:rFonts w:hint="default"/>
          <w:lang w:val="en-US" w:eastAsia="zh-CN"/>
        </w:rPr>
        <w:t>Li 等人提出 FedProx，在客户端本地目标中加入近端正则项，用于处理统计异构与系统异构 [2]。FedProx 与 FedAvg 的服务器聚合过程相近，因此适合在固定模型和数据条件下研究近端约束的独立作用。本项目将其作为主要 Non-IID 优化方法，并通过 μ=0 与 μ=0.1 的严格配对实验进行评价。</w:t>
      </w:r>
    </w:p>
    <w:p w14:paraId="01EA8F07">
      <w:pPr>
        <m:rPr/>
        <w:rPr>
          <w:rFonts w:hint="default"/>
          <w:lang w:val="en-US" w:eastAsia="zh-CN"/>
        </w:rPr>
      </w:pPr>
      <w:r>
        <m:rPr/>
        <w:rPr>
          <w:rFonts w:hint="default"/>
          <w:lang w:val="en-US" w:eastAsia="zh-CN"/>
        </w:rPr>
        <w:t>交通标志分类实验采用 Stallkamp 等人发布的 GTSRB 数据集，该数据集包含 43 类真实道路交通标志，是交通标志识别研究中常用的多类别基准 [3]。Hsu 等人系统研究了非独立同分布数据对联邦视觉分类的影响，并使用可控参数描述客户端标签分布差异，为本项目采用 Dirichlet Label Skew 构造连续异构程度提供了方法依据 [4]。</w:t>
      </w:r>
    </w:p>
    <w:p w14:paraId="55DFB5BC">
      <w:pPr>
        <m:rPr/>
        <w:rPr>
          <w:rFonts w:hint="default"/>
          <w:lang w:val="en-US" w:eastAsia="zh-CN"/>
        </w:rPr>
      </w:pPr>
      <w:r>
        <m:rPr/>
        <w:rPr>
          <w:rFonts w:hint="default"/>
          <w:lang w:val="en-US" w:eastAsia="zh-CN"/>
        </w:rPr>
        <w:t>Kairouz 等人的综述总结了联邦学习在优化、隐私、通信、系统异构和统计异构方面的主要问题，并强调现实联邦环境中的数据通常不是独立同分布 [5]。该综述为本研究解释 Non-IID 问题、实验局限和后续扩展提供了整体理论背景。上述文献共同构成本项目的数据集、联邦基线、异构划分和优化算法基础。最终报告已采用以下五项核心参考文献。</w:t>
      </w:r>
    </w:p>
    <w:p w14:paraId="675E70AA">
      <w:pPr>
        <w:pStyle w:val="3"/>
        <w:bidi w:val="0"/>
        <m:rPr/>
        <w:rPr>
          <w:rFonts w:hint="eastAsia"/>
          <w:lang w:val="en-US" w:eastAsia="zh-CN"/>
        </w:rPr>
      </w:pPr>
      <w:r>
        <m:rPr/>
        <w:rPr>
          <w:rFonts w:hint="eastAsia"/>
          <w:lang w:val="en-US" w:eastAsia="zh-CN"/>
        </w:rPr>
        <w:t>7.2 References</w:t>
      </w:r>
    </w:p>
    <w:p w14:paraId="43191CD6">
      <w:pPr>
        <w:rPr>
          <w:rFonts w:hint="eastAsia" w:ascii="Arial" w:hAnsi="Arial" w:eastAsia="宋体" w:cs="Arial"/>
          <w:i w:val="0"/>
          <w:iCs w:val="0"/>
          <w:caps w:val="0"/>
          <w:color w:val="222222"/>
          <w:spacing w:val="0"/>
          <w:sz w:val="19"/>
          <w:szCs w:val="19"/>
          <w:shd w:val="clear" w:fill="FFFFFF"/>
        </w:rPr>
      </w:pPr>
      <w:r>
        <w:rPr>
          <w:rFonts w:hint="eastAsia" w:ascii="Arial" w:hAnsi="Arial" w:eastAsia="宋体" w:cs="Arial"/>
          <w:i w:val="0"/>
          <w:iCs w:val="0"/>
          <w:caps w:val="0"/>
          <w:color w:val="222222"/>
          <w:spacing w:val="0"/>
          <w:sz w:val="19"/>
          <w:szCs w:val="19"/>
          <w:shd w:val="clear" w:fill="FFFFFF"/>
        </w:rPr>
        <w:t>[1] H. B. McMahan, E. Moore, D. Ramage, S. Hampson, and B. Agüera y Arcas, “Communication-efficient learning of deep networks from decentralized data,” in Proceedings of the 20th International Conference on Artificial Intelligence and Statistics, PMLR, vol. 54, pp. 1273–1282, 2017.</w:t>
      </w:r>
    </w:p>
    <w:p w14:paraId="33A59A95">
      <w:pPr>
        <w:rPr>
          <w:rFonts w:hint="eastAsia" w:ascii="Arial" w:hAnsi="Arial" w:eastAsia="宋体" w:cs="Arial"/>
          <w:i w:val="0"/>
          <w:iCs w:val="0"/>
          <w:caps w:val="0"/>
          <w:color w:val="222222"/>
          <w:spacing w:val="0"/>
          <w:sz w:val="19"/>
          <w:szCs w:val="19"/>
          <w:shd w:val="clear" w:fill="FFFFFF"/>
        </w:rPr>
      </w:pPr>
      <w:r>
        <w:rPr>
          <w:rFonts w:hint="eastAsia" w:ascii="Arial" w:hAnsi="Arial" w:eastAsia="宋体" w:cs="Arial"/>
          <w:i w:val="0"/>
          <w:iCs w:val="0"/>
          <w:caps w:val="0"/>
          <w:color w:val="222222"/>
          <w:spacing w:val="0"/>
          <w:sz w:val="19"/>
          <w:szCs w:val="19"/>
          <w:shd w:val="clear" w:fill="FFFFFF"/>
        </w:rPr>
        <w:t>[2] T. Li, A. K. Sahu, M. Zaheer, M. Sanjabi, A. Talwalkar, and V. Smith, “Federated optimization in heterogeneous networks,” Proceedings of Machine Learning and Systems, vol. 2, pp. 429–450, 2020.</w:t>
      </w:r>
    </w:p>
    <w:p w14:paraId="6107D298">
      <w:pPr>
        <w:rPr>
          <w:rFonts w:hint="eastAsia" w:ascii="Arial" w:hAnsi="Arial" w:eastAsia="宋体" w:cs="Arial"/>
          <w:i w:val="0"/>
          <w:iCs w:val="0"/>
          <w:caps w:val="0"/>
          <w:color w:val="222222"/>
          <w:spacing w:val="0"/>
          <w:sz w:val="19"/>
          <w:szCs w:val="19"/>
          <w:shd w:val="clear" w:fill="FFFFFF"/>
        </w:rPr>
      </w:pPr>
      <w:r>
        <w:rPr>
          <w:rFonts w:hint="eastAsia" w:ascii="Arial" w:hAnsi="Arial" w:eastAsia="宋体" w:cs="Arial"/>
          <w:i w:val="0"/>
          <w:iCs w:val="0"/>
          <w:caps w:val="0"/>
          <w:color w:val="222222"/>
          <w:spacing w:val="0"/>
          <w:sz w:val="19"/>
          <w:szCs w:val="19"/>
          <w:shd w:val="clear" w:fill="FFFFFF"/>
        </w:rPr>
        <w:t>[3] J. Stallkamp, M. Schlipsing, J. Salmen, and C. Igel, “The German Traffic Sign Recognition Benchmark: A multi-class classification competition,” in 2011 International Joint Conference on Neural Networks, pp. 1453–1460, 2011, doi: 10.1109/IJCNN.2011.6033395.</w:t>
      </w:r>
    </w:p>
    <w:p w14:paraId="3A6B64C0">
      <w:pPr>
        <w:rPr>
          <w:rFonts w:hint="eastAsia" w:ascii="Arial" w:hAnsi="Arial" w:eastAsia="宋体" w:cs="Arial"/>
          <w:i w:val="0"/>
          <w:iCs w:val="0"/>
          <w:caps w:val="0"/>
          <w:color w:val="222222"/>
          <w:spacing w:val="0"/>
          <w:sz w:val="19"/>
          <w:szCs w:val="19"/>
          <w:shd w:val="clear" w:fill="FFFFFF"/>
        </w:rPr>
      </w:pPr>
      <w:r>
        <w:rPr>
          <w:rFonts w:hint="eastAsia" w:ascii="Arial" w:hAnsi="Arial" w:eastAsia="宋体" w:cs="Arial"/>
          <w:i w:val="0"/>
          <w:iCs w:val="0"/>
          <w:caps w:val="0"/>
          <w:color w:val="222222"/>
          <w:spacing w:val="0"/>
          <w:sz w:val="19"/>
          <w:szCs w:val="19"/>
          <w:shd w:val="clear" w:fill="FFFFFF"/>
        </w:rPr>
        <w:t>[4] T.-M. H. Hsu, H. Qi, and M. Brown, “Measuring the effects of non-identical data distribution for federated visual classification,” arXiv preprint arXiv:1909.06335, 2019.</w:t>
      </w:r>
    </w:p>
    <w:p w14:paraId="4F133A89">
      <w:pPr>
        <m:rPr/>
        <w:rPr>
          <w:rFonts w:hint="default"/>
          <w:lang w:val="en-US" w:eastAsia="zh-CN"/>
        </w:rPr>
      </w:pPr>
      <w:r>
        <w:rPr>
          <w:rFonts w:hint="eastAsia" w:ascii="Arial" w:hAnsi="Arial" w:eastAsia="宋体" w:cs="Arial"/>
          <w:i w:val="0"/>
          <w:iCs w:val="0"/>
          <w:caps w:val="0"/>
          <w:color w:val="222222"/>
          <w:spacing w:val="0"/>
          <w:sz w:val="19"/>
          <w:szCs w:val="19"/>
          <w:shd w:val="clear" w:fill="FFFFFF"/>
        </w:rPr>
        <w:t>[5] P. Kairouz, H. B. McMahan, et al., “Advances and open problems in federated learning,” Foundations and Trends in Machine Learning, vol. 14, nos. 1–2, pp. 1–210, 2021, doi: 10.1561/2200000083.</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Math">
    <w:panose1 w:val="02040503050406030204"/>
    <w:charset w:val="00"/>
    <w:family w:val="auto"/>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E960957"/>
    <w:rsid w:val="20523135"/>
    <w:rsid w:val="420E58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2026-07-28T06:29:00Z</dcterms:created>
  <dc:creator>HeMa</dc:creator>
  <cp:lastModifiedBy>淘金者</cp:lastModifiedBy>
  <dcterms:modified xsi:type="dcterms:W3CDTF">2026-07-28T07:40:44Z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eyJoZGlkIjoiYjI5MTQ3ZDJjMjJkMzEwMTgwMGFiYWJhOWY0YmUyZTYiLCJ1c2VySWQiOiIxMzg3MDc2MzIxIn0=</vt:lpwstr>
  </property>
  <property fmtid="{D5CDD505-2E9C-101B-9397-08002B2CF9AE}" pid="4" name="ICV">
    <vt:lpwstr>7207F4AD4FF346BE81945A5C4B71A4DE_12</vt:lpwstr>
  </property>
</Properties>
</file>