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3311B1">
      <w:pPr>
        <w:pStyle w:val="2"/>
        <w:bidi w:val="0"/>
        <w:rPr>
          <w:rFonts w:hint="eastAsia"/>
          <w:lang w:val="en-US" w:eastAsia="zh-CN"/>
        </w:rPr>
      </w:pPr>
      <w:r>
        <w:rPr>
          <w:rFonts w:hint="eastAsia"/>
          <w:lang w:val="en-US" w:eastAsia="zh-CN"/>
        </w:rPr>
        <w:t>1 Introduction and Significance</w:t>
      </w:r>
    </w:p>
    <w:p w14:paraId="56FA866C">
      <w:pPr>
        <w:rPr>
          <w:rFonts w:hint="eastAsia"/>
        </w:rPr>
      </w:pPr>
      <w:r>
        <w:rPr>
          <w:rFonts w:hint="eastAsia"/>
        </w:rPr>
        <w:t>交通标志识别是智能交通和自动驾驶感知中的重要任务。车辆需要准确识别限速、警告、禁止和指示等交通标志，为驾驶决策和道路安全提供信息。训练高性能识别模型通常需要汇集来自不同车辆、地区和道路环境的大量图像，但集中上传原始数据可能带来隐私、数据所有权、存储和通信开销等问题。</w:t>
      </w:r>
    </w:p>
    <w:p w14:paraId="44B86A3A">
      <w:pPr>
        <w:rPr>
          <w:rFonts w:hint="eastAsia"/>
        </w:rPr>
      </w:pPr>
    </w:p>
    <w:p w14:paraId="0511E8D9">
      <w:pPr>
        <w:rPr>
          <w:rFonts w:hint="eastAsia"/>
        </w:rPr>
      </w:pPr>
      <w:r>
        <w:rPr>
          <w:rFonts w:hint="eastAsia"/>
        </w:rPr>
        <w:t>联邦学习为分布式交通图像的协作训练提供了一种可行方案。各客户端保留本地数据，仅在本地训练模型并向服务器上传模型参数或更新；服务器聚合后形成共享模型，再下发至各客户端继续训练。这种方式减少了对原始数据集中共享的依赖，但其性能容易受到客户端数据分布差异的影响。</w:t>
      </w:r>
    </w:p>
    <w:p w14:paraId="2B3C5365">
      <w:pPr>
        <w:rPr>
          <w:rFonts w:hint="eastAsia"/>
        </w:rPr>
      </w:pPr>
    </w:p>
    <w:p w14:paraId="46DBE0C6">
      <w:pPr>
        <w:rPr>
          <w:rFonts w:hint="eastAsia"/>
        </w:rPr>
      </w:pPr>
      <w:r>
        <w:rPr>
          <w:rFonts w:hint="eastAsia"/>
        </w:rPr>
        <w:t>在真实车辆环境中，不同客户端观察到的交通标志类别和频率通常并不相同。例如，部分车辆可能主要采集限速标志，而其他车辆更多遇到警告或禁止类标志。这种标签分布偏斜会使客户端的本地优化方向产生差异，并可能使 FedAvg 聚合后的全局模型偏向某些占优势的类别。与此同时，总体准确率可能掩盖少数类别的严重退化，因此还需要结合宏平均类别准确率和逐类别准确率进行评价。</w:t>
      </w:r>
    </w:p>
    <w:p w14:paraId="7080071C">
      <w:pPr>
        <w:rPr>
          <w:rFonts w:hint="eastAsia"/>
        </w:rPr>
      </w:pPr>
    </w:p>
    <w:p w14:paraId="2B6636BE">
      <w:pPr>
        <w:rPr>
          <w:rFonts w:hint="eastAsia"/>
        </w:rPr>
      </w:pPr>
      <w:r>
        <w:rPr>
          <w:rFonts w:hint="eastAsia"/>
        </w:rPr>
        <w:t>FedProx 通过在客户端本地目标中加入近端正则项，限制本地模型过度偏离当前全局模型，因而可能缓解强 Non-IID 条件下的客户端漂移。然而，其实际效果只有在模型初始化、优化器、数据划分和训练预算均保持一致时才能得到清晰解释。</w:t>
      </w:r>
    </w:p>
    <w:p w14:paraId="308C8539">
      <w:pPr>
        <w:rPr>
          <w:rFonts w:hint="eastAsia"/>
        </w:rPr>
      </w:pPr>
    </w:p>
    <w:p w14:paraId="758B1DFD">
      <w:pPr>
        <w:rPr>
          <w:rFonts w:hint="eastAsia"/>
        </w:rPr>
      </w:pPr>
      <w:r>
        <w:rPr>
          <w:rFonts w:hint="eastAsia"/>
        </w:rPr>
        <w:t>本项目以 German Traffic Sign Recognition Benchmark（GTSRB）为基础，构建五客户端、可复现的联邦图像分类流程，利用 Dirichlet 分布模拟由轻度到极端的标签异构，并比较 FedAvg 与 FedProx 的总体性能和类别级表现。研究不仅关注算法最终准确率，还旨在识别 FedAvg 的异构鲁棒性边界，并评价 FedProx 在何种条件下能够提供有效但有限的缓解。已有初步结果已证明研究方案具有可行性，并为后续系统分析提供了实验基础。</w:t>
      </w:r>
    </w:p>
    <w:p w14:paraId="0B025444">
      <w:pPr>
        <w:pStyle w:val="2"/>
        <w:bidi w:val="0"/>
        <w:rPr>
          <w:rFonts w:hint="eastAsia"/>
          <w:lang w:val="en-US" w:eastAsia="zh-CN"/>
        </w:rPr>
      </w:pPr>
      <w:r>
        <w:rPr>
          <w:rFonts w:hint="eastAsia"/>
          <w:lang w:val="en-US" w:eastAsia="zh-CN"/>
        </w:rPr>
        <w:t>2 Preliminary Work and Research Gap</w:t>
      </w:r>
    </w:p>
    <w:p w14:paraId="3B7100E7">
      <w:pPr>
        <w:rPr>
          <w:rFonts w:hint="eastAsia"/>
        </w:rPr>
      </w:pPr>
      <w:r>
        <w:rPr>
          <w:rFonts w:hint="eastAsia"/>
        </w:rPr>
        <w:t>本项目已完成 GTSRB 数据检查、图像预处理、五客户端固定划分、本地训练、服务器加权聚合、模型评估以及 checkpoint 保存与恢复，并建立了 Centralised、Local-only 和 IID FedAvg 基线。实验统一采用不含 Batch Normalisation 的卷积神经网络，以避免联邦训练中 BN 非训练统计量处理不一致干扰算法比较。</w:t>
      </w:r>
    </w:p>
    <w:p w14:paraId="380D3D55">
      <w:pPr>
        <w:rPr>
          <w:rFonts w:hint="eastAsia"/>
        </w:rPr>
      </w:pPr>
    </w:p>
    <w:p w14:paraId="022B82A8">
      <w:pPr>
        <w:rPr>
          <w:rFonts w:hint="eastAsia"/>
        </w:rPr>
      </w:pPr>
      <w:r>
        <w:rPr>
          <w:rFonts w:hint="eastAsia"/>
        </w:rPr>
        <w:t>在 IID 条件下，FedAvg 达到 92.60% 的测试准确率和 89.44% 的宏平均类别准确率，明显优于 Local-only 模型，并与集中式训练表现相近。随后，项目采用固定的 Dirichlet 划分构造 α=10、1.0、0.5 和 0.1 四种标签异构程度。结果表明，FedAvg 在轻度和中度偏斜下仍接近 IID 基线；在 α=0.5 时，总体准确率变化较小，但宏平均类别准确率已经出现更明显下降；在极端 α=0.1 下，测试准确率降至 71.49%，宏平均类别准确率降至 69.42%，且多个类别达到零准确率。这说明 FedAvg 并不会因为数据属于 Non-IID 就立即失效，而是在强标签偏斜下出现清晰的总体和类别级鲁棒性边界。</w:t>
      </w:r>
    </w:p>
    <w:p w14:paraId="5C4FACD5">
      <w:pPr>
        <w:rPr>
          <w:rFonts w:hint="eastAsia"/>
        </w:rPr>
      </w:pPr>
    </w:p>
    <w:p w14:paraId="70EAAC44">
      <w:pPr>
        <w:rPr>
          <w:rFonts w:hint="eastAsia"/>
        </w:rPr>
      </w:pPr>
      <w:r>
        <w:rPr>
          <w:rFonts w:hint="eastAsia"/>
        </w:rPr>
        <w:t>本项目还完成了严格匹配的 FedProx 初步实验。在相同初始化、数据划分、优化器、服务器更新和训练预算下，将近端强度从 μ=0 改为 μ=0.1，使 α=0.1 下的测试准确率由 77.51% 提高至 84.52%，宏平均类别准确率由 73.60% 提高至 80.79%；α=0.5 下两项指标也得到改善。虽然多数类别受益，但仍有部分类别下降或保持较弱，因此现有结果支持 FedProx 对强标签偏斜的部分缓解作用，而不是完全解决 Non-IID 问题。</w:t>
      </w:r>
    </w:p>
    <w:p w14:paraId="6505AD8A">
      <w:pPr>
        <w:rPr>
          <w:rFonts w:hint="eastAsia"/>
        </w:rPr>
      </w:pPr>
    </w:p>
    <w:p w14:paraId="0AC9783E">
      <w:pPr>
        <w:rPr>
          <w:rFonts w:hint="eastAsia"/>
        </w:rPr>
      </w:pPr>
      <w:r>
        <w:rPr>
          <w:rFonts w:hint="eastAsia"/>
        </w:rPr>
        <w:t>当前研究仍存在若干限制。正式实验仅使用一个固定的数据划分和随机种子，因此尚不能衡量不同初始化和客户端分配造成的统计波动。实验还采用五客户端全参与、每轮一个本地 epoch 的受控设置，客户端采样噪声和本地漂移低于真实联邦环境。此外，目前主要研究标签异构，尚未覆盖光照、天气、相机质量和视角差异等特征异构。后续工作应优先进行多随机种子重复实验、部分客户端参与和更多本地训练轮次的压力测试，并在独立研究轴上扩展其他联邦优化与特征异构方法。</w:t>
      </w:r>
    </w:p>
    <w:p w14:paraId="73D07C70">
      <w:pPr>
        <w:pStyle w:val="2"/>
        <w:bidi w:val="0"/>
        <w:rPr>
          <w:rFonts w:hint="eastAsia"/>
          <w:lang w:val="en-US" w:eastAsia="zh-CN"/>
        </w:rPr>
      </w:pPr>
      <w:r>
        <w:rPr>
          <w:rFonts w:hint="eastAsia"/>
          <w:lang w:val="en-US" w:eastAsia="zh-CN"/>
        </w:rPr>
        <w:t>3 Objectives and Research Questions</w:t>
      </w:r>
    </w:p>
    <w:p w14:paraId="5233A362">
      <w:pPr>
        <w:pStyle w:val="4"/>
        <w:keepNext w:val="0"/>
        <w:keepLines w:val="0"/>
        <w:widowControl/>
        <w:suppressLineNumbers w:val="0"/>
        <w:spacing w:before="0" w:beforeAutospacing="1" w:after="0" w:afterAutospacing="1"/>
        <w:ind w:left="0" w:right="0"/>
      </w:pPr>
      <w:r>
        <w:t>本项目旨在建立一个可复现的联邦交通标志识别框架，系统分析标签分布异构对 FedAvg 的影响，并评价 FedProx 是否能够缓解强 Non-IID 条件下的性能退化。</w:t>
      </w:r>
    </w:p>
    <w:p w14:paraId="254A6B12">
      <w:pPr>
        <w:pStyle w:val="4"/>
        <w:keepNext w:val="0"/>
        <w:keepLines w:val="0"/>
        <w:widowControl/>
        <w:suppressLineNumbers w:val="0"/>
      </w:pPr>
      <w:r>
        <w:t>具体目标包括：第一，建立 Centralised、Local-only 和 FedAvg 基线，验证联邦聚合能否弥补单客户端数据不足；第二，利用不同 Dirichlet α 值构造由轻度到极端的标签偏斜，分析总体准确率、宏平均类别准确率和逐类别表现的变化；第三，在模型初始化、数据划分、优化器和训练预算一致的条件下，严格比较 FedProx 的 μ=0 与 μ=0.1；第四，同时记录收敛轮次、类别失效和通信成本，评价性能改善及其代价。</w:t>
      </w:r>
    </w:p>
    <w:p w14:paraId="60146713">
      <w:pPr>
        <w:pStyle w:val="4"/>
        <w:keepNext w:val="0"/>
        <w:keepLines w:val="0"/>
        <w:widowControl/>
        <w:suppressLineNumbers w:val="0"/>
      </w:pPr>
      <w:r>
        <w:t>本研究重点回答三个问题：</w:t>
      </w:r>
    </w:p>
    <w:p w14:paraId="76D508ED">
      <w:pPr>
        <w:keepNext w:val="0"/>
        <w:keepLines w:val="0"/>
        <w:widowControl/>
        <w:numPr>
          <w:ilvl w:val="0"/>
          <w:numId w:val="1"/>
        </w:numPr>
        <w:suppressLineNumbers w:val="0"/>
        <w:spacing w:before="0" w:beforeAutospacing="1" w:after="0" w:afterAutospacing="1"/>
        <w:ind w:left="720" w:hanging="360"/>
      </w:pPr>
      <w:r>
        <w:t xml:space="preserve">FedAvg 在 IID 条件下能否达到与集中式训练相近、且优于 Local-only 的性能？ </w:t>
      </w:r>
    </w:p>
    <w:p w14:paraId="68DA39A5">
      <w:pPr>
        <w:keepNext w:val="0"/>
        <w:keepLines w:val="0"/>
        <w:widowControl/>
        <w:numPr>
          <w:ilvl w:val="0"/>
          <w:numId w:val="1"/>
        </w:numPr>
        <w:suppressLineNumbers w:val="0"/>
        <w:spacing w:before="0" w:beforeAutospacing="1" w:after="0" w:afterAutospacing="1"/>
        <w:ind w:left="720" w:hanging="360"/>
      </w:pPr>
      <w:r>
        <w:t xml:space="preserve">随着标签异构增强，FedAvg 的总体与类别级性能在何种程度下开始明显退化？ </w:t>
      </w:r>
    </w:p>
    <w:p w14:paraId="13614085">
      <w:pPr>
        <w:keepNext w:val="0"/>
        <w:keepLines w:val="0"/>
        <w:widowControl/>
        <w:numPr>
          <w:ilvl w:val="0"/>
          <w:numId w:val="1"/>
        </w:numPr>
        <w:suppressLineNumbers w:val="0"/>
        <w:spacing w:before="0" w:beforeAutospacing="1" w:after="0" w:afterAutospacing="1"/>
        <w:ind w:left="720" w:hanging="360"/>
      </w:pPr>
      <w:r>
        <w:t>在严格匹配的实验条件下，FedProx 能否缓解强 Label Skew 导致的性能下降和类别失效？</w:t>
      </w:r>
    </w:p>
    <w:p w14:paraId="639C48CB">
      <w:pPr>
        <w:pStyle w:val="2"/>
        <w:bidi w:val="0"/>
        <w:rPr>
          <w:rFonts w:hint="eastAsia"/>
          <w:lang w:val="en-US" w:eastAsia="zh-CN"/>
        </w:rPr>
      </w:pPr>
      <w:r>
        <w:rPr>
          <w:rFonts w:hint="eastAsia"/>
          <w:lang w:val="en-US" w:eastAsia="zh-CN"/>
        </w:rPr>
        <w:t>4 Methods</w:t>
      </w:r>
    </w:p>
    <w:p w14:paraId="17CE180F">
      <w:pPr>
        <w:pStyle w:val="3"/>
        <w:bidi w:val="0"/>
        <w:rPr>
          <w:rFonts w:hint="eastAsia"/>
          <w:lang w:val="en-US" w:eastAsia="zh-CN"/>
        </w:rPr>
      </w:pPr>
      <w:r>
        <w:rPr>
          <w:rFonts w:hint="eastAsia"/>
          <w:lang w:val="en-US" w:eastAsia="zh-CN"/>
        </w:rPr>
        <w:t>4.1 研究设计</w:t>
      </w:r>
    </w:p>
    <w:p w14:paraId="1332F8D9">
      <w:pPr>
        <w:tabs>
          <w:tab w:val="left" w:pos="2969"/>
        </w:tabs>
        <w:rPr>
          <w:rFonts w:hint="default"/>
          <w:lang w:val="en-US" w:eastAsia="zh-CN"/>
        </w:rPr>
      </w:pPr>
      <w:r>
        <w:rPr>
          <w:rFonts w:hint="default"/>
          <w:lang w:val="en-US" w:eastAsia="zh-CN"/>
        </w:rPr>
        <w:t>本项目采用五客户端模拟联邦学习实验。在固定数据集、模型结构、客户端划分和评估流程的基础上，依次建立 Centralised、Local-only 和 IID FedAvg 基线，研究不同程度的 Dirichlet Label Skew，并在强异构条件下严格比较 FedAvg-equivalent control 与 FedProx。不同研究阶段只改变一个主要变量，以保证结果具有可解释性。</w:t>
      </w:r>
    </w:p>
    <w:p w14:paraId="61B5D4AA">
      <w:pPr>
        <w:pStyle w:val="3"/>
        <w:bidi w:val="0"/>
        <w:rPr>
          <w:rFonts w:hint="eastAsia"/>
          <w:lang w:val="en-US" w:eastAsia="zh-CN"/>
        </w:rPr>
      </w:pPr>
      <w:r>
        <w:rPr>
          <w:rFonts w:hint="eastAsia"/>
          <w:lang w:val="en-US" w:eastAsia="zh-CN"/>
        </w:rPr>
        <w:t>4.2 数据集与预处理</w:t>
      </w:r>
    </w:p>
    <w:p w14:paraId="63E13AF2">
      <w:pPr>
        <w:rPr>
          <w:rFonts w:hint="default"/>
          <w:lang w:val="en-US" w:eastAsia="zh-CN"/>
        </w:rPr>
      </w:pPr>
      <w:r>
        <w:rPr>
          <w:rFonts w:hint="default"/>
          <w:lang w:val="en-US" w:eastAsia="zh-CN"/>
        </w:rPr>
        <w:t>实验使用 German Traffic Sign Recognition Benchmark（GTSRB），包含 39,209 张训练图像、12,630 张官方测试图像和 43 个类别。图像将被转换为 RGB，缩放至 32×32，转为 float32 并归一化至 [0,1]。训练数据采用 shuffle、batch 和 prefetch；不使用可能改变交通标志方向语义的水平翻转。官方测试集不参与客户端划分、训练或超参数选择，仅在实验配置冻结后用于最终评价。</w:t>
      </w:r>
    </w:p>
    <w:p w14:paraId="0BB5DCCF">
      <w:pPr>
        <w:pStyle w:val="3"/>
        <w:bidi w:val="0"/>
        <w:rPr>
          <w:rFonts w:hint="eastAsia"/>
          <w:lang w:val="en-US" w:eastAsia="zh-CN"/>
        </w:rPr>
      </w:pPr>
      <w:r>
        <w:rPr>
          <w:rFonts w:hint="eastAsia"/>
          <w:lang w:val="en-US" w:eastAsia="zh-CN"/>
        </w:rPr>
        <w:t>4.3 客户端划分</w:t>
      </w:r>
    </w:p>
    <w:p w14:paraId="5F71DA40">
      <w:pPr>
        <w:rPr>
          <w:rFonts w:hint="default"/>
          <w:lang w:val="en-US" w:eastAsia="zh-CN"/>
        </w:rPr>
      </w:pPr>
      <w:r>
        <w:rPr>
          <w:rFonts w:hint="default"/>
          <w:lang w:val="en-US" w:eastAsia="zh-CN"/>
        </w:rPr>
        <w:t>IID 基线采用按类别分层的近似均衡划分，使五个客户端均包含全部类别。Non-IID 设置对每个类别采样对称 Dirichlet 分布：</w:t>
      </w:r>
    </w:p>
    <w:p w14:paraId="62DAEC29">
      <w:pPr>
        <m:rPr/>
        <w:rPr>
          <w:rFonts w:hint="default" w:hAnsi="Cambria Math"/>
          <w:i w:val="0"/>
          <w:lang w:val="en-US" w:eastAsia="zh-CN"/>
        </w:rPr>
      </w:pPr>
      <m:oMathPara>
        <m:oMath>
          <m:sSub>
            <m:sSubPr>
              <m:ctrlPr>
                <w:rPr>
                  <w:rFonts w:ascii="Cambria Math" w:hAnsi="Cambria Math"/>
                  <w:i/>
                  <w:lang w:val="en-US"/>
                </w:rPr>
              </m:ctrlPr>
            </m:sSubPr>
            <m:e>
              <m:r>
                <m:rPr/>
                <w:rPr>
                  <w:rFonts w:hint="default" w:ascii="Cambria Math" w:hAnsi="Cambria Math"/>
                  <w:lang w:val="en-US" w:eastAsia="zh-CN"/>
                </w:rPr>
                <m:t>P</m:t>
              </m:r>
              <m:ctrlPr>
                <w:rPr>
                  <w:rFonts w:ascii="Cambria Math" w:hAnsi="Cambria Math"/>
                  <w:i/>
                  <w:lang w:val="en-US"/>
                </w:rPr>
              </m:ctrlPr>
            </m:e>
            <m:sub>
              <m:r>
                <m:rPr/>
                <w:rPr>
                  <w:rFonts w:hint="default" w:ascii="Cambria Math" w:hAnsi="Cambria Math"/>
                  <w:lang w:val="en-US" w:eastAsia="zh-CN"/>
                </w:rPr>
                <m:t>c</m:t>
              </m:r>
              <m:ctrlPr>
                <w:rPr>
                  <w:rFonts w:ascii="Cambria Math" w:hAnsi="Cambria Math"/>
                  <w:i/>
                  <w:lang w:val="en-US"/>
                </w:rPr>
              </m:ctrlPr>
            </m:sub>
          </m:sSub>
          <m:r>
            <m:rPr/>
            <w:rPr>
              <w:rFonts w:hint="default" w:ascii="Cambria Math" w:hAnsi="Cambria Math"/>
              <w:lang w:val="en-US" w:eastAsia="zh-CN"/>
            </w:rPr>
            <m:t xml:space="preserve"> ~ Dirichlet(</m:t>
          </m:r>
          <m:r>
            <m:rPr/>
            <w:rPr>
              <w:rFonts w:ascii="Cambria Math" w:hAnsi="Cambria Math"/>
              <w:lang w:val="en-US"/>
            </w:rPr>
            <m:t>α</m:t>
          </m:r>
          <m:r>
            <m:rPr/>
            <w:rPr>
              <w:rFonts w:hint="default" w:ascii="Cambria Math" w:hAnsi="Cambria Math"/>
              <w:lang w:val="en-US" w:eastAsia="zh-CN"/>
            </w:rPr>
            <m:t>,...,</m:t>
          </m:r>
          <m:r>
            <m:rPr/>
            <w:rPr>
              <w:rFonts w:ascii="Cambria Math" w:hAnsi="Cambria Math"/>
              <w:lang w:val="en-US"/>
            </w:rPr>
            <m:t>α</m:t>
          </m:r>
          <m:r>
            <m:rPr/>
            <w:rPr>
              <w:rFonts w:hint="default" w:ascii="Cambria Math" w:hAnsi="Cambria Math"/>
              <w:lang w:val="en-US" w:eastAsia="zh-CN"/>
            </w:rPr>
            <m:t>)</m:t>
          </m:r>
        </m:oMath>
      </m:oMathPara>
    </w:p>
    <w:p w14:paraId="2FD21046">
      <w:pPr>
        <m:rPr/>
        <w:rPr>
          <w:rFonts w:hint="default" w:hAnsi="Cambria Math"/>
          <w:i w:val="0"/>
          <w:lang w:val="en-US" w:eastAsia="zh-CN"/>
        </w:rPr>
      </w:pPr>
      <w:r>
        <m:rPr/>
        <w:rPr>
          <w:rFonts w:hint="default" w:hAnsi="Cambria Math"/>
          <w:i w:val="0"/>
          <w:lang w:val="en-US" w:eastAsia="zh-CN"/>
        </w:rPr>
        <w:t>设置 α=10、1.0、0.5 和 0.1，分别表示由轻度到极端的标签分布偏斜。所有划分使用固定随机种子保存为客户端 CSV，不同算法必须复用完全相同的数据，避免重新划分造成比较偏差。</w:t>
      </w:r>
    </w:p>
    <w:p w14:paraId="3DFAF024">
      <w:pPr>
        <w:pStyle w:val="3"/>
        <w:bidi w:val="0"/>
        <m:rPr/>
        <w:rPr>
          <w:rFonts w:hint="eastAsia"/>
          <w:lang w:val="en-US" w:eastAsia="zh-CN"/>
        </w:rPr>
      </w:pPr>
      <w:r>
        <m:rPr/>
        <w:rPr>
          <w:rFonts w:hint="eastAsia"/>
          <w:lang w:val="en-US" w:eastAsia="zh-CN"/>
        </w:rPr>
        <w:t>4.4 模型与基线</w:t>
      </w:r>
    </w:p>
    <w:p w14:paraId="0B690F7A">
      <w:pPr>
        <m:rPr/>
        <w:rPr>
          <w:rFonts w:hint="default"/>
          <w:lang w:val="en-US" w:eastAsia="zh-CN"/>
        </w:rPr>
      </w:pPr>
      <w:r>
        <m:rPr/>
        <w:rPr>
          <w:rFonts w:hint="default"/>
          <w:lang w:val="en-US" w:eastAsia="zh-CN"/>
        </w:rPr>
        <w:t>主实验统一使用不含 Batch Normalisation 的卷积神经网络：</w:t>
      </w:r>
    </w:p>
    <w:p w14:paraId="35AE823E">
      <w:pPr>
        <m:rPr/>
        <w:rPr>
          <w:rFonts w:hint="default"/>
          <w:lang w:val="en-US" w:eastAsia="zh-CN"/>
        </w:rPr>
      </w:pPr>
    </w:p>
    <w:p w14:paraId="5D9E9BE2">
      <w:pPr>
        <m:rPr/>
        <w:rPr>
          <w:rFonts w:hint="default"/>
          <w:lang w:val="en-US" w:eastAsia="zh-CN"/>
        </w:rPr>
      </w:pPr>
      <w:r>
        <m:rPr/>
        <w:rPr>
          <w:rFonts w:hint="default"/>
          <w:lang w:val="en-US" w:eastAsia="zh-CN"/>
        </w:rPr>
        <w:t>Conv32→Pool→Conv64→Pool→Conv128→Global Average Pooling→Dropout→Dense(43)</w:t>
      </w:r>
    </w:p>
    <w:p w14:paraId="41083014">
      <w:pPr>
        <m:rPr/>
        <w:rPr>
          <w:rFonts w:hint="default"/>
          <w:lang w:val="en-US" w:eastAsia="zh-CN"/>
        </w:rPr>
      </w:pPr>
    </w:p>
    <w:p w14:paraId="6D2950EB">
      <w:pPr>
        <m:rPr/>
        <w:rPr>
          <w:rFonts w:hint="default"/>
          <w:lang w:val="en-US" w:eastAsia="zh-CN"/>
        </w:rPr>
      </w:pPr>
      <w:r>
        <m:rPr/>
        <w:rPr>
          <w:rFonts w:hint="default"/>
          <w:lang w:val="en-US" w:eastAsia="zh-CN"/>
        </w:rPr>
        <w:t>模型输出 43 个 logits，使用 Sparse Categorical Cross-Entropy 和 Sparse Categorical Accuracy。删除 Batch Normalisation 是为了避免其非训练统计量在联邦聚合和模型导出中的状态处理问题干扰算法比较。</w:t>
      </w:r>
    </w:p>
    <w:p w14:paraId="4A4662BE">
      <w:pPr>
        <m:rPr/>
        <w:rPr>
          <w:rFonts w:hint="default"/>
          <w:lang w:val="en-US" w:eastAsia="zh-CN"/>
        </w:rPr>
      </w:pPr>
    </w:p>
    <w:p w14:paraId="2E17C4A9">
      <w:pPr>
        <m:rPr/>
        <w:rPr>
          <w:rFonts w:hint="default"/>
          <w:lang w:val="en-US" w:eastAsia="zh-CN"/>
        </w:rPr>
      </w:pPr>
      <w:r>
        <m:rPr/>
        <w:rPr>
          <w:rFonts w:hint="default"/>
          <w:lang w:val="en-US" w:eastAsia="zh-CN"/>
        </w:rPr>
        <w:t>Centralised 使用全部训练数据；Local-only 让每个客户端独立训练；Weighted FedAvg 则在每轮下发全局模型，各客户端本地训练后上传更新，服务器按照实际样本数进行加权聚合。</w:t>
      </w:r>
    </w:p>
    <w:p w14:paraId="0136ACBD">
      <w:pPr>
        <w:pStyle w:val="3"/>
        <w:bidi w:val="0"/>
        <m:rPr/>
        <w:rPr>
          <w:rFonts w:hint="eastAsia"/>
          <w:lang w:val="en-US" w:eastAsia="zh-CN"/>
        </w:rPr>
      </w:pPr>
      <w:r>
        <m:rPr/>
        <w:rPr>
          <w:rFonts w:hint="eastAsia"/>
          <w:lang w:val="en-US" w:eastAsia="zh-CN"/>
        </w:rPr>
        <w:t>4.5 FedAvg与FedProx</w:t>
      </w:r>
    </w:p>
    <w:p w14:paraId="435A0963">
      <w:pPr>
        <m:rPr/>
        <w:rPr>
          <w:rFonts w:hint="default"/>
          <w:lang w:val="en-US" w:eastAsia="zh-CN"/>
        </w:rPr>
      </w:pPr>
      <w:r>
        <m:rPr/>
        <w:rPr>
          <w:rFonts w:hint="default"/>
          <w:lang w:val="en-US" w:eastAsia="zh-CN"/>
        </w:rPr>
        <w:t>FedAvg 主实验采用五个客户端每轮全部参与、每轮一个 local epoch、batch size 64 和 160 个通信轮次。不同 α 设置仅改变客户端训练数据分布，其余条件保持一致。</w:t>
      </w:r>
    </w:p>
    <w:p w14:paraId="397AAE4C">
      <w:pPr>
        <m:rPr/>
        <w:rPr>
          <w:rFonts w:hint="default"/>
          <w:lang w:val="en-US" w:eastAsia="zh-CN"/>
        </w:rPr>
      </w:pPr>
    </w:p>
    <w:p w14:paraId="146DF1E7">
      <w:pPr>
        <m:rPr/>
        <w:rPr>
          <w:rFonts w:hint="default"/>
          <w:lang w:val="en-US" w:eastAsia="zh-CN"/>
        </w:rPr>
      </w:pPr>
      <w:r>
        <m:rPr/>
        <w:rPr>
          <w:rFonts w:hint="default"/>
          <w:lang w:val="en-US" w:eastAsia="zh-CN"/>
        </w:rPr>
        <w:t>FedProx 在本地任务损失中加入近端项：</w:t>
      </w:r>
    </w:p>
    <w:p w14:paraId="002A73B1">
      <w:pPr>
        <w:rPr>
          <w:rFonts w:hint="default" w:hAnsi="Cambria Math"/>
          <w:i w:val="0"/>
          <w:lang w:val="en-US" w:eastAsia="zh-CN"/>
        </w:rPr>
      </w:pPr>
      <m:oMathPara>
        <m:oMath>
          <m:sSub>
            <m:sSubPr>
              <m:ctrlPr>
                <w:rPr>
                  <w:rFonts w:ascii="Cambria Math" w:hAnsi="Cambria Math"/>
                  <w:i/>
                  <w:lang w:val="en-US"/>
                </w:rPr>
              </m:ctrlPr>
            </m:sSubPr>
            <m:e>
              <m:r>
                <m:rPr>
                  <m:scr m:val="script"/>
                </m:rPr>
                <w:rPr>
                  <w:rFonts w:ascii="Cambria Math" w:hAnsi="Cambria Math"/>
                  <w:lang w:val="en-US"/>
                </w:rPr>
                <m:t>ℒ</m:t>
              </m:r>
              <m:ctrlPr>
                <w:rPr>
                  <w:rFonts w:ascii="Cambria Math" w:hAnsi="Cambria Math"/>
                  <w:i/>
                  <w:lang w:val="en-US"/>
                </w:rPr>
              </m:ctrlPr>
            </m:e>
            <m:sub>
              <m:r>
                <m:rPr/>
                <w:rPr>
                  <w:rFonts w:hint="default" w:ascii="Cambria Math" w:hAnsi="Cambria Math"/>
                  <w:lang w:val="en-US" w:eastAsia="zh-CN"/>
                </w:rPr>
                <m:t>k</m:t>
              </m:r>
              <m:ctrlPr>
                <w:rPr>
                  <w:rFonts w:ascii="Cambria Math" w:hAnsi="Cambria Math"/>
                  <w:i/>
                  <w:lang w:val="en-US"/>
                </w:rPr>
              </m:ctrlPr>
            </m:sub>
          </m:sSub>
          <m:r>
            <m:rPr/>
            <w:rPr>
              <w:rFonts w:hint="default" w:ascii="Cambria Math" w:hAnsi="Cambria Math"/>
              <w:lang w:val="en-US" w:eastAsia="zh-CN"/>
            </w:rPr>
            <m:t>(w)=</m:t>
          </m:r>
          <m:sSub>
            <m:sSubPr>
              <m:ctrlPr>
                <w:rPr>
                  <w:rFonts w:hint="default" w:ascii="Cambria Math" w:hAnsi="Cambria Math"/>
                  <w:i/>
                  <w:lang w:val="en-US" w:eastAsia="zh-CN"/>
                </w:rPr>
              </m:ctrlPr>
            </m:sSubPr>
            <m:e>
              <m:r>
                <m:rPr>
                  <m:scr m:val="script"/>
                </m:rPr>
                <w:rPr>
                  <w:rFonts w:ascii="Cambria Math" w:hAnsi="Cambria Math"/>
                  <w:lang w:val="en-US"/>
                </w:rPr>
                <m:t>ℒ</m:t>
              </m:r>
              <m:ctrlPr>
                <w:rPr>
                  <w:rFonts w:hint="default" w:ascii="Cambria Math" w:hAnsi="Cambria Math"/>
                  <w:i/>
                  <w:lang w:val="en-US" w:eastAsia="zh-CN"/>
                </w:rPr>
              </m:ctrlPr>
            </m:e>
            <m:sub>
              <m:r>
                <m:rPr/>
                <w:rPr>
                  <w:rFonts w:hint="default" w:ascii="Cambria Math" w:hAnsi="Cambria Math"/>
                  <w:lang w:val="en-US" w:eastAsia="zh-CN"/>
                </w:rPr>
                <m:t>task, k</m:t>
              </m:r>
              <m:ctrlPr>
                <w:rPr>
                  <w:rFonts w:hint="default" w:ascii="Cambria Math" w:hAnsi="Cambria Math"/>
                  <w:i/>
                  <w:lang w:val="en-US" w:eastAsia="zh-CN"/>
                </w:rPr>
              </m:ctrlPr>
            </m:sub>
          </m:sSub>
          <m:r>
            <m:rPr/>
            <w:rPr>
              <w:rFonts w:hint="default" w:ascii="Cambria Math" w:hAnsi="Cambria Math"/>
              <w:lang w:val="en-US" w:eastAsia="zh-CN"/>
            </w:rPr>
            <m:t>(w)+</m:t>
          </m:r>
          <m:f>
            <m:fPr>
              <m:ctrlPr>
                <w:rPr>
                  <w:rFonts w:hint="default" w:ascii="Cambria Math" w:hAnsi="Cambria Math"/>
                  <w:i/>
                  <w:lang w:val="en-US" w:eastAsia="zh-CN"/>
                </w:rPr>
              </m:ctrlPr>
            </m:fPr>
            <m:num>
              <m:r>
                <m:rPr/>
                <w:rPr>
                  <w:rFonts w:hint="default" w:ascii="Cambria Math" w:hAnsi="Cambria Math"/>
                  <w:lang w:val="en-US" w:eastAsia="zh-CN"/>
                </w:rPr>
                <m:t>u</m:t>
              </m:r>
              <m:ctrlPr>
                <w:rPr>
                  <w:rFonts w:hint="default" w:ascii="Cambria Math" w:hAnsi="Cambria Math"/>
                  <w:i/>
                  <w:lang w:val="en-US" w:eastAsia="zh-CN"/>
                </w:rPr>
              </m:ctrlPr>
            </m:num>
            <m:den>
              <m:r>
                <m:rPr/>
                <w:rPr>
                  <w:rFonts w:hint="default" w:ascii="Cambria Math" w:hAnsi="Cambria Math"/>
                  <w:lang w:val="en-US" w:eastAsia="zh-CN"/>
                </w:rPr>
                <m:t>2</m:t>
              </m:r>
              <m:ctrlPr>
                <w:rPr>
                  <w:rFonts w:hint="default" w:ascii="Cambria Math" w:hAnsi="Cambria Math"/>
                  <w:i/>
                  <w:lang w:val="en-US" w:eastAsia="zh-CN"/>
                </w:rPr>
              </m:ctrlPr>
            </m:den>
          </m:f>
          <m:r>
            <m:rPr/>
            <w:rPr>
              <w:rFonts w:hint="default" w:ascii="Cambria Math" w:hAnsi="Cambria Math"/>
              <w:lang w:val="en-US" w:eastAsia="zh-CN"/>
            </w:rPr>
            <m:t>||w−</m:t>
          </m:r>
          <m:sSup>
            <m:sSupPr>
              <m:ctrlPr>
                <w:rPr>
                  <w:rFonts w:hint="default" w:ascii="Cambria Math" w:hAnsi="Cambria Math"/>
                  <w:i/>
                  <w:lang w:val="en-US" w:eastAsia="zh-CN"/>
                </w:rPr>
              </m:ctrlPr>
            </m:sSupPr>
            <m:e>
              <m:r>
                <m:rPr/>
                <w:rPr>
                  <w:rFonts w:hint="default" w:ascii="Cambria Math" w:hAnsi="Cambria Math"/>
                  <w:lang w:val="en-US" w:eastAsia="zh-CN"/>
                </w:rPr>
                <m:t>w</m:t>
              </m:r>
              <m:ctrlPr>
                <w:rPr>
                  <w:rFonts w:hint="default" w:ascii="Cambria Math" w:hAnsi="Cambria Math"/>
                  <w:i/>
                  <w:lang w:val="en-US" w:eastAsia="zh-CN"/>
                </w:rPr>
              </m:ctrlPr>
            </m:e>
            <m:sup>
              <m:r>
                <m:rPr/>
                <w:rPr>
                  <w:rFonts w:hint="default" w:ascii="Cambria Math" w:hAnsi="Cambria Math"/>
                  <w:lang w:val="en-US" w:eastAsia="zh-CN"/>
                </w:rPr>
                <m:t>t</m:t>
              </m:r>
              <m:ctrlPr>
                <w:rPr>
                  <w:rFonts w:hint="default" w:ascii="Cambria Math" w:hAnsi="Cambria Math"/>
                  <w:i/>
                  <w:lang w:val="en-US" w:eastAsia="zh-CN"/>
                </w:rPr>
              </m:ctrlPr>
            </m:sup>
          </m:sSup>
          <m:r>
            <m:rPr/>
            <w:rPr>
              <w:rFonts w:hint="default" w:ascii="Cambria Math" w:hAnsi="Cambria Math"/>
              <w:lang w:val="en-US" w:eastAsia="zh-CN"/>
            </w:rPr>
            <m:t>|</m:t>
          </m:r>
          <m:sSubSup>
            <m:sSubSupPr>
              <m:ctrlPr>
                <w:rPr>
                  <w:rFonts w:hint="default" w:ascii="Cambria Math" w:hAnsi="Cambria Math"/>
                  <w:i/>
                  <w:lang w:val="en-US" w:eastAsia="zh-CN"/>
                </w:rPr>
              </m:ctrlPr>
            </m:sSubSupPr>
            <m:e>
              <m:r>
                <m:rPr/>
                <w:rPr>
                  <w:rFonts w:hint="default" w:ascii="Cambria Math" w:hAnsi="Cambria Math"/>
                  <w:lang w:val="en-US" w:eastAsia="zh-CN"/>
                </w:rPr>
                <m:t>|</m:t>
              </m:r>
              <m:ctrlPr>
                <w:rPr>
                  <w:rFonts w:hint="default" w:ascii="Cambria Math" w:hAnsi="Cambria Math"/>
                  <w:i/>
                  <w:lang w:val="en-US" w:eastAsia="zh-CN"/>
                </w:rPr>
              </m:ctrlPr>
            </m:e>
            <m:sub>
              <m:r>
                <m:rPr/>
                <w:rPr>
                  <w:rFonts w:hint="default" w:ascii="Cambria Math" w:hAnsi="Cambria Math"/>
                  <w:lang w:val="en-US" w:eastAsia="zh-CN"/>
                </w:rPr>
                <m:t>2</m:t>
              </m:r>
              <m:ctrlPr>
                <w:rPr>
                  <w:rFonts w:hint="default" w:ascii="Cambria Math" w:hAnsi="Cambria Math"/>
                  <w:i/>
                  <w:lang w:val="en-US" w:eastAsia="zh-CN"/>
                </w:rPr>
              </m:ctrlPr>
            </m:sub>
            <m:sup>
              <m:r>
                <m:rPr/>
                <w:rPr>
                  <w:rFonts w:hint="default" w:ascii="Cambria Math" w:hAnsi="Cambria Math"/>
                  <w:lang w:val="en-US" w:eastAsia="zh-CN"/>
                </w:rPr>
                <m:t>2</m:t>
              </m:r>
              <m:ctrlPr>
                <w:rPr>
                  <w:rFonts w:hint="default" w:ascii="Cambria Math" w:hAnsi="Cambria Math"/>
                  <w:i/>
                  <w:lang w:val="en-US" w:eastAsia="zh-CN"/>
                </w:rPr>
              </m:ctrlPr>
            </m:sup>
          </m:sSubSup>
        </m:oMath>
      </m:oMathPara>
    </w:p>
    <w:p w14:paraId="35254FB0">
      <w:pPr>
        <m:rPr/>
        <w:rPr>
          <w:rFonts w:hint="default" w:hAnsi="Cambria Math"/>
          <w:i w:val="0"/>
          <w:lang w:val="en-US" w:eastAsia="zh-CN"/>
        </w:rPr>
      </w:pPr>
      <w:r>
        <m:rPr/>
        <w:rPr>
          <w:rFonts w:hint="default" w:hAnsi="Cambria Math"/>
          <w:i w:val="0"/>
          <w:lang w:val="en-US" w:eastAsia="zh-CN"/>
        </w:rPr>
        <w:t>其中 w</w:t>
      </w:r>
      <w:r>
        <m:rPr/>
        <w:rPr>
          <w:rFonts w:hint="eastAsia" w:hAnsi="Cambria Math"/>
          <w:i w:val="0"/>
          <w:vertAlign w:val="superscript"/>
          <w:lang w:val="en-US" w:eastAsia="zh-CN"/>
        </w:rPr>
        <w:t>t</w:t>
      </w:r>
      <w:r>
        <m:rPr/>
        <w:rPr>
          <w:rFonts w:hint="default" w:hAnsi="Cambria Math"/>
          <w:i w:val="0"/>
          <w:lang w:val="en-US" w:eastAsia="zh-CN"/>
        </w:rPr>
        <w:t>为本轮全局模型，μ 控制本地模型偏离全局模型的惩罚强度。正式实验在 α=0.1 和 α=0.5 下比较 μ=0 与 μ=0.1。两组使用相同的初始权重、数据划分、客户端顺序、客户端 SGD、学习率、服务器更新和训练预算，因此差异可以主要归因于近端正则项。</w:t>
      </w:r>
    </w:p>
    <w:p w14:paraId="2A952036">
      <w:pPr>
        <w:pStyle w:val="3"/>
        <w:bidi w:val="0"/>
        <m:rPr/>
        <w:rPr>
          <w:rFonts w:hint="eastAsia"/>
          <w:lang w:val="en-US" w:eastAsia="zh-CN"/>
        </w:rPr>
      </w:pPr>
      <w:r>
        <m:rPr/>
        <w:rPr>
          <w:rFonts w:hint="eastAsia"/>
          <w:lang w:val="en-US" w:eastAsia="zh-CN"/>
        </w:rPr>
        <w:t>4.6 评价与可复现性</w:t>
      </w:r>
    </w:p>
    <w:p w14:paraId="3AFA6DC4">
      <w:pPr>
        <m:rPr/>
        <w:rPr>
          <w:rFonts w:hint="default"/>
          <w:lang w:val="en-US" w:eastAsia="zh-CN"/>
        </w:rPr>
      </w:pPr>
      <w:r>
        <m:rPr/>
        <w:rPr>
          <w:rFonts w:hint="default"/>
          <w:lang w:val="en-US" w:eastAsia="zh-CN"/>
        </w:rPr>
        <w:t>模型根据合并验证集的准确率选择最佳 checkpoint，参数冻结后再在官方测试集上进行最终评价。主要指标包括 Test Accuracy、Test Loss、Macro-class Accuracy、Per-class Accuracy、Confusion Matrix、Best Round 和估算通信量。</w:t>
      </w:r>
    </w:p>
    <w:p w14:paraId="3DE71B10">
      <w:pPr>
        <m:rPr/>
        <w:rPr>
          <w:rFonts w:hint="default"/>
          <w:lang w:val="en-US" w:eastAsia="zh-CN"/>
        </w:rPr>
      </w:pPr>
    </w:p>
    <w:p w14:paraId="12E10BB9">
      <w:pPr>
        <m:rPr/>
        <w:rPr>
          <w:rFonts w:hint="default"/>
          <w:lang w:val="en-US" w:eastAsia="zh-CN"/>
        </w:rPr>
      </w:pPr>
      <w:r>
        <m:rPr/>
        <w:rPr>
          <w:rFonts w:hint="default"/>
          <w:lang w:val="en-US" w:eastAsia="zh-CN"/>
        </w:rPr>
        <w:t>实验将保存固定数据划分、配置文件、逐轮指标、最佳与最终模型、checkpoint、类别结果和混淆矩阵。配对实验还将检查初始模型一致性、数值稳定性、样本量加权聚合及恢复训练连续性。由于正式实验主要基于单一随机种子，结论将限定于当前模型、客户端数量和训练设置。</w:t>
      </w:r>
    </w:p>
    <w:p w14:paraId="59D35703">
      <w:pPr>
        <w:pStyle w:val="2"/>
        <w:bidi w:val="0"/>
        <w:rPr>
          <w:rFonts w:hint="eastAsia"/>
          <w:lang w:val="en-US" w:eastAsia="zh-CN"/>
        </w:rPr>
      </w:pPr>
      <w:r>
        <w:rPr>
          <w:rFonts w:hint="eastAsia"/>
          <w:lang w:val="en-US" w:eastAsia="zh-CN"/>
        </w:rPr>
        <w:t>5 Expected Outcomes</w:t>
      </w:r>
    </w:p>
    <w:p w14:paraId="68A795DE">
      <w:pPr>
        <m:rPr/>
        <w:rPr>
          <w:rFonts w:hint="default"/>
          <w:lang w:val="en-US" w:eastAsia="zh-CN"/>
        </w:rPr>
      </w:pPr>
      <w:r>
        <m:rPr/>
        <w:rPr>
          <w:rFonts w:hint="default"/>
          <w:lang w:val="en-US" w:eastAsia="zh-CN"/>
        </w:rPr>
        <w:t>本项目预期形成一个可复现的五客户端联邦交通标志识别流程，能够在统一数据和评估条件下比较 Centralised、Local-only、FedAvg 与 FedProx。</w:t>
      </w:r>
    </w:p>
    <w:p w14:paraId="5C3EF0A8">
      <w:pPr>
        <m:rPr/>
        <w:rPr>
          <w:rFonts w:hint="default"/>
          <w:lang w:val="en-US" w:eastAsia="zh-CN"/>
        </w:rPr>
      </w:pPr>
      <w:bookmarkStart w:id="0" w:name="_GoBack"/>
      <w:bookmarkEnd w:id="0"/>
    </w:p>
    <w:p w14:paraId="6E1C9002">
      <w:pPr>
        <m:rPr/>
        <w:rPr>
          <w:rFonts w:hint="default"/>
          <w:lang w:val="en-US" w:eastAsia="zh-CN"/>
        </w:rPr>
      </w:pPr>
      <w:r>
        <m:rPr/>
        <w:rPr>
          <w:rFonts w:hint="default"/>
          <w:lang w:val="en-US" w:eastAsia="zh-CN"/>
        </w:rPr>
        <w:t>研究预计将明确 FedAvg 对不同标签异构程度的鲁棒性边界。轻度和中度偏斜下，全局模型可能保持相对稳定；在极端 Label Skew 下，总体准确率、宏平均类别准确率和个别类别性能预计会出现明显下降。该分析也将说明，单独报告总体准确率可能掩盖部分类别失效。</w:t>
      </w:r>
    </w:p>
    <w:p w14:paraId="58F53D3A">
      <w:pPr>
        <m:rPr/>
        <w:rPr>
          <w:rFonts w:hint="default"/>
          <w:lang w:val="en-US" w:eastAsia="zh-CN"/>
        </w:rPr>
      </w:pPr>
    </w:p>
    <w:p w14:paraId="28BFB63E">
      <w:pPr>
        <m:rPr/>
        <w:rPr>
          <w:rFonts w:hint="default"/>
          <w:lang w:val="en-US" w:eastAsia="zh-CN"/>
        </w:rPr>
      </w:pPr>
      <w:r>
        <m:rPr/>
        <w:rPr>
          <w:rFonts w:hint="default"/>
          <w:lang w:val="en-US" w:eastAsia="zh-CN"/>
        </w:rPr>
        <w:t>FedProx 预计能够在强标签异构下部分改善总体和类别级表现，但不会完全消除所有 Non-IID 问题。研究将同时评价其性能收益、收敛行为和通信成本，并明确结论适用的实验条件。</w:t>
      </w:r>
    </w:p>
    <w:p w14:paraId="643A50F6">
      <w:pPr>
        <m:rPr/>
        <w:rPr>
          <w:rFonts w:hint="default"/>
          <w:lang w:val="en-US" w:eastAsia="zh-CN"/>
        </w:rPr>
      </w:pPr>
    </w:p>
    <w:p w14:paraId="7F2DCBDB">
      <w:pPr>
        <m:rPr/>
        <w:rPr>
          <w:rFonts w:hint="default"/>
          <w:lang w:val="en-US" w:eastAsia="zh-CN"/>
        </w:rPr>
      </w:pPr>
      <w:r>
        <m:rPr/>
        <w:rPr>
          <w:rFonts w:hint="default"/>
          <w:lang w:val="en-US" w:eastAsia="zh-CN"/>
        </w:rPr>
        <w:t>最终成果还将包括固定数据划分、统一训练脚本、checkpoint、逐类别结果和可复现评估流程，为后续多随机种子、部分客户端参与、更多本地训练轮次、其他联邦优化算法及特征异构研究提供基础。</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Cambria Math">
    <w:panose1 w:val="02040503050406030204"/>
    <w:charset w:val="00"/>
    <w:family w:val="auto"/>
    <w:pitch w:val="default"/>
    <w:sig w:usb0="E00006FF" w:usb1="420024FF" w:usb2="02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7624334"/>
    <w:multiLevelType w:val="multilevel"/>
    <w:tmpl w:val="B762433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EF8315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6">
    <w:name w:val="Default Paragraph Font"/>
    <w:semiHidden/>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0</TotalTime>
  <ScaleCrop>false</ScaleCrop>
  <LinksUpToDate>false</LinksUpToDate>
  <CharactersWithSpaces>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2026-07-29T00:12:56Z</dcterms:created>
  <dc:creator>HeMa</dc:creator>
  <cp:lastModifiedBy>淘金者</cp:lastModifiedBy>
  <dcterms:modified xsi:type="dcterms:W3CDTF">2026-07-29T00:44:09Z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KSOTemplateDocerSaveRecord">
    <vt:lpwstr>eyJoZGlkIjoiYjI5MTQ3ZDJjMjJkMzEwMTgwMGFiYWJhOWY0YmUyZTYiLCJ1c2VySWQiOiIxMzg3MDc2MzIxIn0=</vt:lpwstr>
  </property>
  <property fmtid="{D5CDD505-2E9C-101B-9397-08002B2CF9AE}" pid="4" name="ICV">
    <vt:lpwstr>E7E60446865841DBA836E2ED15B7615A_12</vt:lpwstr>
  </property>
</Properties>
</file>