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7E1B2">
      <w:pPr>
        <w:pStyle w:val="2"/>
        <w:bidi w:val="0"/>
        <w:rPr>
          <w:rFonts w:hint="eastAsia"/>
          <w:lang w:val="en-US" w:eastAsia="zh-CN"/>
        </w:rPr>
      </w:pPr>
      <w:r>
        <w:rPr>
          <w:rFonts w:hint="eastAsia"/>
          <w:lang w:val="en-US" w:eastAsia="zh-CN"/>
        </w:rPr>
        <w:t>摘要</w:t>
      </w:r>
    </w:p>
    <w:p w14:paraId="7D6BCF68">
      <w:pPr>
        <w:rPr>
          <w:rFonts w:hint="default"/>
          <w:lang w:val="en-US" w:eastAsia="zh-CN"/>
        </w:rPr>
      </w:pPr>
      <w:r>
        <w:rPr>
          <w:rFonts w:hint="default"/>
          <w:lang w:val="en-US" w:eastAsia="zh-CN"/>
        </w:rPr>
        <w:t>联邦学习能够在不集中上传客户端原始数据的情况下训练共享模型，但客户端之间的数据分布差异可能降低全局模型的性能。本研究以GTSRB交通标志分类任务为对象，构建了一个包含五个模拟客户端的可复现联邦学习流程，研究标签分布异构对FedAvg的影响，并评价FedProx能否缓解强Non-IID条件下的性能退化。</w:t>
      </w:r>
    </w:p>
    <w:p w14:paraId="1646D07F">
      <w:pPr>
        <w:rPr>
          <w:rFonts w:hint="default"/>
          <w:lang w:val="en-US" w:eastAsia="zh-CN"/>
        </w:rPr>
      </w:pPr>
      <w:r>
        <w:rPr>
          <w:rFonts w:hint="default"/>
          <w:lang w:val="en-US" w:eastAsia="zh-CN"/>
        </w:rPr>
        <w:t>研究首先建立集中式训练、客户端独立训练和IID FedAvg基线，随后使用Dirichlet分布构造α=10、1.0、0.5和0.1四种标签异构程度。在近似IID条件下，FedAvg取得92.60%的测试准确率和89.44%的宏平均类别准确率，并达到与集中式训练相近的性能。FedAvg在轻度和中度标签偏斜下保持稳定，但在α=0.1条件下，测试准确率下降至71.49%，宏平均类别准确率下降至69.42%，同时出现多个类别失效。</w:t>
      </w:r>
    </w:p>
    <w:p w14:paraId="04329EBD">
      <w:pPr>
        <w:rPr>
          <w:rFonts w:hint="default"/>
          <w:lang w:val="en-US" w:eastAsia="zh-CN"/>
        </w:rPr>
      </w:pPr>
      <w:r>
        <w:rPr>
          <w:rFonts w:hint="default"/>
          <w:lang w:val="en-US" w:eastAsia="zh-CN"/>
        </w:rPr>
        <w:t>在严格匹配的FedProx实验中，μ=0.1相对于μ=0，在α=0.1条件下将测试准确率由77.51%提高至84.52%，宏平均类别准确率由73.60%提高至80.79%；在α=0.5</w:t>
      </w:r>
      <w:bookmarkStart w:id="0" w:name="_GoBack"/>
      <w:bookmarkEnd w:id="0"/>
      <w:r>
        <w:rPr>
          <w:rFonts w:hint="default"/>
          <w:lang w:val="en-US" w:eastAsia="zh-CN"/>
        </w:rPr>
        <w:t>条件下也取得一致改善。结果表明，FedAvg对一定程度的标签异构具有鲁棒性，而适当的近端约束能够显著但不完全地缓解强标签偏斜造成的整体和类别级性能退化。由于实验仅使用一个随机种子和全客户端参与设置，后续仍需通过多次重复实验和更现实的客户端参与条件验证结论。</w:t>
      </w:r>
    </w:p>
    <w:p w14:paraId="73D8F3C8">
      <w:pPr>
        <w:pStyle w:val="2"/>
        <w:bidi w:val="0"/>
        <w:rPr>
          <w:rFonts w:hint="eastAsia"/>
          <w:lang w:val="en-US" w:eastAsia="zh-CN"/>
        </w:rPr>
      </w:pPr>
      <w:r>
        <w:rPr>
          <w:rFonts w:hint="eastAsia"/>
          <w:lang w:val="en-US" w:eastAsia="zh-CN"/>
        </w:rPr>
        <w:t>1 Introduction</w:t>
      </w:r>
    </w:p>
    <w:p w14:paraId="0F8D9A25">
      <w:pPr>
        <w:pStyle w:val="3"/>
        <w:numPr>
          <w:ilvl w:val="1"/>
          <w:numId w:val="1"/>
        </w:numPr>
        <w:bidi w:val="0"/>
        <w:rPr>
          <w:rFonts w:hint="eastAsia"/>
          <w:lang w:val="en-US" w:eastAsia="zh-CN"/>
        </w:rPr>
      </w:pPr>
      <w:r>
        <w:rPr>
          <w:rFonts w:hint="eastAsia"/>
          <w:lang w:val="en-US" w:eastAsia="zh-CN"/>
        </w:rPr>
        <w:t>研究背景与动机</w:t>
      </w:r>
    </w:p>
    <w:p w14:paraId="294EEDFB">
      <w:pPr>
        <w:numPr>
          <w:numId w:val="0"/>
        </w:numPr>
        <w:ind w:leftChars="0"/>
        <w:rPr>
          <w:rFonts w:hint="default"/>
          <w:lang w:val="en-US" w:eastAsia="zh-CN"/>
        </w:rPr>
      </w:pPr>
      <w:r>
        <w:rPr>
          <w:rFonts w:hint="default"/>
          <w:lang w:val="en-US" w:eastAsia="zh-CN"/>
        </w:rPr>
        <w:t>交通标志识别是智能交通系统和自动驾驶感知中的基础任务。车辆需要从摄像头图像中识别限速、禁令、警告和指示等不同类型的道路标志，为后续的驾驶决策和安全控制提供信息。随着联网车辆和道路感知设备数量增加，不同车辆可以持续采集大量交通图像，这些分散数据为改进识别模型提供了潜在价值。</w:t>
      </w:r>
    </w:p>
    <w:p w14:paraId="7568F507">
      <w:pPr>
        <w:numPr>
          <w:numId w:val="0"/>
        </w:numPr>
        <w:ind w:leftChars="0"/>
        <w:rPr>
          <w:rFonts w:hint="default"/>
          <w:lang w:val="en-US" w:eastAsia="zh-CN"/>
        </w:rPr>
      </w:pPr>
      <w:r>
        <w:rPr>
          <w:rFonts w:hint="default"/>
          <w:lang w:val="en-US" w:eastAsia="zh-CN"/>
        </w:rPr>
        <w:t>传统机器学习通常需要将训练数据集中上传至统一服务器，再进行模型训练。然而，在真实车辆环境中，集中收集原始图像可能面临隐私保护、数据所有权、通信带宽和集中存储等问题。车辆图像还可能包含道路位置、行驶路线、周边车辆和行人等敏感信息。因此，如何在不直接汇集各客户端原始数据的情况下，利用分散数据训练共享模型，成为一个具有实际意义的问题。</w:t>
      </w:r>
    </w:p>
    <w:p w14:paraId="1698AFD3">
      <w:pPr>
        <w:numPr>
          <w:numId w:val="0"/>
        </w:numPr>
        <w:ind w:leftChars="0"/>
        <w:rPr>
          <w:rFonts w:hint="default"/>
          <w:lang w:val="en-US" w:eastAsia="zh-CN"/>
        </w:rPr>
      </w:pPr>
      <w:r>
        <w:rPr>
          <w:rFonts w:hint="default"/>
          <w:lang w:val="en-US" w:eastAsia="zh-CN"/>
        </w:rPr>
        <w:t>联邦学习提供了一种可能的解决方式。在联邦训练过程中，每个客户端保留自己的本地数据，只在本地完成模型训练，并将模型参数或模型更新发送至服务器。服务器对多个客户端的更新进行聚合，再将新的全局模型下发给客户端。通过重复这一过程，系统能够利用多个数据源的训练信息，同时避免直接交换原始图像。</w:t>
      </w:r>
    </w:p>
    <w:p w14:paraId="0CC0DAA0">
      <w:pPr>
        <w:numPr>
          <w:numId w:val="0"/>
        </w:numPr>
        <w:ind w:leftChars="0"/>
        <w:rPr>
          <w:rFonts w:hint="default"/>
          <w:lang w:val="en-US" w:eastAsia="zh-CN"/>
        </w:rPr>
      </w:pPr>
      <w:r>
        <w:rPr>
          <w:rFonts w:hint="default"/>
          <w:lang w:val="en-US" w:eastAsia="zh-CN"/>
        </w:rPr>
        <w:t>不过，联邦学习并不等同于完全解决了分布式数据训练问题。其有效性在很大程度上取决于不同客户端的数据分布和训练条件。</w:t>
      </w:r>
    </w:p>
    <w:p w14:paraId="6AF4A778">
      <w:pPr>
        <w:pStyle w:val="3"/>
        <w:numPr>
          <w:ilvl w:val="1"/>
          <w:numId w:val="1"/>
        </w:numPr>
        <w:bidi w:val="0"/>
        <w:ind w:left="0" w:leftChars="0" w:firstLine="0" w:firstLineChars="0"/>
        <w:rPr>
          <w:rFonts w:hint="eastAsia"/>
          <w:lang w:val="en-US" w:eastAsia="zh-CN"/>
        </w:rPr>
      </w:pPr>
      <w:r>
        <w:rPr>
          <w:rFonts w:hint="eastAsia"/>
          <w:lang w:val="en-US" w:eastAsia="zh-CN"/>
        </w:rPr>
        <w:t>联邦学习中的数据异构问题</w:t>
      </w:r>
    </w:p>
    <w:p w14:paraId="46A38041">
      <w:pPr>
        <w:numPr>
          <w:numId w:val="0"/>
        </w:numPr>
        <w:ind w:leftChars="0"/>
        <w:rPr>
          <w:rFonts w:hint="default"/>
          <w:lang w:val="en-US" w:eastAsia="zh-CN"/>
        </w:rPr>
      </w:pPr>
      <w:r>
        <w:rPr>
          <w:rFonts w:hint="default"/>
          <w:lang w:val="en-US" w:eastAsia="zh-CN"/>
        </w:rPr>
        <w:t>许多联邦学习基线实验假设各客户端数据是独立同分布的，即不同客户端拥有相近的类别比例和数据特征。但在实际场景中，这一假设通常难以满足。</w:t>
      </w:r>
    </w:p>
    <w:p w14:paraId="64C00243">
      <w:pPr>
        <w:numPr>
          <w:numId w:val="0"/>
        </w:numPr>
        <w:ind w:leftChars="0"/>
        <w:rPr>
          <w:rFonts w:hint="default"/>
          <w:lang w:val="en-US" w:eastAsia="zh-CN"/>
        </w:rPr>
      </w:pPr>
      <w:r>
        <w:rPr>
          <w:rFonts w:hint="default"/>
          <w:lang w:val="en-US" w:eastAsia="zh-CN"/>
        </w:rPr>
        <w:t>以交通标志识别为例，不同车辆的行驶路线、地理位置和道路类型可能不同。一辆主要在市区行驶的车辆可能更频繁地采集限速、停车和行人相关标志，而在高速公路上行驶的车辆可能采集更多出口、限速和禁止超车标志。因此，各客户端不仅可能拥有不同数量的样本，也可能在类别比例上存在明显差异。</w:t>
      </w:r>
    </w:p>
    <w:p w14:paraId="07A5908B">
      <w:pPr>
        <w:numPr>
          <w:numId w:val="0"/>
        </w:numPr>
        <w:ind w:leftChars="0"/>
        <w:rPr>
          <w:rFonts w:hint="default"/>
          <w:lang w:val="en-US" w:eastAsia="zh-CN"/>
        </w:rPr>
      </w:pPr>
      <w:r>
        <w:rPr>
          <w:rFonts w:hint="default"/>
          <w:lang w:val="en-US" w:eastAsia="zh-CN"/>
        </w:rPr>
        <w:t>当某些类别主要集中在少数客户端，而其他客户端缺少这些类别时，就会形成标签分布偏斜，也称为Label Skew。这种客户端数据非独立同分布的情况通常被概括为Non-IID。</w:t>
      </w:r>
    </w:p>
    <w:p w14:paraId="37BB97E3">
      <w:pPr>
        <w:numPr>
          <w:numId w:val="0"/>
        </w:numPr>
        <w:ind w:leftChars="0"/>
        <w:rPr>
          <w:rFonts w:hint="default"/>
          <w:lang w:val="en-US" w:eastAsia="zh-CN"/>
        </w:rPr>
      </w:pPr>
      <w:r>
        <w:rPr>
          <w:rFonts w:hint="default"/>
          <w:lang w:val="en-US" w:eastAsia="zh-CN"/>
        </w:rPr>
        <w:t>在FedAvg中，每个客户端首先根据自己的本地数据更新模型，服务器再对这些模型更新进行加权平均。如果各客户端的本地数据分布相似，它们的优化方向通常更一致；如果客户端类别分布差异较大，不同客户端可能分别推动模型适应各自占优势的类别，从而产生相互冲突的更新方向。这种现象可能导致训练波动、收敛速度下降和全局模型泛化性能退化。</w:t>
      </w:r>
    </w:p>
    <w:p w14:paraId="519A5A9A">
      <w:pPr>
        <w:numPr>
          <w:numId w:val="0"/>
        </w:numPr>
        <w:ind w:leftChars="0"/>
        <w:rPr>
          <w:rFonts w:hint="default"/>
          <w:lang w:val="en-US" w:eastAsia="zh-CN"/>
        </w:rPr>
      </w:pPr>
      <w:r>
        <w:rPr>
          <w:rFonts w:hint="default"/>
          <w:lang w:val="en-US" w:eastAsia="zh-CN"/>
        </w:rPr>
        <w:t>尤其需要注意的是，数据异构造成的影响不一定会首先反映在总体准确率上。交通标志类别的样本数量并不均衡，模型即使在高频类别上保持较好性能，也可能在少数类别上出现明显退化。因此，只报告总体测试准确率可能掩盖类别级失效。宏平均类别准确率、逐类别准确率和混淆矩阵对于分析Non-IID条件下的模型行为同样重要。</w:t>
      </w:r>
    </w:p>
    <w:p w14:paraId="5466E253">
      <w:pPr>
        <w:pStyle w:val="3"/>
        <w:numPr>
          <w:ilvl w:val="1"/>
          <w:numId w:val="1"/>
        </w:numPr>
        <w:bidi w:val="0"/>
        <w:ind w:left="0" w:leftChars="0" w:firstLine="0" w:firstLineChars="0"/>
        <w:rPr>
          <w:rFonts w:hint="eastAsia"/>
          <w:lang w:val="en-US" w:eastAsia="zh-CN"/>
        </w:rPr>
      </w:pPr>
      <w:r>
        <w:rPr>
          <w:rFonts w:hint="eastAsia"/>
          <w:lang w:val="en-US" w:eastAsia="zh-CN"/>
        </w:rPr>
        <w:t>FedAvg与FedProx</w:t>
      </w:r>
    </w:p>
    <w:p w14:paraId="153B2192">
      <w:pPr>
        <w:numPr>
          <w:numId w:val="0"/>
        </w:numPr>
        <w:ind w:leftChars="0"/>
        <w:rPr>
          <w:rFonts w:hint="default"/>
          <w:lang w:val="en-US" w:eastAsia="zh-CN"/>
        </w:rPr>
      </w:pPr>
      <w:r>
        <w:rPr>
          <w:rFonts w:hint="default"/>
          <w:lang w:val="en-US" w:eastAsia="zh-CN"/>
        </w:rPr>
        <w:t>FedAvg是联邦学习中最常用的基础聚合方法之一。在每一轮训练中，服务器向参与客户端下发当前全局模型，各客户端使用本地数据进行若干步训练，随后服务器按照客户端样本数量对本地模型或模型更新进行加权平均。</w:t>
      </w:r>
    </w:p>
    <w:p w14:paraId="38553F3F">
      <w:pPr>
        <w:numPr>
          <w:numId w:val="0"/>
        </w:numPr>
        <w:ind w:leftChars="0"/>
        <w:rPr>
          <w:rFonts w:hint="default"/>
          <w:lang w:val="en-US" w:eastAsia="zh-CN"/>
        </w:rPr>
      </w:pPr>
      <w:r>
        <w:rPr>
          <w:rFonts w:hint="default"/>
          <w:lang w:val="en-US" w:eastAsia="zh-CN"/>
        </w:rPr>
        <w:t>FedAvg实现简单，并且在客户端数据较均衡时能够取得良好效果。本项目在近似 IID 的五客户端划分中也观察到，FedAvg可以明显优于仅使用本地数据训练的模型，并达到与集中式训练相近的官方测试性能。</w:t>
      </w:r>
    </w:p>
    <w:p w14:paraId="62BCF645">
      <w:pPr>
        <w:numPr>
          <w:numId w:val="0"/>
        </w:numPr>
        <w:ind w:leftChars="0"/>
        <w:rPr>
          <w:rFonts w:hint="default"/>
          <w:lang w:val="en-US" w:eastAsia="zh-CN"/>
        </w:rPr>
      </w:pPr>
      <w:r>
        <w:rPr>
          <w:rFonts w:hint="default"/>
          <w:lang w:val="en-US" w:eastAsia="zh-CN"/>
        </w:rPr>
        <w:t>然而，FedAvg没有直接限制客户端模型在本地训练期间偏离全局模型的程度。当客户端数据高度异构时，各客户端可能过度适应自己的本地分布，导致聚合后的全局模型难以同时兼顾所有客户端。</w:t>
      </w:r>
    </w:p>
    <w:p w14:paraId="32573984">
      <w:pPr>
        <w:numPr>
          <w:numId w:val="0"/>
        </w:numPr>
        <w:ind w:leftChars="0"/>
        <w:rPr>
          <w:rFonts w:hint="default"/>
          <w:lang w:val="en-US" w:eastAsia="zh-CN"/>
        </w:rPr>
      </w:pPr>
      <w:r>
        <w:rPr>
          <w:rFonts w:hint="default"/>
          <w:lang w:val="en-US" w:eastAsia="zh-CN"/>
        </w:rPr>
        <w:t>FedProx在FedAvg的本地目标函数中加入了近端正则项，用于惩罚本地模型与本轮初始全局模型之间过大的距离。它的核心思想不是阻止客户端学习本地信息，而是在本地适应和全局一致性之间建立约束。</w:t>
      </w:r>
    </w:p>
    <w:p w14:paraId="27424EEF">
      <w:pPr>
        <w:numPr>
          <w:numId w:val="0"/>
        </w:numPr>
        <w:ind w:leftChars="0"/>
        <w:rPr>
          <w:rFonts w:hint="default"/>
          <w:lang w:val="en-US" w:eastAsia="zh-CN"/>
        </w:rPr>
      </w:pPr>
      <w:r>
        <w:rPr>
          <w:rFonts w:hint="default"/>
          <w:lang w:val="en-US" w:eastAsia="zh-CN"/>
        </w:rPr>
        <w:t>当近端系数μ=0时，正则项消失；当μ&gt;0时，客户端偏离全局模型会产生额外损失。因此，在其他训练配置完全一致的条件下，可以通过比较μ=0和μ&gt;0来研究近端约束的实际作用。</w:t>
      </w:r>
    </w:p>
    <w:p w14:paraId="485C7799">
      <w:pPr>
        <w:pStyle w:val="3"/>
        <w:numPr>
          <w:ilvl w:val="1"/>
          <w:numId w:val="1"/>
        </w:numPr>
        <w:bidi w:val="0"/>
        <w:ind w:left="0" w:leftChars="0" w:firstLine="0" w:firstLineChars="0"/>
        <w:rPr>
          <w:rFonts w:hint="eastAsia"/>
          <w:lang w:val="en-US" w:eastAsia="zh-CN"/>
        </w:rPr>
      </w:pPr>
      <w:r>
        <w:rPr>
          <w:rFonts w:hint="eastAsia"/>
          <w:lang w:val="en-US" w:eastAsia="zh-CN"/>
        </w:rPr>
        <w:t>研究动机与问题定义</w:t>
      </w:r>
    </w:p>
    <w:p w14:paraId="217A3BE0">
      <w:pPr>
        <w:numPr>
          <w:numId w:val="0"/>
        </w:numPr>
        <w:ind w:leftChars="0"/>
        <w:rPr>
          <w:rFonts w:hint="default"/>
          <w:lang w:val="en-US" w:eastAsia="zh-CN"/>
        </w:rPr>
      </w:pPr>
      <w:r>
        <w:rPr>
          <w:rFonts w:hint="default"/>
          <w:lang w:val="en-US" w:eastAsia="zh-CN"/>
        </w:rPr>
        <w:t>尽管已有研究普遍认为Non-IID数据会增加联邦优化难度，但在具体任务中，性能退化程度仍然取决于客户端数量、数据异构强度、参与比例、本地训练轮数、模型结构和优化器等条件。因此，不能仅根据“客户端数据不是IID”就直接判断FedAvg必然失败。</w:t>
      </w:r>
    </w:p>
    <w:p w14:paraId="426BC677">
      <w:pPr>
        <w:numPr>
          <w:numId w:val="0"/>
        </w:numPr>
        <w:ind w:leftChars="0"/>
        <w:rPr>
          <w:rFonts w:hint="default"/>
          <w:lang w:val="en-US" w:eastAsia="zh-CN"/>
        </w:rPr>
      </w:pPr>
      <w:r>
        <w:rPr>
          <w:rFonts w:hint="default"/>
          <w:lang w:val="en-US" w:eastAsia="zh-CN"/>
        </w:rPr>
        <w:t>本研究选择GTSRB交通标志分类作为实验任务，并使用固定随机种子将官方训练数据划分给5个模拟客户端。研究首先建立IID基线，验证联邦学习流程和模型结构能够正常工作；随后使用不同Dirichlet参数生成由轻度到极端的标签偏斜，以观察FedAvg的性能变化；最后在退化明显的数据条件下，使用严格匹配的控制实验评价FedProx。</w:t>
      </w:r>
    </w:p>
    <w:p w14:paraId="2C995003">
      <w:pPr>
        <w:numPr>
          <w:numId w:val="0"/>
        </w:numPr>
        <w:ind w:leftChars="0"/>
        <w:rPr>
          <w:rFonts w:hint="default"/>
          <w:lang w:val="en-US" w:eastAsia="zh-CN"/>
        </w:rPr>
      </w:pPr>
      <w:r>
        <w:rPr>
          <w:rFonts w:hint="default"/>
          <w:lang w:val="en-US" w:eastAsia="zh-CN"/>
        </w:rPr>
        <w:t>本研究主要回答以下三个问题：</w:t>
      </w:r>
    </w:p>
    <w:p w14:paraId="33182754">
      <w:pPr>
        <w:numPr>
          <w:numId w:val="0"/>
        </w:numPr>
        <w:ind w:leftChars="0"/>
        <w:rPr>
          <w:rFonts w:hint="default"/>
          <w:lang w:val="en-US" w:eastAsia="zh-CN"/>
        </w:rPr>
      </w:pPr>
      <w:r>
        <w:rPr>
          <w:rFonts w:hint="eastAsia"/>
          <w:lang w:val="en-US" w:eastAsia="zh-CN"/>
        </w:rPr>
        <w:t>1、</w:t>
      </w:r>
      <w:r>
        <w:rPr>
          <w:rFonts w:hint="default"/>
          <w:lang w:val="en-US" w:eastAsia="zh-CN"/>
        </w:rPr>
        <w:t>在近似IID条件下，FedAvg能否有效利用多个客户端的数据，并达到可靠的交通标志分类性能？</w:t>
      </w:r>
    </w:p>
    <w:p w14:paraId="574B319C">
      <w:pPr>
        <w:numPr>
          <w:numId w:val="0"/>
        </w:numPr>
        <w:ind w:leftChars="0"/>
        <w:rPr>
          <w:rFonts w:hint="default"/>
          <w:lang w:val="en-US" w:eastAsia="zh-CN"/>
        </w:rPr>
      </w:pPr>
      <w:r>
        <w:rPr>
          <w:rFonts w:hint="eastAsia"/>
          <w:lang w:val="en-US" w:eastAsia="zh-CN"/>
        </w:rPr>
        <w:t>2、</w:t>
      </w:r>
      <w:r>
        <w:rPr>
          <w:rFonts w:hint="default"/>
          <w:lang w:val="en-US" w:eastAsia="zh-CN"/>
        </w:rPr>
        <w:t>随着客户端标签异构程度增强，FedAvg的总体准确率、宏平均类别准确率和类别级表现如何变化？</w:t>
      </w:r>
    </w:p>
    <w:p w14:paraId="0171F42C">
      <w:pPr>
        <w:numPr>
          <w:numId w:val="0"/>
        </w:numPr>
        <w:ind w:leftChars="0"/>
        <w:rPr>
          <w:rFonts w:hint="default"/>
          <w:lang w:val="en-US" w:eastAsia="zh-CN"/>
        </w:rPr>
      </w:pPr>
      <w:r>
        <w:rPr>
          <w:rFonts w:hint="eastAsia"/>
          <w:lang w:val="en-US" w:eastAsia="zh-CN"/>
        </w:rPr>
        <w:t>3、</w:t>
      </w:r>
      <w:r>
        <w:rPr>
          <w:rFonts w:hint="default"/>
          <w:lang w:val="en-US" w:eastAsia="zh-CN"/>
        </w:rPr>
        <w:t>在保持数据、模型、初始化、优化器和训练预算一致的情况下，FedProx的近端约束能否缓解强标签异构造成的性能退化？</w:t>
      </w:r>
    </w:p>
    <w:p w14:paraId="43F0E05B">
      <w:pPr>
        <w:pStyle w:val="3"/>
        <w:bidi w:val="0"/>
        <w:rPr>
          <w:rFonts w:hint="eastAsia"/>
          <w:lang w:val="en-US" w:eastAsia="zh-CN"/>
        </w:rPr>
      </w:pPr>
      <w:r>
        <w:rPr>
          <w:rFonts w:hint="eastAsia"/>
          <w:lang w:val="en-US" w:eastAsia="zh-CN"/>
        </w:rPr>
        <w:t>1.5 研究方法概述</w:t>
      </w:r>
    </w:p>
    <w:p w14:paraId="077A41F4">
      <w:pPr>
        <w:rPr>
          <w:rFonts w:hint="default"/>
          <w:lang w:val="en-US" w:eastAsia="zh-CN"/>
        </w:rPr>
      </w:pPr>
      <w:r>
        <w:rPr>
          <w:rFonts w:hint="default"/>
          <w:lang w:val="en-US" w:eastAsia="zh-CN"/>
        </w:rPr>
        <w:t>本研究使用包含39,209张训练图像和12,630张官方测试图像的GTSRB数据集，共涉及43个交通标志类别。所有图像被调整为32×32的RGB输入，并使用统一的无Batch Normalization卷积神经网络进行分类。</w:t>
      </w:r>
    </w:p>
    <w:p w14:paraId="5B559BCB">
      <w:pPr>
        <w:rPr>
          <w:rFonts w:hint="default"/>
          <w:lang w:val="en-US" w:eastAsia="zh-CN"/>
        </w:rPr>
      </w:pPr>
      <w:r>
        <w:rPr>
          <w:rFonts w:hint="default"/>
          <w:lang w:val="en-US" w:eastAsia="zh-CN"/>
        </w:rPr>
        <w:t>在第一阶段，训练数据按照类别分层近似平均划分给5个客户端，并比较集中式训练、Local-only和FedAvg。</w:t>
      </w:r>
    </w:p>
    <w:p w14:paraId="57FEA852">
      <w:pPr>
        <w:rPr>
          <w:rFonts w:hint="default"/>
          <w:lang w:val="en-US" w:eastAsia="zh-CN"/>
        </w:rPr>
      </w:pPr>
      <w:r>
        <w:rPr>
          <w:rFonts w:hint="default"/>
          <w:lang w:val="en-US" w:eastAsia="zh-CN"/>
        </w:rPr>
        <w:t>在第二阶段，使用Dirichlet分布构造α=10、1.0、0.5和0.1四种标签异构程度。较大的α产生更均衡的客户端类别分布，较小的α则使类别更集中于少数客户端。所有数据划分均固定保存，以保证不同算法使用完全相同的客户端样本。</w:t>
      </w:r>
    </w:p>
    <w:p w14:paraId="2B588EFD">
      <w:pPr>
        <w:rPr>
          <w:rFonts w:hint="default"/>
          <w:lang w:val="en-US" w:eastAsia="zh-CN"/>
        </w:rPr>
      </w:pPr>
      <w:r>
        <w:rPr>
          <w:rFonts w:hint="default"/>
          <w:lang w:val="en-US" w:eastAsia="zh-CN"/>
        </w:rPr>
        <w:t>在第三阶段，选择α=0.5和α=0.1两种较强异构场景，比较FedProx中的μ=0和μ=0.1。两组实验使用相同的模型初始化、客户端顺序、SGD优化器、学习率、160个通信轮次和评价流程，因此主要区别仅为是否使用近端约束。</w:t>
      </w:r>
    </w:p>
    <w:p w14:paraId="70F0EF5D">
      <w:pPr>
        <w:rPr>
          <w:rFonts w:hint="default"/>
          <w:lang w:val="en-US" w:eastAsia="zh-CN"/>
        </w:rPr>
      </w:pPr>
      <w:r>
        <w:rPr>
          <w:rFonts w:hint="default"/>
          <w:lang w:val="en-US" w:eastAsia="zh-CN"/>
        </w:rPr>
        <w:t>评价指标包括总体测试准确率、宏平均类别准确率、测试损失、逐类别准确率、混淆矩阵和训练收敛曲线。通过同时观察总体和类别级指标，本研究不仅关注模型平均表现，也关注极端异构条件下是否出现特定类别失效。</w:t>
      </w:r>
    </w:p>
    <w:p w14:paraId="50B48EAB">
      <w:pPr>
        <w:pStyle w:val="3"/>
        <w:numPr>
          <w:numId w:val="0"/>
        </w:numPr>
        <w:bidi w:val="0"/>
        <w:ind w:leftChars="0"/>
        <w:rPr>
          <w:rFonts w:hint="eastAsia"/>
          <w:lang w:val="en-US" w:eastAsia="zh-CN"/>
        </w:rPr>
      </w:pPr>
      <w:r>
        <w:rPr>
          <w:rFonts w:hint="eastAsia"/>
          <w:lang w:val="en-US" w:eastAsia="zh-CN"/>
        </w:rPr>
        <w:t>1.6 主要发现</w:t>
      </w:r>
    </w:p>
    <w:p w14:paraId="552CBC85">
      <w:pPr>
        <w:numPr>
          <w:numId w:val="0"/>
        </w:numPr>
        <w:ind w:leftChars="0"/>
        <w:rPr>
          <w:rFonts w:hint="default"/>
          <w:lang w:val="en-US" w:eastAsia="zh-CN"/>
        </w:rPr>
      </w:pPr>
      <w:r>
        <w:rPr>
          <w:rFonts w:hint="default"/>
          <w:lang w:val="en-US" w:eastAsia="zh-CN"/>
        </w:rPr>
        <w:t>实验结果表明，在当前五客户端、全客户端参与和每轮一个本地epoch的设置下，FedAvg并不会在所有Non-IID条件下明显失效。</w:t>
      </w:r>
    </w:p>
    <w:p w14:paraId="3D2A900B">
      <w:pPr>
        <w:numPr>
          <w:numId w:val="0"/>
        </w:numPr>
        <w:ind w:leftChars="0"/>
        <w:rPr>
          <w:rFonts w:hint="default"/>
          <w:lang w:val="en-US" w:eastAsia="zh-CN"/>
        </w:rPr>
      </w:pPr>
      <w:r>
        <w:rPr>
          <w:rFonts w:hint="default"/>
          <w:lang w:val="en-US" w:eastAsia="zh-CN"/>
        </w:rPr>
        <w:t>在近似IID条件下，FedAvg的测试准确率为92.60%，宏平均类别准确率为89.44%，明显高于五个Local-only模型的平均结果，并达到与集中式训练相近的水平。</w:t>
      </w:r>
    </w:p>
    <w:p w14:paraId="0C2C6BF1">
      <w:pPr>
        <w:numPr>
          <w:numId w:val="0"/>
        </w:numPr>
        <w:ind w:leftChars="0"/>
        <w:rPr>
          <w:rFonts w:hint="default"/>
          <w:lang w:val="en-US" w:eastAsia="zh-CN"/>
        </w:rPr>
      </w:pPr>
      <w:r>
        <w:rPr>
          <w:rFonts w:hint="default"/>
          <w:lang w:val="en-US" w:eastAsia="zh-CN"/>
        </w:rPr>
        <w:t>在Dirichlet标签偏斜实验中，FedAvg在α=10和α=1.0条件下的性能基本保持稳定，在α=0.5下仅出现有限下降。但在极端的α=0.1条件下，测试准确率下降至71.49%，宏平均类别准确率下降至69.42%，并出现多个类别准确率为零。</w:t>
      </w:r>
    </w:p>
    <w:p w14:paraId="155CD373">
      <w:pPr>
        <w:numPr>
          <w:numId w:val="0"/>
        </w:numPr>
        <w:ind w:leftChars="0"/>
        <w:rPr>
          <w:rFonts w:hint="default"/>
          <w:lang w:val="en-US" w:eastAsia="zh-CN"/>
        </w:rPr>
      </w:pPr>
      <w:r>
        <w:rPr>
          <w:rFonts w:hint="default"/>
          <w:lang w:val="en-US" w:eastAsia="zh-CN"/>
        </w:rPr>
        <w:t>严格配对实验进一步显示，FedProx的μ=0.1在α=0.1下将测试准确率从77.51%提高到84.52%，将宏平均类别准确率从73.60%提高到80.79%。在α=0.5下，测试准确率由87.36%提高到91.81%，宏平均类别准确率由82.46%提高到87.80%。</w:t>
      </w:r>
    </w:p>
    <w:p w14:paraId="01046FCB">
      <w:pPr>
        <w:numPr>
          <w:numId w:val="0"/>
        </w:numPr>
        <w:ind w:leftChars="0"/>
        <w:rPr>
          <w:rFonts w:hint="default"/>
          <w:lang w:val="en-US" w:eastAsia="zh-CN"/>
        </w:rPr>
      </w:pPr>
      <w:r>
        <w:rPr>
          <w:rFonts w:hint="default"/>
          <w:lang w:val="en-US" w:eastAsia="zh-CN"/>
        </w:rPr>
        <w:t>这些结果说明，适当的近端约束能够在当前实验条件下显著缓解强标签偏斜造成的退化，但无法完全解决所有类别的识别问题。</w:t>
      </w:r>
    </w:p>
    <w:p w14:paraId="48436FB9">
      <w:pPr>
        <w:pStyle w:val="3"/>
        <w:bidi w:val="0"/>
        <w:rPr>
          <w:rFonts w:hint="eastAsia"/>
          <w:lang w:val="en-US" w:eastAsia="zh-CN"/>
        </w:rPr>
      </w:pPr>
      <w:r>
        <w:rPr>
          <w:rFonts w:hint="eastAsia"/>
          <w:lang w:val="en-US" w:eastAsia="zh-CN"/>
        </w:rPr>
        <w:t>1.7 研究贡献</w:t>
      </w:r>
    </w:p>
    <w:p w14:paraId="75BFEB35">
      <w:pPr>
        <w:rPr>
          <w:rFonts w:hint="default"/>
          <w:lang w:val="en-US" w:eastAsia="zh-CN"/>
        </w:rPr>
      </w:pPr>
      <w:r>
        <w:rPr>
          <w:rFonts w:hint="default"/>
          <w:lang w:val="en-US" w:eastAsia="zh-CN"/>
        </w:rPr>
        <w:t>本研究的主要贡献可以概括为四个方面。</w:t>
      </w:r>
    </w:p>
    <w:p w14:paraId="7FD339FC">
      <w:pPr>
        <w:rPr>
          <w:rFonts w:hint="default"/>
          <w:lang w:val="en-US" w:eastAsia="zh-CN"/>
        </w:rPr>
      </w:pPr>
      <w:r>
        <w:rPr>
          <w:rFonts w:hint="default"/>
          <w:lang w:val="en-US" w:eastAsia="zh-CN"/>
        </w:rPr>
        <w:t>第一，建立了一个面向GTSRB交通标志分类的可复现五客户端联邦学习实验流程，包括固定数据划分、统一模型结构、训练指标记录、最佳模型选择、官方测试评估和checkpoint保存。</w:t>
      </w:r>
    </w:p>
    <w:p w14:paraId="214F8AA9">
      <w:pPr>
        <w:rPr>
          <w:rFonts w:hint="default"/>
          <w:lang w:val="en-US" w:eastAsia="zh-CN"/>
        </w:rPr>
      </w:pPr>
      <w:r>
        <w:rPr>
          <w:rFonts w:hint="default"/>
          <w:lang w:val="en-US" w:eastAsia="zh-CN"/>
        </w:rPr>
        <w:t>第二，通过多个Dirichlet参数系统观察了FedAvg从近似IID到极端Label Skew的性能变化，结果表明Non-IID的影响具有程度差异，而不是简单的成功或失败二元关系。</w:t>
      </w:r>
    </w:p>
    <w:p w14:paraId="0C0EBCE1">
      <w:pPr>
        <w:rPr>
          <w:rFonts w:hint="default"/>
          <w:lang w:val="en-US" w:eastAsia="zh-CN"/>
        </w:rPr>
      </w:pPr>
      <w:r>
        <w:rPr>
          <w:rFonts w:hint="default"/>
          <w:lang w:val="en-US" w:eastAsia="zh-CN"/>
        </w:rPr>
        <w:t>第三，同时使用总体准确率、宏平均类别准确率、逐类别准确率和混淆矩阵进行分析，揭示总体指标可能掩盖的类别级退化。</w:t>
      </w:r>
    </w:p>
    <w:p w14:paraId="128661CB">
      <w:pPr>
        <w:rPr>
          <w:rFonts w:hint="default"/>
          <w:lang w:val="en-US" w:eastAsia="zh-CN"/>
        </w:rPr>
      </w:pPr>
      <w:r>
        <w:rPr>
          <w:rFonts w:hint="default"/>
          <w:lang w:val="en-US" w:eastAsia="zh-CN"/>
        </w:rPr>
        <w:t>第四，通过同一训练器中的μ=0与μ=0.1建立严格匹配的FedProx对照，减少优化器、初始化和训练预算等混杂因素，使算法效果具有更加清晰的解释边界。</w:t>
      </w:r>
    </w:p>
    <w:p w14:paraId="70DBAEB0">
      <w:pPr>
        <w:pStyle w:val="3"/>
        <w:bidi w:val="0"/>
        <w:rPr>
          <w:rFonts w:hint="eastAsia"/>
          <w:lang w:val="en-US" w:eastAsia="zh-CN"/>
        </w:rPr>
      </w:pPr>
      <w:r>
        <w:rPr>
          <w:rFonts w:hint="eastAsia"/>
          <w:lang w:val="en-US" w:eastAsia="zh-CN"/>
        </w:rPr>
        <w:t>1.8 报告结构</w:t>
      </w:r>
    </w:p>
    <w:p w14:paraId="5417A29D">
      <w:pPr>
        <w:rPr>
          <w:rFonts w:hint="default"/>
          <w:lang w:val="en-US" w:eastAsia="zh-CN"/>
        </w:rPr>
      </w:pPr>
      <w:r>
        <w:rPr>
          <w:rFonts w:hint="default"/>
          <w:lang w:val="en-US" w:eastAsia="zh-CN"/>
        </w:rPr>
        <w:t>本报告其余部分安排如下。</w:t>
      </w:r>
    </w:p>
    <w:p w14:paraId="3CCA9B22">
      <w:pPr>
        <w:rPr>
          <w:rFonts w:hint="default"/>
          <w:lang w:val="en-US" w:eastAsia="zh-CN"/>
        </w:rPr>
      </w:pPr>
      <w:r>
        <w:rPr>
          <w:rFonts w:hint="default"/>
          <w:lang w:val="en-US" w:eastAsia="zh-CN"/>
        </w:rPr>
        <w:t>第二章介绍数据集、客户端划分、模型结构、FedAvg和FedProx实现、评价指标以及可复现性控制。第三章报告IID基线、不同Dirichlet异构程度下的FedAvg结果，以及FedProx的严格配对实验。第四章讨论FedAvg的鲁棒性边界、宏平均类别指标的意义、FedProx改善的合理解释和工程实现经验。第五章说明研究限制，并提出多随机种子、部分客户端参与、更多本地训练、SCAFFOLD、MOON、FedBN和通信压缩等后续方向。第六章总结主要发现和研究意义。</w:t>
      </w:r>
    </w:p>
    <w:p w14:paraId="4A6734DC">
      <w:pPr>
        <w:pStyle w:val="2"/>
        <w:bidi w:val="0"/>
        <w:rPr>
          <w:rFonts w:hint="eastAsia"/>
          <w:lang w:val="en-US" w:eastAsia="zh-CN"/>
        </w:rPr>
      </w:pPr>
      <w:r>
        <w:rPr>
          <w:rFonts w:hint="eastAsia"/>
          <w:lang w:val="en-US" w:eastAsia="zh-CN"/>
        </w:rPr>
        <w:t>2 研究方法</w:t>
      </w:r>
    </w:p>
    <w:p w14:paraId="779853F4">
      <w:pPr>
        <w:pStyle w:val="3"/>
        <w:bidi w:val="0"/>
        <w:rPr>
          <w:rFonts w:hint="eastAsia"/>
          <w:lang w:val="en-US" w:eastAsia="zh-CN"/>
        </w:rPr>
      </w:pPr>
      <w:r>
        <w:rPr>
          <w:rFonts w:hint="eastAsia"/>
          <w:lang w:val="en-US" w:eastAsia="zh-CN"/>
        </w:rPr>
        <w:t>2.1 研究总体设计</w:t>
      </w:r>
    </w:p>
    <w:p w14:paraId="3DE294E6">
      <w:pPr>
        <w:rPr>
          <w:rFonts w:hint="default"/>
          <w:lang w:val="en-US" w:eastAsia="zh-CN"/>
        </w:rPr>
      </w:pPr>
      <w:r>
        <w:rPr>
          <w:rFonts w:hint="default"/>
          <w:lang w:val="en-US" w:eastAsia="zh-CN"/>
        </w:rPr>
        <w:t>本研究围绕“客户端数据分布异构如何影响联邦交通标志识别，以及FedProx能否缓解强标签异构造成的性能退化”展开。实验采用逐步递进的设计。</w:t>
      </w:r>
    </w:p>
    <w:p w14:paraId="768C9579">
      <w:pPr>
        <w:rPr>
          <w:rFonts w:hint="default"/>
          <w:lang w:val="en-US" w:eastAsia="zh-CN"/>
        </w:rPr>
      </w:pPr>
      <w:r>
        <w:rPr>
          <w:rFonts w:hint="default"/>
          <w:lang w:val="en-US" w:eastAsia="zh-CN"/>
        </w:rPr>
        <w:t>第一阶段在近似独立同分布（IID）的条件下建立集中式训练、客户端独立训练和联邦平均三种基线，用于验证数据加载、本地训练、服务器聚合、模型评估和结果保存等完整流程。第二阶段保持模型结构和主要训练配置不变，仅改变客户端数据划分，使用Dirichlet分布构造不同程度的标签分布偏斜，以研究FedAvg对Non-IID数据的敏感性。第三阶段选取性能退化较明显的α=0.5和α=0.1数据划分，在严格匹配的实验条件下比较FedProx的μ=0和μ=0.1配置。</w:t>
      </w:r>
    </w:p>
    <w:p w14:paraId="177B2D4A">
      <w:pPr>
        <w:rPr>
          <w:rFonts w:hint="default"/>
          <w:lang w:val="en-US" w:eastAsia="zh-CN"/>
        </w:rPr>
      </w:pPr>
      <w:r>
        <w:rPr>
          <w:rFonts w:hint="default"/>
          <w:lang w:val="en-US" w:eastAsia="zh-CN"/>
        </w:rPr>
        <w:t>这一设计遵循控制变量原则：在分析数据异构影响时，仅改变客户端数据划分；在分析FedProx近端项影响时，使用相同的数据、模型初始化、优化器、学习率、客户端顺序、训练轮数和评估流程，仅改变近端强度μ。</w:t>
      </w:r>
    </w:p>
    <w:p w14:paraId="5C4A0F34">
      <w:pPr>
        <w:pStyle w:val="3"/>
        <w:bidi w:val="0"/>
        <w:rPr>
          <w:rFonts w:hint="eastAsia"/>
          <w:lang w:val="en-US" w:eastAsia="zh-CN"/>
        </w:rPr>
      </w:pPr>
      <w:r>
        <w:rPr>
          <w:rFonts w:hint="eastAsia"/>
          <w:lang w:val="en-US" w:eastAsia="zh-CN"/>
        </w:rPr>
        <w:t>2.2 数据集与图像预处理</w:t>
      </w:r>
    </w:p>
    <w:p w14:paraId="5ADBE748">
      <w:pPr>
        <w:rPr>
          <w:rFonts w:hint="default"/>
          <w:lang w:val="en-US" w:eastAsia="zh-CN"/>
        </w:rPr>
      </w:pPr>
      <w:r>
        <w:rPr>
          <w:rFonts w:hint="default"/>
          <w:lang w:val="en-US" w:eastAsia="zh-CN"/>
        </w:rPr>
        <w:t>实验使用German Traffic Sign Recognition Benchmark（GTSRB）数据集。该任务是一个包含43个类别的交通标志图像分类问题，而不是目标检测问题。官方数据包含39,209张训练图像和12,630张测试图像，标签范围为0至42。官方测试集在所有实验中保持不变，并且不参与客户端数据划分或超参数选择。</w:t>
      </w:r>
    </w:p>
    <w:p w14:paraId="61CDA280">
      <w:pPr>
        <w:rPr>
          <w:rFonts w:hint="default"/>
          <w:lang w:val="en-US" w:eastAsia="zh-CN"/>
        </w:rPr>
      </w:pPr>
      <w:r>
        <w:rPr>
          <w:rFonts w:hint="default"/>
          <w:lang w:val="en-US" w:eastAsia="zh-CN"/>
        </w:rPr>
        <w:t>在训练前，程序对数据进行完整性检查，包括验证CSV字段、标签范围、图像路径、重复样本、训练集与测试集交叉，以及不同客户端之间是否存在样本重复。所有训练样本必须且只能被分配给一个客户端，各客户端样本的并集应与完整官方训练集一致。</w:t>
      </w:r>
    </w:p>
    <w:p w14:paraId="4DD634AB">
      <w:pPr>
        <w:rPr>
          <w:rFonts w:hint="eastAsia"/>
          <w:lang w:val="en-US" w:eastAsia="zh-CN"/>
        </w:rPr>
      </w:pPr>
      <w:r>
        <w:rPr>
          <w:rFonts w:hint="eastAsia"/>
          <w:lang w:val="en-US" w:eastAsia="zh-CN"/>
        </w:rPr>
        <w:t>图像在训练过程中动态完成以下预处理：</w:t>
      </w:r>
    </w:p>
    <w:p w14:paraId="664177E7">
      <w:pPr>
        <w:numPr>
          <w:ilvl w:val="0"/>
          <w:numId w:val="2"/>
        </w:numPr>
        <w:rPr>
          <w:rFonts w:hint="eastAsia"/>
          <w:lang w:val="en-US" w:eastAsia="zh-CN"/>
        </w:rPr>
      </w:pPr>
      <w:r>
        <w:rPr>
          <w:rFonts w:hint="eastAsia"/>
          <w:lang w:val="en-US" w:eastAsia="zh-CN"/>
        </w:rPr>
        <w:t>根据CSV中路径读取图像；</w:t>
      </w:r>
    </w:p>
    <w:p w14:paraId="07EA30E6">
      <w:pPr>
        <w:numPr>
          <w:ilvl w:val="0"/>
          <w:numId w:val="2"/>
        </w:numPr>
        <w:rPr>
          <w:rFonts w:hint="default"/>
          <w:lang w:val="en-US" w:eastAsia="zh-CN"/>
        </w:rPr>
      </w:pPr>
      <w:r>
        <w:rPr>
          <w:rFonts w:hint="eastAsia"/>
          <w:lang w:val="en-US" w:eastAsia="zh-CN"/>
        </w:rPr>
        <w:t>解码为三通道RGB图像；</w:t>
      </w:r>
    </w:p>
    <w:p w14:paraId="15748E28">
      <w:pPr>
        <w:numPr>
          <w:ilvl w:val="0"/>
          <w:numId w:val="2"/>
        </w:numPr>
        <w:rPr>
          <w:rFonts w:hint="default"/>
          <w:lang w:val="en-US" w:eastAsia="zh-CN"/>
        </w:rPr>
      </w:pPr>
      <w:r>
        <w:rPr>
          <w:rFonts w:hint="eastAsia"/>
          <w:lang w:val="en-US" w:eastAsia="zh-CN"/>
        </w:rPr>
        <w:t>将图像尺寸同意调整为32×32；</w:t>
      </w:r>
    </w:p>
    <w:p w14:paraId="1E5822F2">
      <w:pPr>
        <w:numPr>
          <w:ilvl w:val="0"/>
          <w:numId w:val="2"/>
        </w:numPr>
        <w:rPr>
          <w:rFonts w:hint="default"/>
          <w:lang w:val="en-US" w:eastAsia="zh-CN"/>
        </w:rPr>
      </w:pPr>
      <w:r>
        <w:rPr>
          <w:rFonts w:hint="eastAsia"/>
          <w:lang w:val="en-US" w:eastAsia="zh-CN"/>
        </w:rPr>
        <w:t>转换为float32；</w:t>
      </w:r>
    </w:p>
    <w:p w14:paraId="43054AF0">
      <w:pPr>
        <w:numPr>
          <w:ilvl w:val="0"/>
          <w:numId w:val="2"/>
        </w:numPr>
        <w:rPr>
          <w:rFonts w:hint="default"/>
          <w:lang w:val="en-US" w:eastAsia="zh-CN"/>
        </w:rPr>
      </w:pPr>
      <w:r>
        <w:rPr>
          <w:rFonts w:hint="eastAsia"/>
          <w:lang w:val="en-US" w:eastAsia="zh-CN"/>
        </w:rPr>
        <w:t>将像素值归一化至[0,1]；</w:t>
      </w:r>
    </w:p>
    <w:p w14:paraId="1CC69328">
      <w:pPr>
        <w:numPr>
          <w:ilvl w:val="0"/>
          <w:numId w:val="2"/>
        </w:numPr>
        <w:rPr>
          <w:rFonts w:hint="default"/>
          <w:lang w:val="en-US" w:eastAsia="zh-CN"/>
        </w:rPr>
      </w:pPr>
      <w:r>
        <w:rPr>
          <w:rFonts w:hint="default"/>
          <w:lang w:val="en-US" w:eastAsia="zh-CN"/>
        </w:rPr>
        <w:t>根据训练或评价模式执行shuffle、batch和prefetch。</w:t>
      </w:r>
    </w:p>
    <w:p w14:paraId="3E0D5011">
      <w:pPr>
        <w:numPr>
          <w:numId w:val="0"/>
        </w:numPr>
        <w:rPr>
          <w:rFonts w:hint="default"/>
          <w:lang w:val="en-US" w:eastAsia="zh-CN"/>
        </w:rPr>
      </w:pPr>
      <w:r>
        <w:rPr>
          <w:rFonts w:hint="default"/>
          <w:lang w:val="en-US" w:eastAsia="zh-CN"/>
        </w:rPr>
        <w:t>本研究没有采用水平翻转数据增强，因为部分交通标志在左右翻转后可能改变原有语义。例如，左转和右转标志不能被视为同一类别。</w:t>
      </w:r>
    </w:p>
    <w:p w14:paraId="2CF68261">
      <w:pPr>
        <w:pStyle w:val="3"/>
        <w:bidi w:val="0"/>
        <w:rPr>
          <w:rFonts w:hint="eastAsia"/>
          <w:lang w:val="en-US" w:eastAsia="zh-CN"/>
        </w:rPr>
      </w:pPr>
      <w:r>
        <w:rPr>
          <w:rFonts w:hint="eastAsia"/>
          <w:lang w:val="en-US" w:eastAsia="zh-CN"/>
        </w:rPr>
        <w:t>2.3 客户端组织与IID数据划分</w:t>
      </w:r>
    </w:p>
    <w:p w14:paraId="19D540BD">
      <w:pPr>
        <w:rPr>
          <w:rFonts w:hint="default"/>
          <w:lang w:val="en-US" w:eastAsia="zh-CN"/>
        </w:rPr>
      </w:pPr>
      <w:r>
        <w:rPr>
          <w:rFonts w:hint="default"/>
          <w:lang w:val="en-US" w:eastAsia="zh-CN"/>
        </w:rPr>
        <w:t>实验模拟5个联邦客户端。在IID基线中，采用按类别分层的方式划分训练数据。对于每一个交通标志类别，首先固定随机种子并打乱该类别的全部样本，然后将其近似平均分配给5个客户端。通过对全部43个类别重复这一过程，使每个客户端都包含所有类别，并保持相近的类别比例和样本总量。</w:t>
      </w:r>
    </w:p>
    <w:p w14:paraId="798B5CFF">
      <w:pPr>
        <w:rPr>
          <w:rFonts w:ascii="宋体" w:hAnsi="宋体" w:eastAsia="宋体" w:cs="宋体"/>
          <w:sz w:val="24"/>
          <w:szCs w:val="24"/>
        </w:rPr>
      </w:pPr>
      <w:r>
        <w:rPr>
          <w:rFonts w:ascii="宋体" w:hAnsi="宋体" w:eastAsia="宋体" w:cs="宋体"/>
          <w:sz w:val="24"/>
          <w:szCs w:val="24"/>
        </w:rPr>
        <w:t>最终各客户端分别包含约7,841至7,842张图像，最大样本量差异仅为1。因此，该划分可以近似视为样本量和标签分布均较为平衡的联邦学习场景。所有数据划分均使用随机种子20260720，并保存为固定的客户端CSV文件，以保证后续实验可复现。</w:t>
      </w:r>
    </w:p>
    <w:p w14:paraId="52A7BDD1">
      <w:pPr>
        <w:pStyle w:val="3"/>
        <w:bidi w:val="0"/>
        <w:rPr>
          <w:rFonts w:hint="eastAsia"/>
          <w:lang w:val="en-US" w:eastAsia="zh-CN"/>
        </w:rPr>
      </w:pPr>
      <w:r>
        <w:rPr>
          <w:rFonts w:hint="eastAsia"/>
          <w:lang w:val="en-US" w:eastAsia="zh-CN"/>
        </w:rPr>
        <w:t>2.4 Dirichlet Non-IID数据划分</w:t>
      </w:r>
    </w:p>
    <w:p w14:paraId="2CCD596F">
      <w:pPr>
        <w:rPr>
          <w:rFonts w:hint="default"/>
          <w:lang w:val="en-US" w:eastAsia="zh-CN"/>
        </w:rPr>
      </w:pPr>
      <w:r>
        <w:rPr>
          <w:rFonts w:hint="default"/>
          <w:lang w:val="en-US" w:eastAsia="zh-CN"/>
        </w:rPr>
        <w:t>为模拟真实车联网中不同车辆或道路场景采集到不同类别交通标志的情况，本研究使用Dirichlet分布构造可控的标签分布偏斜。</w:t>
      </w:r>
    </w:p>
    <w:p w14:paraId="2B42AC38">
      <w:pPr>
        <w:rPr>
          <w:rFonts w:hint="default"/>
          <w:lang w:val="en-US" w:eastAsia="zh-CN"/>
        </w:rPr>
      </w:pPr>
      <w:r>
        <w:rPr>
          <w:rFonts w:hint="default"/>
          <w:lang w:val="en-US" w:eastAsia="zh-CN"/>
        </w:rPr>
        <w:t>对于类别k，其样本在5个客户端之间的分配比例由下式采样：</w:t>
      </w:r>
    </w:p>
    <w:p w14:paraId="5680C650">
      <w:pPr>
        <m:rPr/>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 xml:space="preserve">k </m:t>
              </m:r>
              <m:ctrlPr>
                <w:rPr>
                  <w:rFonts w:ascii="Cambria Math" w:hAnsi="Cambria Math"/>
                  <w:i/>
                  <w:lang w:val="en-US"/>
                </w:rPr>
              </m:ctrlPr>
            </m:sub>
          </m:sSub>
          <m:r>
            <m:rPr/>
            <w:rPr>
              <w:rFonts w:hint="default" w:ascii="Cambria Math" w:hAnsi="Cambria Math"/>
              <w:lang w:val="en-US" w:eastAsia="zh-CN"/>
            </w:rPr>
            <m:t xml:space="preserve"> </m:t>
          </m:r>
          <m:r>
            <m:rPr/>
            <w:rPr>
              <w:rFonts w:hint="default" w:ascii="Cambria Math" w:hAnsi="Cambria Math" w:cs="Cambria Math"/>
              <w:lang w:val="en-US" w:eastAsia="zh-CN"/>
            </w:rPr>
            <m:t>∼</m:t>
          </m:r>
          <m:r>
            <m:rPr/>
            <w:rPr>
              <w:rFonts w:hint="default" w:ascii="Cambria Math" w:hAnsi="Cambria Math"/>
              <w:lang w:val="en-US" w:eastAsia="zh-CN"/>
            </w:rPr>
            <m:t xml:space="preserve"> Dirichlet(</m:t>
          </m:r>
          <m:r>
            <m:rPr/>
            <w:rPr>
              <w:rFonts w:ascii="Cambria Math" w:hAnsi="Cambria Math"/>
              <w:lang w:val="en-US"/>
            </w:rPr>
            <m:t>α</m:t>
          </m:r>
          <m:r>
            <m:rPr/>
            <w:rPr>
              <w:rFonts w:hint="default" w:ascii="Cambria Math" w:hAnsi="Cambria Math"/>
              <w:lang w:val="en-US" w:eastAsia="zh-CN"/>
            </w:rPr>
            <m:t>,</m:t>
          </m:r>
          <m:r>
            <m:rPr/>
            <w:rPr>
              <w:rFonts w:ascii="Cambria Math" w:hAnsi="Cambria Math"/>
              <w:lang w:val="en-US"/>
            </w:rPr>
            <m:t>α</m:t>
          </m:r>
          <m:r>
            <m:rPr/>
            <w:rPr>
              <w:rFonts w:hint="default" w:ascii="Cambria Math" w:hAnsi="Cambria Math"/>
              <w:lang w:val="en-US" w:eastAsia="zh-CN"/>
            </w:rPr>
            <m:t>,</m:t>
          </m:r>
          <m:r>
            <m:rPr/>
            <w:rPr>
              <w:rFonts w:ascii="Cambria Math" w:hAnsi="Cambria Math"/>
              <w:lang w:val="en-US"/>
            </w:rPr>
            <m:t>α</m:t>
          </m:r>
          <m:r>
            <m:rPr/>
            <w:rPr>
              <w:rFonts w:hint="default" w:ascii="Cambria Math" w:hAnsi="Cambria Math"/>
              <w:lang w:val="en-US" w:eastAsia="zh-CN"/>
            </w:rPr>
            <m:t>,</m:t>
          </m:r>
          <m:r>
            <m:rPr/>
            <w:rPr>
              <w:rFonts w:ascii="Cambria Math" w:hAnsi="Cambria Math"/>
              <w:lang w:val="en-US"/>
            </w:rPr>
            <m:t>α</m:t>
          </m:r>
          <m:r>
            <m:rPr/>
            <w:rPr>
              <w:rFonts w:hint="default" w:ascii="Cambria Math" w:hAnsi="Cambria Math"/>
              <w:lang w:val="en-US" w:eastAsia="zh-CN"/>
            </w:rPr>
            <m:t>,</m:t>
          </m:r>
          <m:r>
            <m:rPr/>
            <w:rPr>
              <w:rFonts w:ascii="Cambria Math" w:hAnsi="Cambria Math"/>
              <w:lang w:val="en-US"/>
            </w:rPr>
            <m:t>α</m:t>
          </m:r>
          <m:r>
            <m:rPr/>
            <w:rPr>
              <w:rFonts w:hint="default" w:ascii="Cambria Math" w:hAnsi="Cambria Math"/>
              <w:lang w:val="en-US" w:eastAsia="zh-CN"/>
            </w:rPr>
            <m:t>)</m:t>
          </m:r>
        </m:oMath>
      </m:oMathPara>
    </w:p>
    <w:p w14:paraId="79B08434">
      <w:pPr>
        <m:rPr/>
        <w:rPr>
          <w:rFonts w:hint="default" w:hAnsi="Cambria Math"/>
          <w:i w:val="0"/>
          <w:lang w:val="en-US" w:eastAsia="zh-CN"/>
        </w:rPr>
      </w:pPr>
      <w:r>
        <m:rPr/>
        <w:rPr>
          <w:rFonts w:hint="default" w:hAnsi="Cambria Math"/>
          <w:i w:val="0"/>
          <w:lang w:val="en-US" w:eastAsia="zh-CN"/>
        </w:rPr>
        <w:t>其中，α控制数据分布的均匀程度。较大的α会产生更加平衡的客户端类别分布，而较小的α会使某些类别集中在少数客户端中。</w:t>
      </w:r>
    </w:p>
    <w:p w14:paraId="0C2AB6DB">
      <w:pPr>
        <m:rPr/>
        <w:rPr>
          <w:rFonts w:hint="eastAsia" w:hAnsi="Cambria Math"/>
          <w:i w:val="0"/>
          <w:lang w:val="en-US" w:eastAsia="zh-CN"/>
        </w:rPr>
      </w:pPr>
      <w:r>
        <m:rPr/>
        <w:rPr>
          <w:rFonts w:hint="eastAsia" w:hAnsi="Cambria Math"/>
          <w:i w:val="0"/>
          <w:lang w:val="en-US" w:eastAsia="zh-CN"/>
        </w:rPr>
        <w:t>本研究设置了四种异构强度：</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1DA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E38B464">
            <w:pPr>
              <m:rPr/>
              <w:rPr>
                <w:rFonts w:hint="default" w:hAnsi="Cambria Math"/>
                <w:i w:val="0"/>
                <w:vertAlign w:val="baseline"/>
                <w:lang w:val="en-US" w:eastAsia="zh-CN"/>
              </w:rPr>
            </w:pPr>
            <w:r>
              <m:rPr/>
              <w:rPr>
                <w:rFonts w:hint="eastAsia" w:hAnsi="Cambria Math"/>
                <w:i w:val="0"/>
                <w:vertAlign w:val="baseline"/>
                <w:lang w:val="en-US" w:eastAsia="zh-CN"/>
              </w:rPr>
              <w:t>Dirichlet参数</w:t>
            </w:r>
          </w:p>
        </w:tc>
        <w:tc>
          <w:tcPr>
            <w:tcW w:w="4261" w:type="dxa"/>
          </w:tcPr>
          <w:p w14:paraId="75DFC95E">
            <w:pPr>
              <m:rPr/>
              <w:rPr>
                <w:rFonts w:hint="default" w:hAnsi="Cambria Math"/>
                <w:i w:val="0"/>
                <w:vertAlign w:val="baseline"/>
                <w:lang w:val="en-US" w:eastAsia="zh-CN"/>
              </w:rPr>
            </w:pPr>
            <w:r>
              <m:rPr/>
              <w:rPr>
                <w:rFonts w:hint="eastAsia" w:hAnsi="Cambria Math"/>
                <w:i w:val="0"/>
                <w:vertAlign w:val="baseline"/>
                <w:lang w:val="en-US" w:eastAsia="zh-CN"/>
              </w:rPr>
              <w:t>数据分布含义</w:t>
            </w:r>
          </w:p>
        </w:tc>
      </w:tr>
      <w:tr w14:paraId="0DFE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2875335">
            <w:pPr>
              <m:rPr/>
              <w:rPr>
                <w:rFonts w:hint="default" w:hAnsi="Cambria Math"/>
                <w:i w:val="0"/>
                <w:vertAlign w:val="baseline"/>
                <w:lang w:val="en-US" w:eastAsia="zh-CN"/>
              </w:rPr>
            </w:pPr>
            <w:r>
              <m:rPr/>
              <w:rPr>
                <w:rFonts w:hint="default" w:ascii="Arial" w:hAnsi="Arial" w:cs="Arial"/>
                <w:i w:val="0"/>
                <w:vertAlign w:val="baseline"/>
                <w:lang w:val="en-US" w:eastAsia="zh-CN"/>
              </w:rPr>
              <w:t>α</w:t>
            </w:r>
            <w:r>
              <m:rPr/>
              <w:rPr>
                <w:rFonts w:hint="eastAsia" w:hAnsi="Cambria Math"/>
                <w:i w:val="0"/>
                <w:vertAlign w:val="baseline"/>
                <w:lang w:val="en-US" w:eastAsia="zh-CN"/>
              </w:rPr>
              <w:t>=10</w:t>
            </w:r>
          </w:p>
        </w:tc>
        <w:tc>
          <w:tcPr>
            <w:tcW w:w="4261" w:type="dxa"/>
          </w:tcPr>
          <w:p w14:paraId="78DDB028">
            <w:pPr>
              <m:rPr/>
              <w:rPr>
                <w:rFonts w:hint="default" w:hAnsi="Cambria Math"/>
                <w:i w:val="0"/>
                <w:vertAlign w:val="baseline"/>
                <w:lang w:val="en-US" w:eastAsia="zh-CN"/>
              </w:rPr>
            </w:pPr>
            <w:r>
              <m:rPr/>
              <w:rPr>
                <w:rFonts w:hint="eastAsia" w:hAnsi="Cambria Math"/>
                <w:i w:val="0"/>
                <w:vertAlign w:val="baseline"/>
                <w:lang w:val="en-US" w:eastAsia="zh-CN"/>
              </w:rPr>
              <w:t>轻度Non-IID，接近IID</w:t>
            </w:r>
          </w:p>
        </w:tc>
      </w:tr>
      <w:tr w14:paraId="4B83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A3495CE">
            <w:pPr>
              <m:rPr/>
              <w:rPr>
                <w:rFonts w:hint="default" w:hAnsi="Cambria Math"/>
                <w:i w:val="0"/>
                <w:vertAlign w:val="baseline"/>
                <w:lang w:val="en-US" w:eastAsia="zh-CN"/>
              </w:rPr>
            </w:pPr>
            <w:r>
              <w:rPr>
                <w:rFonts w:hint="default" w:ascii="Arial" w:hAnsi="Arial" w:cs="Arial"/>
                <w:i w:val="0"/>
                <w:vertAlign w:val="baseline"/>
                <w:lang w:val="en-US" w:eastAsia="zh-CN"/>
              </w:rPr>
              <w:t>α</w:t>
            </w:r>
            <w:r>
              <w:rPr>
                <w:rFonts w:hint="eastAsia" w:hAnsi="Cambria Math"/>
                <w:i w:val="0"/>
                <w:vertAlign w:val="baseline"/>
                <w:lang w:val="en-US" w:eastAsia="zh-CN"/>
              </w:rPr>
              <w:t>=1.0</w:t>
            </w:r>
          </w:p>
        </w:tc>
        <w:tc>
          <w:tcPr>
            <w:tcW w:w="4261" w:type="dxa"/>
          </w:tcPr>
          <w:p w14:paraId="6FDFD316">
            <w:pPr>
              <m:rPr/>
              <w:rPr>
                <w:rFonts w:hint="default" w:hAnsi="Cambria Math"/>
                <w:i w:val="0"/>
                <w:vertAlign w:val="baseline"/>
                <w:lang w:val="en-US" w:eastAsia="zh-CN"/>
              </w:rPr>
            </w:pPr>
            <w:r>
              <m:rPr/>
              <w:rPr>
                <w:rFonts w:hint="eastAsia" w:hAnsi="Cambria Math"/>
                <w:i w:val="0"/>
                <w:vertAlign w:val="baseline"/>
                <w:lang w:val="en-US" w:eastAsia="zh-CN"/>
              </w:rPr>
              <w:t>中等标签偏斜</w:t>
            </w:r>
          </w:p>
        </w:tc>
      </w:tr>
      <w:tr w14:paraId="08F2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084F556">
            <w:pPr>
              <m:rPr/>
              <w:rPr>
                <w:rFonts w:hint="default" w:hAnsi="Cambria Math"/>
                <w:i w:val="0"/>
                <w:vertAlign w:val="baseline"/>
                <w:lang w:val="en-US" w:eastAsia="zh-CN"/>
              </w:rPr>
            </w:pPr>
            <w:r>
              <w:rPr>
                <w:rFonts w:hint="default" w:ascii="Arial" w:hAnsi="Arial" w:cs="Arial"/>
                <w:i w:val="0"/>
                <w:vertAlign w:val="baseline"/>
                <w:lang w:val="en-US" w:eastAsia="zh-CN"/>
              </w:rPr>
              <w:t>α</w:t>
            </w:r>
            <w:r>
              <w:rPr>
                <w:rFonts w:hint="eastAsia" w:hAnsi="Cambria Math"/>
                <w:i w:val="0"/>
                <w:vertAlign w:val="baseline"/>
                <w:lang w:val="en-US" w:eastAsia="zh-CN"/>
              </w:rPr>
              <w:t>=0.5</w:t>
            </w:r>
          </w:p>
        </w:tc>
        <w:tc>
          <w:tcPr>
            <w:tcW w:w="4261" w:type="dxa"/>
          </w:tcPr>
          <w:p w14:paraId="7A85E402">
            <w:pPr>
              <m:rPr/>
              <w:rPr>
                <w:rFonts w:hint="default" w:hAnsi="Cambria Math"/>
                <w:i w:val="0"/>
                <w:vertAlign w:val="baseline"/>
                <w:lang w:val="en-US" w:eastAsia="zh-CN"/>
              </w:rPr>
            </w:pPr>
            <w:r>
              <m:rPr/>
              <w:rPr>
                <w:rFonts w:hint="eastAsia" w:hAnsi="Cambria Math"/>
                <w:i w:val="0"/>
                <w:vertAlign w:val="baseline"/>
                <w:lang w:val="en-US" w:eastAsia="zh-CN"/>
              </w:rPr>
              <w:t>较明显标签偏斜</w:t>
            </w:r>
          </w:p>
        </w:tc>
      </w:tr>
      <w:tr w14:paraId="06D7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E33AFEE">
            <w:pPr>
              <m:rPr/>
              <w:rPr>
                <w:rFonts w:hint="default" w:hAnsi="Cambria Math"/>
                <w:i w:val="0"/>
                <w:vertAlign w:val="baseline"/>
                <w:lang w:val="en-US" w:eastAsia="zh-CN"/>
              </w:rPr>
            </w:pPr>
            <w:r>
              <w:rPr>
                <w:rFonts w:hint="default" w:ascii="Arial" w:hAnsi="Arial" w:cs="Arial"/>
                <w:i w:val="0"/>
                <w:vertAlign w:val="baseline"/>
                <w:lang w:val="en-US" w:eastAsia="zh-CN"/>
              </w:rPr>
              <w:t>α</w:t>
            </w:r>
            <w:r>
              <w:rPr>
                <w:rFonts w:hint="eastAsia" w:hAnsi="Cambria Math"/>
                <w:i w:val="0"/>
                <w:vertAlign w:val="baseline"/>
                <w:lang w:val="en-US" w:eastAsia="zh-CN"/>
              </w:rPr>
              <w:t>=0.1</w:t>
            </w:r>
          </w:p>
        </w:tc>
        <w:tc>
          <w:tcPr>
            <w:tcW w:w="4261" w:type="dxa"/>
          </w:tcPr>
          <w:p w14:paraId="63136799">
            <w:pPr>
              <m:rPr/>
              <w:rPr>
                <w:rFonts w:hint="default" w:hAnsi="Cambria Math"/>
                <w:i w:val="0"/>
                <w:vertAlign w:val="baseline"/>
                <w:lang w:val="en-US" w:eastAsia="zh-CN"/>
              </w:rPr>
            </w:pPr>
            <w:r>
              <m:rPr/>
              <w:rPr>
                <w:rFonts w:hint="eastAsia" w:hAnsi="Cambria Math"/>
                <w:i w:val="0"/>
                <w:vertAlign w:val="baseline"/>
                <w:lang w:val="en-US" w:eastAsia="zh-CN"/>
              </w:rPr>
              <w:t>极端标签偏斜</w:t>
            </w:r>
          </w:p>
        </w:tc>
      </w:tr>
    </w:tbl>
    <w:p w14:paraId="75C2A4AA">
      <w:pPr>
        <m:rPr/>
        <w:rPr>
          <w:rFonts w:hint="default" w:hAnsi="Cambria Math"/>
          <w:i w:val="0"/>
          <w:lang w:val="en-US" w:eastAsia="zh-CN"/>
        </w:rPr>
      </w:pPr>
      <w:r>
        <m:rPr/>
        <w:rPr>
          <w:rFonts w:hint="default" w:hAnsi="Cambria Math"/>
          <w:i w:val="0"/>
          <w:lang w:val="en-US" w:eastAsia="zh-CN"/>
        </w:rPr>
        <w:t>在实现中，程序对每个类别单独采样客户端分配比例，并使用multinomial方法生成整数样本数，以确保每个类别的样本既不会遗漏，也不会被重复分配。数据划分还设置了最低客户端样本量和最低有效类别数约束，不满足条件时重新采样。</w:t>
      </w:r>
    </w:p>
    <w:p w14:paraId="6A44C6AA">
      <w:pPr>
        <m:rPr/>
        <w:rPr>
          <w:rFonts w:hint="default" w:hAnsi="Cambria Math"/>
          <w:i w:val="0"/>
          <w:lang w:val="en-US" w:eastAsia="zh-CN"/>
        </w:rPr>
      </w:pPr>
      <w:r>
        <m:rPr/>
        <w:rPr>
          <w:rFonts w:hint="default" w:hAnsi="Cambria Math"/>
          <w:i w:val="0"/>
          <w:lang w:val="en-US" w:eastAsia="zh-CN"/>
        </w:rPr>
        <w:t>所有Dirichlet划分均固定保存。FedAvg和FedProx直接读取完全相同的客户端CSV文件，而不是在每次实验中重新随机生成划分。这一点对于算法公平比较十分重要，因为即使使用相同的α，重新采样后得到的客户端类别分布也可能明显不同。</w:t>
      </w:r>
    </w:p>
    <w:p w14:paraId="79E7460D">
      <w:pPr>
        <m:rPr/>
        <w:rPr>
          <w:rFonts w:hint="default" w:hAnsi="Cambria Math"/>
          <w:i w:val="0"/>
          <w:lang w:val="en-US" w:eastAsia="zh-CN"/>
        </w:rPr>
      </w:pPr>
      <w:r>
        <m:rPr/>
        <w:rPr>
          <w:rFonts w:hint="default" w:hAnsi="Cambria Math"/>
          <w:i w:val="0"/>
          <w:lang w:val="en-US" w:eastAsia="zh-CN"/>
        </w:rPr>
        <w:t>为定量描述客户端数据异构程度，本研究计算每个客户端标签分布与全局标签分布之间的Jensen–Shannon divergence，并报告所有客户端的平均值。该指标越大，说明客户端分布与全局分布之间的差异越明显。</w:t>
      </w:r>
    </w:p>
    <w:p w14:paraId="1560B80D">
      <w:pPr>
        <w:pStyle w:val="3"/>
        <w:bidi w:val="0"/>
        <m:rPr/>
        <w:rPr>
          <w:rFonts w:hint="eastAsia"/>
          <w:lang w:val="en-US" w:eastAsia="zh-CN"/>
        </w:rPr>
      </w:pPr>
      <w:r>
        <m:rPr/>
        <w:rPr>
          <w:rFonts w:hint="eastAsia"/>
          <w:lang w:val="en-US" w:eastAsia="zh-CN"/>
        </w:rPr>
        <w:t>2.5 分类模型</w:t>
      </w:r>
    </w:p>
    <w:p w14:paraId="2F42CFEF">
      <w:pPr>
        <w:rPr>
          <w:rFonts w:hint="default" w:hAnsi="Cambria Math"/>
          <w:i w:val="0"/>
          <w:lang w:val="en-US" w:eastAsia="zh-CN"/>
        </w:rPr>
      </w:pPr>
      <w:r>
        <w:rPr>
          <w:rFonts w:hint="default" w:hAnsi="Cambria Math"/>
          <w:i w:val="0"/>
          <w:lang w:val="en-US" w:eastAsia="zh-CN"/>
        </w:rPr>
        <w:t>所有Stage 1A、Stage 1B和Stage 1C-A实验均使用相同的无Batch Normalization卷积神经网络，以保证不同方法具有相同的模型容量和参数规模。</w:t>
      </w:r>
    </w:p>
    <w:p w14:paraId="7EF96C4F">
      <w:pPr>
        <w:rPr>
          <w:rFonts w:hint="eastAsia" w:hAnsi="Cambria Math"/>
          <w:i w:val="0"/>
          <w:lang w:val="en-US" w:eastAsia="zh-CN"/>
        </w:rPr>
      </w:pPr>
      <w:r>
        <w:rPr>
          <w:rFonts w:hint="eastAsia" w:hAnsi="Cambria Math"/>
          <w:i w:val="0"/>
          <w:lang w:val="en-US" w:eastAsia="zh-CN"/>
        </w:rPr>
        <w:t>模型结构如下：</w:t>
      </w:r>
    </w:p>
    <w:p w14:paraId="5B14EC7D">
      <w:pPr>
        <m:rPr/>
        <w:rPr>
          <w:rFonts w:hint="default" w:hAnsi="Cambria Math"/>
          <w:i w:val="0"/>
          <w:lang w:val="en-US" w:eastAsia="zh-CN"/>
        </w:rPr>
      </w:pPr>
      <w:r>
        <m:rPr/>
        <w:rPr>
          <w:rFonts w:hint="default" w:hAnsi="Cambria Math"/>
          <w:i w:val="0"/>
          <w:lang w:val="en-US" w:eastAsia="zh-CN"/>
        </w:rPr>
        <w:t>32×32×3→Conv(32)→MaxPool→Conv(64)→MaxPool→Conv(128)→GlobalAveragePooling→Dropout(0.25)→Dense(43)</w:t>
      </w:r>
    </w:p>
    <w:p w14:paraId="37B02DA4">
      <w:pPr>
        <m:rPr/>
        <w:rPr>
          <w:rFonts w:hint="eastAsia" w:hAnsi="Cambria Math"/>
          <w:i w:val="0"/>
          <w:lang w:val="en-US" w:eastAsia="zh-CN"/>
        </w:rPr>
      </w:pPr>
      <w:r>
        <m:rPr/>
        <w:rPr>
          <w:rFonts w:hint="eastAsia" w:hAnsi="Cambria Math"/>
          <w:i w:val="0"/>
          <w:lang w:val="en-US" w:eastAsia="zh-CN"/>
        </w:rPr>
        <w:t>三个卷积层均使用3×3卷积核、same padding和ReLU激活函数。模型最后输出43个logits。训练损失为：</w:t>
      </w:r>
    </w:p>
    <w:p w14:paraId="3DE484AD">
      <w:pPr>
        <m:rPr/>
        <w:rPr>
          <w:rFonts w:hint="default" w:hAnsi="Cambria Math"/>
          <w:i w:val="0"/>
          <w:lang w:val="en-US" w:eastAsia="zh-CN"/>
        </w:rPr>
      </w:pPr>
      <m:oMathPara>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task</m:t>
              </m:r>
              <m:ctrlPr>
                <w:rPr>
                  <w:rFonts w:ascii="Cambria Math" w:hAnsi="Cambria Math"/>
                  <w:i/>
                  <w:lang w:val="en-US"/>
                </w:rPr>
              </m:ctrlPr>
            </m:sub>
          </m:sSub>
          <m:r>
            <m:rPr/>
            <w:rPr>
              <w:rFonts w:hint="default" w:ascii="Cambria Math" w:hAnsi="Cambria Math"/>
              <w:lang w:val="en-US" w:eastAsia="zh-CN"/>
            </w:rPr>
            <m:t>=SparseCategoricalCrossentropy(from_logits=True)</m:t>
          </m:r>
        </m:oMath>
      </m:oMathPara>
    </w:p>
    <w:p w14:paraId="726C509E">
      <w:pPr>
        <m:rPr/>
        <w:rPr>
          <w:rFonts w:hint="default" w:hAnsi="Cambria Math"/>
          <w:i w:val="0"/>
          <w:lang w:val="en-US" w:eastAsia="zh-CN"/>
        </w:rPr>
      </w:pPr>
      <w:r>
        <m:rPr/>
        <w:rPr>
          <w:rFonts w:hint="default" w:hAnsi="Cambria Math"/>
          <w:i w:val="0"/>
          <w:lang w:val="en-US" w:eastAsia="zh-CN"/>
        </w:rPr>
        <w:t>主要训练指标为Sparse Categorical Accuracy。</w:t>
      </w:r>
    </w:p>
    <w:p w14:paraId="2ECA7DA5">
      <w:pPr>
        <m:rPr/>
        <w:rPr>
          <w:rFonts w:hint="default" w:hAnsi="Cambria Math"/>
          <w:i w:val="0"/>
          <w:lang w:val="en-US" w:eastAsia="zh-CN"/>
        </w:rPr>
      </w:pPr>
      <w:r>
        <m:rPr/>
        <w:rPr>
          <w:rFonts w:hint="default" w:hAnsi="Cambria Math"/>
          <w:i w:val="0"/>
          <w:lang w:val="en-US" w:eastAsia="zh-CN"/>
        </w:rPr>
        <w:t>项目早期曾测试包含Batch Normalization的CNN。该模型在客户端本地训练中取得较高准确率，但全局验证和官方测试性能接近随机水平。诊断结果表明，问题与当前TFF流程中 BatchNorm的移动均值和方差等非训练状态未被正确维护有关。因此，为建立可靠且公平的算法基线，本研究统一使用不含BatchNorm的模型。</w:t>
      </w:r>
    </w:p>
    <w:p w14:paraId="2F24E88F">
      <w:pPr>
        <w:pStyle w:val="3"/>
        <w:bidi w:val="0"/>
        <m:rPr/>
        <w:rPr>
          <w:rFonts w:hint="eastAsia"/>
          <w:lang w:val="en-US" w:eastAsia="zh-CN"/>
        </w:rPr>
      </w:pPr>
      <w:r>
        <m:rPr/>
        <w:rPr>
          <w:rFonts w:hint="eastAsia"/>
          <w:lang w:val="en-US" w:eastAsia="zh-CN"/>
        </w:rPr>
        <w:t>2.6 Centralized、Local-only与FedAvg基线</w:t>
      </w:r>
    </w:p>
    <w:p w14:paraId="6A6341B3">
      <w:pPr>
        <w:pStyle w:val="4"/>
        <w:bidi w:val="0"/>
        <m:rPr/>
        <w:rPr>
          <w:rFonts w:hint="eastAsia"/>
          <w:lang w:val="en-US" w:eastAsia="zh-CN"/>
        </w:rPr>
      </w:pPr>
      <w:r>
        <m:rPr/>
        <w:rPr>
          <w:rFonts w:hint="eastAsia"/>
          <w:lang w:val="en-US" w:eastAsia="zh-CN"/>
        </w:rPr>
        <w:t>2.6.1 Centralized</w:t>
      </w:r>
    </w:p>
    <w:p w14:paraId="182C3A08">
      <w:pPr>
        <m:rPr/>
        <w:rPr>
          <w:rFonts w:hint="default"/>
          <w:lang w:val="en-US" w:eastAsia="zh-CN"/>
        </w:rPr>
      </w:pPr>
      <w:r>
        <m:rPr/>
        <w:rPr>
          <w:rFonts w:hint="default"/>
          <w:lang w:val="en-US" w:eastAsia="zh-CN"/>
        </w:rPr>
        <w:t>集中式训练将全部官方训练数据视为一个统一数据集，并按类别分层划分出10%作为验证集，剩余90%用于训练。模型使用Adam优化器，学习率为0.001，batch size为64，共训练30个epoch。</w:t>
      </w:r>
    </w:p>
    <w:p w14:paraId="1DB232A1">
      <w:pPr>
        <m:rPr/>
        <w:rPr>
          <w:rFonts w:hint="default"/>
          <w:lang w:val="en-US" w:eastAsia="zh-CN"/>
        </w:rPr>
      </w:pPr>
      <w:r>
        <m:rPr/>
        <w:rPr>
          <w:rFonts w:hint="default"/>
          <w:lang w:val="en-US" w:eastAsia="zh-CN"/>
        </w:rPr>
        <w:t>集中式模型用于提供参考性能，但不代表实际联邦环境，因为所有原始图像均被集中访问。</w:t>
      </w:r>
    </w:p>
    <w:p w14:paraId="1E35A20F">
      <w:pPr>
        <w:pStyle w:val="4"/>
        <w:bidi w:val="0"/>
        <m:rPr/>
        <w:rPr>
          <w:rFonts w:hint="eastAsia"/>
          <w:lang w:val="en-US" w:eastAsia="zh-CN"/>
        </w:rPr>
      </w:pPr>
      <w:r>
        <m:rPr/>
        <w:rPr>
          <w:rFonts w:hint="eastAsia"/>
          <w:lang w:val="en-US" w:eastAsia="zh-CN"/>
        </w:rPr>
        <w:t>2.6.2 Local-only</w:t>
      </w:r>
    </w:p>
    <w:p w14:paraId="381DB583">
      <w:pPr>
        <m:rPr/>
        <w:rPr>
          <w:rFonts w:hint="default"/>
          <w:lang w:val="en-US" w:eastAsia="zh-CN"/>
        </w:rPr>
      </w:pPr>
      <w:r>
        <m:rPr/>
        <w:rPr>
          <w:rFonts w:hint="default"/>
          <w:lang w:val="en-US" w:eastAsia="zh-CN"/>
        </w:rPr>
        <w:t>Local-only设置中，5个客户端分别独立训练自己的模型，客户端之间不交换参数或数据。为减少初始化差异的影响，5个客户端模型使用相同的模型结构和随机初始化。</w:t>
      </w:r>
    </w:p>
    <w:p w14:paraId="26003BB9">
      <w:pPr>
        <m:rPr/>
        <w:rPr>
          <w:rFonts w:hint="default"/>
          <w:lang w:val="en-US" w:eastAsia="zh-CN"/>
        </w:rPr>
      </w:pPr>
      <w:r>
        <m:rPr/>
        <w:rPr>
          <w:rFonts w:hint="default"/>
          <w:lang w:val="en-US" w:eastAsia="zh-CN"/>
        </w:rPr>
        <w:t>每个客户端内部将其数据按90%和10%划分为本地训练集和本地验证集。训练完成后，所有本地模型均在同一个官方测试集上评价。Local-only用于衡量客户端仅依赖本地数据时能够达到的性能。</w:t>
      </w:r>
    </w:p>
    <w:p w14:paraId="764B3AD3">
      <w:pPr>
        <w:pStyle w:val="4"/>
        <w:bidi w:val="0"/>
        <m:rPr/>
        <w:rPr>
          <w:rFonts w:hint="eastAsia"/>
          <w:lang w:val="en-US" w:eastAsia="zh-CN"/>
        </w:rPr>
      </w:pPr>
      <w:r>
        <m:rPr/>
        <w:rPr>
          <w:rFonts w:hint="eastAsia"/>
          <w:lang w:val="en-US" w:eastAsia="zh-CN"/>
        </w:rPr>
        <w:t>2.6.3 FedAvg</w:t>
      </w:r>
    </w:p>
    <w:p w14:paraId="25692E17">
      <w:pPr>
        <m:rPr/>
        <w:rPr>
          <w:rFonts w:hint="default"/>
          <w:lang w:val="en-US" w:eastAsia="zh-CN"/>
        </w:rPr>
      </w:pPr>
      <w:r>
        <m:rPr/>
        <w:rPr>
          <w:rFonts w:hint="default"/>
          <w:lang w:val="en-US" w:eastAsia="zh-CN"/>
        </w:rPr>
        <w:t>FedAvg使用TensorFlow Federated中的加权联邦平均流程。服务器首先初始化全局模型，并在每个通信轮次将模型下发给所有客户端。每个客户端使用自己的本地训练数据更新模型，然后将模型更新上传至服务器。服务器根据客户端实际训练样本数进行加权聚合：</w:t>
      </w:r>
    </w:p>
    <w:p w14:paraId="3635A667">
      <w:pPr>
        <m:rPr/>
        <w:rPr>
          <w:rFonts w:hint="default" w:hAnsi="Cambria Math"/>
          <w:i w:val="0"/>
          <w:lang w:val="en-US" w:eastAsia="zh-CN"/>
        </w:rPr>
      </w:pPr>
      <m:oMathPara>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t+1</m:t>
              </m:r>
              <m:ctrlPr>
                <w:rPr>
                  <w:rFonts w:ascii="Cambria Math" w:hAnsi="Cambria Math"/>
                  <w:i/>
                  <w:lang w:val="en-US"/>
                </w:rPr>
              </m:ctrlPr>
            </m:sup>
          </m:sSup>
          <m:r>
            <m:rPr/>
            <w:rPr>
              <w:rFonts w:hint="default" w:ascii="Cambria Math" w:hAnsi="Cambria Math"/>
              <w:lang w:val="en-US" w:eastAsia="zh-CN"/>
            </w:rPr>
            <m:t>=</m:t>
          </m:r>
          <m:nary>
            <m:naryPr>
              <m:chr m:val="∑"/>
              <m:limLoc m:val="undOvr"/>
              <m:ctrlPr>
                <m:rPr/>
                <w:rPr>
                  <w:rFonts w:hint="default" w:ascii="Cambria Math" w:hAnsi="Cambria Math"/>
                  <w:i/>
                  <w:lang w:val="en-US" w:eastAsia="zh-CN"/>
                </w:rPr>
              </m:ctrlPr>
            </m:naryPr>
            <m:sub>
              <m:r>
                <m:rPr/>
                <w:rPr>
                  <w:rFonts w:hint="default" w:ascii="Cambria Math" w:hAnsi="Cambria Math"/>
                  <w:lang w:val="en-US" w:eastAsia="zh-CN"/>
                </w:rPr>
                <m:t>k=1</m:t>
              </m:r>
              <m:ctrlPr>
                <m:rPr/>
                <w:rPr>
                  <w:rFonts w:hint="default" w:ascii="Cambria Math" w:hAnsi="Cambria Math"/>
                  <w:i/>
                  <w:lang w:val="en-US" w:eastAsia="zh-CN"/>
                </w:rPr>
              </m:ctrlPr>
            </m:sub>
            <m:sup>
              <m:r>
                <m:rPr/>
                <w:rPr>
                  <w:rFonts w:hint="default" w:ascii="Cambria Math" w:hAnsi="Cambria Math"/>
                  <w:lang w:val="en-US" w:eastAsia="zh-CN"/>
                </w:rPr>
                <m:t>k</m:t>
              </m:r>
              <m:ctrlPr>
                <m:rPr/>
                <w:rPr>
                  <w:rFonts w:hint="default" w:ascii="Cambria Math" w:hAnsi="Cambria Math"/>
                  <w:i/>
                  <w:lang w:val="en-US" w:eastAsia="zh-CN"/>
                </w:rPr>
              </m:ctrlPr>
            </m:sup>
            <m:e>
              <m:f>
                <m:fPr>
                  <m:ctrlPr>
                    <m:rPr/>
                    <w:rPr>
                      <w:rFonts w:hint="default" w:ascii="Cambria Math" w:hAnsi="Cambria Math"/>
                      <w:i/>
                      <w:lang w:val="en-US" w:eastAsia="zh-CN"/>
                    </w:rPr>
                  </m:ctrlPr>
                </m:fPr>
                <m:num>
                  <m:sSub>
                    <m:sSubPr>
                      <m:ctrlPr>
                        <m:rPr/>
                        <w:rPr>
                          <w:rFonts w:hint="default" w:ascii="Cambria Math" w:hAnsi="Cambria Math"/>
                          <w:i/>
                          <w:lang w:val="en-US" w:eastAsia="zh-CN"/>
                        </w:rPr>
                      </m:ctrlPr>
                    </m:sSubPr>
                    <m:e>
                      <m:r>
                        <m:rPr/>
                        <w:rPr>
                          <w:rFonts w:hint="default" w:ascii="Cambria Math" w:hAnsi="Cambria Math"/>
                          <w:lang w:val="en-US" w:eastAsia="zh-CN"/>
                        </w:rPr>
                        <m:t>n</m:t>
                      </m:r>
                      <m:ctrlPr>
                        <m:rPr/>
                        <w:rPr>
                          <w:rFonts w:hint="default" w:ascii="Cambria Math" w:hAnsi="Cambria Math"/>
                          <w:i/>
                          <w:lang w:val="en-US" w:eastAsia="zh-CN"/>
                        </w:rPr>
                      </m:ctrlPr>
                    </m:e>
                    <m:sub>
                      <m:r>
                        <m:rPr/>
                        <w:rPr>
                          <w:rFonts w:hint="default" w:ascii="Cambria Math" w:hAnsi="Cambria Math"/>
                          <w:lang w:val="en-US" w:eastAsia="zh-CN"/>
                        </w:rPr>
                        <m:t>k</m:t>
                      </m:r>
                      <m:ctrlPr>
                        <m:rPr/>
                        <w:rPr>
                          <w:rFonts w:hint="default" w:ascii="Cambria Math" w:hAnsi="Cambria Math"/>
                          <w:i/>
                          <w:lang w:val="en-US" w:eastAsia="zh-CN"/>
                        </w:rPr>
                      </m:ctrlPr>
                    </m:sub>
                  </m:sSub>
                  <m:ctrlPr>
                    <m:rPr/>
                    <w:rPr>
                      <w:rFonts w:hint="default" w:ascii="Cambria Math" w:hAnsi="Cambria Math"/>
                      <w:i/>
                      <w:lang w:val="en-US" w:eastAsia="zh-CN"/>
                    </w:rPr>
                  </m:ctrlPr>
                </m:num>
                <m:den>
                  <m:nary>
                    <m:naryPr>
                      <m:chr m:val="∑"/>
                      <m:limLoc m:val="subSup"/>
                      <m:supHide m:val="1"/>
                      <m:ctrlPr>
                        <m:rPr/>
                        <w:rPr>
                          <w:rFonts w:hint="default" w:ascii="Cambria Math" w:hAnsi="Cambria Math"/>
                          <w:i/>
                          <w:lang w:val="en-US" w:eastAsia="zh-CN"/>
                        </w:rPr>
                      </m:ctrlPr>
                    </m:naryPr>
                    <m:sub>
                      <m:r>
                        <m:rPr/>
                        <w:rPr>
                          <w:rFonts w:hint="default" w:ascii="Cambria Math" w:hAnsi="Cambria Math"/>
                          <w:lang w:val="en-US" w:eastAsia="zh-CN"/>
                        </w:rPr>
                        <m:t>j</m:t>
                      </m:r>
                      <m:ctrlPr>
                        <m:rPr/>
                        <w:rPr>
                          <w:rFonts w:hint="default" w:ascii="Cambria Math" w:hAnsi="Cambria Math"/>
                          <w:i/>
                          <w:lang w:val="en-US" w:eastAsia="zh-CN"/>
                        </w:rPr>
                      </m:ctrlPr>
                    </m:sub>
                    <m:sup>
                      <m:ctrlPr>
                        <m:rPr/>
                        <w:rPr>
                          <w:rFonts w:hint="default" w:ascii="Cambria Math" w:hAnsi="Cambria Math"/>
                          <w:i/>
                          <w:lang w:val="en-US" w:eastAsia="zh-CN"/>
                        </w:rPr>
                      </m:ctrlPr>
                    </m:sup>
                    <m:e>
                      <m:sSub>
                        <m:sSubPr>
                          <m:ctrlPr>
                            <m:rPr/>
                            <w:rPr>
                              <w:rFonts w:hint="default" w:ascii="Cambria Math" w:hAnsi="Cambria Math"/>
                              <w:i/>
                              <w:lang w:val="en-US" w:eastAsia="zh-CN"/>
                            </w:rPr>
                          </m:ctrlPr>
                        </m:sSubPr>
                        <m:e>
                          <m:r>
                            <m:rPr/>
                            <w:rPr>
                              <w:rFonts w:hint="default" w:ascii="Cambria Math" w:hAnsi="Cambria Math"/>
                              <w:lang w:val="en-US" w:eastAsia="zh-CN"/>
                            </w:rPr>
                            <m:t>n</m:t>
                          </m:r>
                          <m:ctrlPr>
                            <m:rPr/>
                            <w:rPr>
                              <w:rFonts w:hint="default" w:ascii="Cambria Math" w:hAnsi="Cambria Math"/>
                              <w:i/>
                              <w:lang w:val="en-US" w:eastAsia="zh-CN"/>
                            </w:rPr>
                          </m:ctrlPr>
                        </m:e>
                        <m:sub>
                          <m:r>
                            <m:rPr/>
                            <w:rPr>
                              <w:rFonts w:hint="default" w:ascii="Cambria Math" w:hAnsi="Cambria Math"/>
                              <w:lang w:val="en-US" w:eastAsia="zh-CN"/>
                            </w:rPr>
                            <m:t>j</m:t>
                          </m:r>
                          <m:ctrlPr>
                            <m:rPr/>
                            <w:rPr>
                              <w:rFonts w:hint="default" w:ascii="Cambria Math" w:hAnsi="Cambria Math"/>
                              <w:i/>
                              <w:lang w:val="en-US" w:eastAsia="zh-CN"/>
                            </w:rPr>
                          </m:ctrlPr>
                        </m:sub>
                      </m:sSub>
                      <m:ctrlPr>
                        <m:rPr/>
                        <w:rPr>
                          <w:rFonts w:hint="default" w:ascii="Cambria Math" w:hAnsi="Cambria Math"/>
                          <w:i/>
                          <w:lang w:val="en-US" w:eastAsia="zh-CN"/>
                        </w:rPr>
                      </m:ctrlPr>
                    </m:e>
                  </m:nary>
                  <m:ctrlPr>
                    <m:rPr/>
                    <w:rPr>
                      <w:rFonts w:hint="default" w:ascii="Cambria Math" w:hAnsi="Cambria Math"/>
                      <w:i/>
                      <w:lang w:val="en-US" w:eastAsia="zh-CN"/>
                    </w:rPr>
                  </m:ctrlPr>
                </m:den>
              </m:f>
              <m:ctrlPr>
                <m:rPr/>
                <w:rPr>
                  <w:rFonts w:hint="default" w:ascii="Cambria Math" w:hAnsi="Cambria Math"/>
                  <w:i/>
                  <w:lang w:val="en-US" w:eastAsia="zh-CN"/>
                </w:rPr>
              </m:ctrlPr>
            </m:e>
          </m:nary>
          <m:sSubSup>
            <m:sSubSupPr>
              <m:ctrlPr>
                <m:rPr/>
                <w:rPr>
                  <w:rFonts w:hint="default" w:ascii="Cambria Math" w:hAnsi="Cambria Math"/>
                  <w:i/>
                  <w:lang w:val="en-US" w:eastAsia="zh-CN"/>
                </w:rPr>
              </m:ctrlPr>
            </m:sSubSupPr>
            <m:e>
              <m:r>
                <m:rPr/>
                <w:rPr>
                  <w:rFonts w:hint="default" w:ascii="Cambria Math" w:hAnsi="Cambria Math"/>
                  <w:lang w:val="en-US" w:eastAsia="zh-CN"/>
                </w:rPr>
                <m:t>w</m:t>
              </m:r>
              <m:ctrlPr>
                <m:rPr/>
                <w:rPr>
                  <w:rFonts w:hint="default" w:ascii="Cambria Math" w:hAnsi="Cambria Math"/>
                  <w:i/>
                  <w:lang w:val="en-US" w:eastAsia="zh-CN"/>
                </w:rPr>
              </m:ctrlPr>
            </m:e>
            <m:sub>
              <m:r>
                <m:rPr/>
                <w:rPr>
                  <w:rFonts w:hint="default" w:ascii="Cambria Math" w:hAnsi="Cambria Math"/>
                  <w:lang w:val="en-US" w:eastAsia="zh-CN"/>
                </w:rPr>
                <m:t>k</m:t>
              </m:r>
              <m:ctrlPr>
                <m:rPr/>
                <w:rPr>
                  <w:rFonts w:hint="default" w:ascii="Cambria Math" w:hAnsi="Cambria Math"/>
                  <w:i/>
                  <w:lang w:val="en-US" w:eastAsia="zh-CN"/>
                </w:rPr>
              </m:ctrlPr>
            </m:sub>
            <m:sup>
              <m:r>
                <m:rPr/>
                <w:rPr>
                  <w:rFonts w:hint="default" w:ascii="Cambria Math" w:hAnsi="Cambria Math"/>
                  <w:lang w:val="en-US" w:eastAsia="zh-CN"/>
                </w:rPr>
                <m:t>t+1</m:t>
              </m:r>
              <m:ctrlPr>
                <m:rPr/>
                <w:rPr>
                  <w:rFonts w:hint="default" w:ascii="Cambria Math" w:hAnsi="Cambria Math"/>
                  <w:i/>
                  <w:lang w:val="en-US" w:eastAsia="zh-CN"/>
                </w:rPr>
              </m:ctrlPr>
            </m:sup>
          </m:sSubSup>
        </m:oMath>
      </m:oMathPara>
    </w:p>
    <w:p w14:paraId="4873F4E1">
      <w:pPr>
        <w:rPr>
          <w:rFonts w:hint="eastAsia" w:hAnsi="Cambria Math"/>
          <w:i w:val="0"/>
          <w:lang w:val="en-US" w:eastAsia="zh-CN"/>
        </w:rPr>
      </w:pPr>
      <w:r>
        <m:rPr/>
        <w:rPr>
          <w:rFonts w:hint="eastAsia" w:hAnsi="Cambria Math"/>
          <w:i w:val="0"/>
          <w:lang w:val="en-US" w:eastAsia="zh-CN"/>
        </w:rPr>
        <w:t>其中，</w:t>
      </w:r>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up>
            <m:r>
              <m:rPr/>
              <w:rPr>
                <w:rFonts w:hint="default" w:ascii="Cambria Math" w:hAnsi="Cambria Math"/>
                <w:lang w:val="en-US" w:eastAsia="zh-CN"/>
              </w:rPr>
              <m:t>t+1</m:t>
            </m:r>
            <m:ctrlPr>
              <w:rPr>
                <w:rFonts w:ascii="Cambria Math" w:hAnsi="Cambria Math"/>
                <w:i/>
                <w:lang w:val="en-US"/>
              </w:rPr>
            </m:ctrlPr>
          </m:sup>
        </m:sSubSup>
      </m:oMath>
      <w:r>
        <w:rPr>
          <w:rFonts w:hint="eastAsia" w:hAnsi="Cambria Math"/>
          <w:i w:val="0"/>
          <w:lang w:val="en-US" w:eastAsia="zh-CN"/>
        </w:rPr>
        <w:t>表示客户端k完成本地训练后的模型参数，</w:t>
      </w:r>
      <m:oMath>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oMath>
      <w:r>
        <w:rPr>
          <w:rFonts w:hint="eastAsia" w:hAnsi="Cambria Math"/>
          <w:i w:val="0"/>
          <w:lang w:val="en-US" w:eastAsia="zh-CN"/>
        </w:rPr>
        <w:t>表示该客户端的训练样本数。</w:t>
      </w:r>
    </w:p>
    <w:p w14:paraId="74A2D9D7">
      <w:pPr>
        <w:rPr>
          <w:rFonts w:hint="eastAsia" w:hAnsi="Cambria Math"/>
          <w:i w:val="0"/>
          <w:lang w:val="en-US" w:eastAsia="zh-CN"/>
        </w:rPr>
      </w:pPr>
      <w:r>
        <w:rPr>
          <w:rFonts w:hint="eastAsia" w:hAnsi="Cambria Math"/>
          <w:i w:val="0"/>
          <w:lang w:val="en-US" w:eastAsia="zh-CN"/>
        </w:rPr>
        <w:t>Stage 1A和Stage 1B的FedAvg配置为：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E88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1B77183">
            <w:pPr>
              <m:rPr/>
              <w:rPr>
                <w:rFonts w:hint="default" w:hAnsi="Cambria Math"/>
                <w:i w:val="0"/>
                <w:vertAlign w:val="baseline"/>
                <w:lang w:val="en-US" w:eastAsia="zh-CN"/>
              </w:rPr>
            </w:pPr>
            <w:r>
              <m:rPr/>
              <w:rPr>
                <w:rFonts w:hint="eastAsia" w:hAnsi="Cambria Math"/>
                <w:i w:val="0"/>
                <w:vertAlign w:val="baseline"/>
                <w:lang w:val="en-US" w:eastAsia="zh-CN"/>
              </w:rPr>
              <w:t>配置项</w:t>
            </w:r>
          </w:p>
        </w:tc>
        <w:tc>
          <w:tcPr>
            <w:tcW w:w="4261" w:type="dxa"/>
          </w:tcPr>
          <w:p w14:paraId="12CE26BA">
            <w:pPr>
              <m:rPr/>
              <w:rPr>
                <w:rFonts w:hint="default" w:hAnsi="Cambria Math"/>
                <w:i w:val="0"/>
                <w:vertAlign w:val="baseline"/>
                <w:lang w:val="en-US" w:eastAsia="zh-CN"/>
              </w:rPr>
            </w:pPr>
            <w:r>
              <m:rPr/>
              <w:rPr>
                <w:rFonts w:hint="eastAsia" w:hAnsi="Cambria Math"/>
                <w:i w:val="0"/>
                <w:vertAlign w:val="baseline"/>
                <w:lang w:val="en-US" w:eastAsia="zh-CN"/>
              </w:rPr>
              <w:t>设置</w:t>
            </w:r>
          </w:p>
        </w:tc>
      </w:tr>
      <w:tr w14:paraId="401C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19B73BE">
            <w:pPr>
              <m:rPr/>
              <w:rPr>
                <w:rFonts w:hint="default" w:hAnsi="Cambria Math"/>
                <w:i w:val="0"/>
                <w:vertAlign w:val="baseline"/>
                <w:lang w:val="en-US" w:eastAsia="zh-CN"/>
              </w:rPr>
            </w:pPr>
            <w:r>
              <m:rPr/>
              <w:rPr>
                <w:rFonts w:hint="eastAsia" w:hAnsi="Cambria Math"/>
                <w:i w:val="0"/>
                <w:vertAlign w:val="baseline"/>
                <w:lang w:val="en-US" w:eastAsia="zh-CN"/>
              </w:rPr>
              <w:t>客户端数量</w:t>
            </w:r>
          </w:p>
        </w:tc>
        <w:tc>
          <w:tcPr>
            <w:tcW w:w="4261" w:type="dxa"/>
          </w:tcPr>
          <w:p w14:paraId="51D74AA8">
            <w:pPr>
              <m:rPr/>
              <w:rPr>
                <w:rFonts w:hint="default" w:hAnsi="Cambria Math"/>
                <w:i w:val="0"/>
                <w:vertAlign w:val="baseline"/>
                <w:lang w:val="en-US" w:eastAsia="zh-CN"/>
              </w:rPr>
            </w:pPr>
            <w:r>
              <m:rPr/>
              <w:rPr>
                <w:rFonts w:hint="eastAsia" w:hAnsi="Cambria Math"/>
                <w:i w:val="0"/>
                <w:vertAlign w:val="baseline"/>
                <w:lang w:val="en-US" w:eastAsia="zh-CN"/>
              </w:rPr>
              <w:t>5</w:t>
            </w:r>
          </w:p>
        </w:tc>
      </w:tr>
      <w:tr w14:paraId="5FD1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3BA7021">
            <w:pPr>
              <m:rPr/>
              <w:rPr>
                <w:rFonts w:hint="default" w:hAnsi="Cambria Math"/>
                <w:i w:val="0"/>
                <w:vertAlign w:val="baseline"/>
                <w:lang w:val="en-US" w:eastAsia="zh-CN"/>
              </w:rPr>
            </w:pPr>
            <w:r>
              <m:rPr/>
              <w:rPr>
                <w:rFonts w:hint="eastAsia" w:hAnsi="Cambria Math"/>
                <w:i w:val="0"/>
                <w:vertAlign w:val="baseline"/>
                <w:lang w:val="en-US" w:eastAsia="zh-CN"/>
              </w:rPr>
              <w:t>每轮参与客户端</w:t>
            </w:r>
          </w:p>
        </w:tc>
        <w:tc>
          <w:tcPr>
            <w:tcW w:w="4261" w:type="dxa"/>
          </w:tcPr>
          <w:p w14:paraId="233BED53">
            <w:pPr>
              <m:rPr/>
              <w:rPr>
                <w:rFonts w:hint="default" w:hAnsi="Cambria Math"/>
                <w:i w:val="0"/>
                <w:vertAlign w:val="baseline"/>
                <w:lang w:val="en-US" w:eastAsia="zh-CN"/>
              </w:rPr>
            </w:pPr>
            <w:r>
              <m:rPr/>
              <w:rPr>
                <w:rFonts w:hint="eastAsia" w:hAnsi="Cambria Math"/>
                <w:i w:val="0"/>
                <w:vertAlign w:val="baseline"/>
                <w:lang w:val="en-US" w:eastAsia="zh-CN"/>
              </w:rPr>
              <w:t>5</w:t>
            </w:r>
          </w:p>
        </w:tc>
      </w:tr>
      <w:tr w14:paraId="425A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2CAF9065">
            <w:pPr>
              <m:rPr/>
              <w:rPr>
                <w:rFonts w:hint="default" w:hAnsi="Cambria Math"/>
                <w:i w:val="0"/>
                <w:vertAlign w:val="baseline"/>
                <w:lang w:val="en-US" w:eastAsia="zh-CN"/>
              </w:rPr>
            </w:pPr>
            <w:r>
              <m:rPr/>
              <w:rPr>
                <w:rFonts w:hint="eastAsia" w:hAnsi="Cambria Math"/>
                <w:i w:val="0"/>
                <w:vertAlign w:val="baseline"/>
                <w:lang w:val="en-US" w:eastAsia="zh-CN"/>
              </w:rPr>
              <w:t>客户端参与比例</w:t>
            </w:r>
          </w:p>
        </w:tc>
        <w:tc>
          <w:tcPr>
            <w:tcW w:w="4261" w:type="dxa"/>
          </w:tcPr>
          <w:p w14:paraId="41C2C4D7">
            <w:pPr>
              <m:rPr/>
              <w:rPr>
                <w:rFonts w:hint="default" w:hAnsi="Cambria Math"/>
                <w:i w:val="0"/>
                <w:vertAlign w:val="baseline"/>
                <w:lang w:val="en-US" w:eastAsia="zh-CN"/>
              </w:rPr>
            </w:pPr>
            <w:r>
              <m:rPr/>
              <w:rPr>
                <w:rFonts w:hint="eastAsia" w:hAnsi="Cambria Math"/>
                <w:i w:val="0"/>
                <w:vertAlign w:val="baseline"/>
                <w:lang w:val="en-US" w:eastAsia="zh-CN"/>
              </w:rPr>
              <w:t>100%</w:t>
            </w:r>
          </w:p>
        </w:tc>
      </w:tr>
      <w:tr w14:paraId="20F8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585B9538">
            <w:pPr>
              <m:rPr/>
              <w:rPr>
                <w:rFonts w:hint="default" w:hAnsi="Cambria Math"/>
                <w:i w:val="0"/>
                <w:vertAlign w:val="baseline"/>
                <w:lang w:val="en-US" w:eastAsia="zh-CN"/>
              </w:rPr>
            </w:pPr>
            <w:r>
              <m:rPr/>
              <w:rPr>
                <w:rFonts w:hint="eastAsia" w:hAnsi="Cambria Math"/>
                <w:i w:val="0"/>
                <w:vertAlign w:val="baseline"/>
                <w:lang w:val="en-US" w:eastAsia="zh-CN"/>
              </w:rPr>
              <w:t>本地epoch</w:t>
            </w:r>
          </w:p>
        </w:tc>
        <w:tc>
          <w:tcPr>
            <w:tcW w:w="4261" w:type="dxa"/>
          </w:tcPr>
          <w:p w14:paraId="6735590E">
            <w:pPr>
              <m:rPr/>
              <w:rPr>
                <w:rFonts w:hint="default" w:hAnsi="Cambria Math"/>
                <w:i w:val="0"/>
                <w:vertAlign w:val="baseline"/>
                <w:lang w:val="en-US" w:eastAsia="zh-CN"/>
              </w:rPr>
            </w:pPr>
            <w:r>
              <m:rPr/>
              <w:rPr>
                <w:rFonts w:hint="eastAsia" w:hAnsi="Cambria Math"/>
                <w:i w:val="0"/>
                <w:vertAlign w:val="baseline"/>
                <w:lang w:val="en-US" w:eastAsia="zh-CN"/>
              </w:rPr>
              <w:t>1</w:t>
            </w:r>
          </w:p>
        </w:tc>
      </w:tr>
      <w:tr w14:paraId="4B42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D51871A">
            <w:pPr>
              <m:rPr/>
              <w:rPr>
                <w:rFonts w:hint="default" w:hAnsi="Cambria Math"/>
                <w:i w:val="0"/>
                <w:vertAlign w:val="baseline"/>
                <w:lang w:val="en-US" w:eastAsia="zh-CN"/>
              </w:rPr>
            </w:pPr>
            <w:r>
              <m:rPr/>
              <w:rPr>
                <w:rFonts w:hint="eastAsia" w:hAnsi="Cambria Math"/>
                <w:i w:val="0"/>
                <w:vertAlign w:val="baseline"/>
                <w:lang w:val="en-US" w:eastAsia="zh-CN"/>
              </w:rPr>
              <w:t>Batch size</w:t>
            </w:r>
          </w:p>
        </w:tc>
        <w:tc>
          <w:tcPr>
            <w:tcW w:w="4261" w:type="dxa"/>
          </w:tcPr>
          <w:p w14:paraId="7C33AB05">
            <w:pPr>
              <m:rPr/>
              <w:rPr>
                <w:rFonts w:hint="default" w:hAnsi="Cambria Math"/>
                <w:i w:val="0"/>
                <w:vertAlign w:val="baseline"/>
                <w:lang w:val="en-US" w:eastAsia="zh-CN"/>
              </w:rPr>
            </w:pPr>
            <w:r>
              <m:rPr/>
              <w:rPr>
                <w:rFonts w:hint="eastAsia" w:hAnsi="Cambria Math"/>
                <w:i w:val="0"/>
                <w:vertAlign w:val="baseline"/>
                <w:lang w:val="en-US" w:eastAsia="zh-CN"/>
              </w:rPr>
              <w:t>64</w:t>
            </w:r>
          </w:p>
        </w:tc>
      </w:tr>
      <w:tr w14:paraId="1A2C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911B9F8">
            <w:pPr>
              <m:rPr/>
              <w:rPr>
                <w:rFonts w:hint="default" w:hAnsi="Cambria Math"/>
                <w:i w:val="0"/>
                <w:vertAlign w:val="baseline"/>
                <w:lang w:val="en-US" w:eastAsia="zh-CN"/>
              </w:rPr>
            </w:pPr>
            <w:r>
              <m:rPr/>
              <w:rPr>
                <w:rFonts w:hint="eastAsia" w:hAnsi="Cambria Math"/>
                <w:i w:val="0"/>
                <w:vertAlign w:val="baseline"/>
                <w:lang w:val="en-US" w:eastAsia="zh-CN"/>
              </w:rPr>
              <w:t>客户端优化器</w:t>
            </w:r>
          </w:p>
        </w:tc>
        <w:tc>
          <w:tcPr>
            <w:tcW w:w="4261" w:type="dxa"/>
          </w:tcPr>
          <w:p w14:paraId="6E647F2C">
            <w:pPr>
              <m:rPr/>
              <w:rPr>
                <w:rFonts w:hint="default" w:hAnsi="Cambria Math"/>
                <w:i w:val="0"/>
                <w:vertAlign w:val="baseline"/>
                <w:lang w:val="en-US" w:eastAsia="zh-CN"/>
              </w:rPr>
            </w:pPr>
            <w:r>
              <m:rPr/>
              <w:rPr>
                <w:rFonts w:hint="eastAsia" w:hAnsi="Cambria Math"/>
                <w:i w:val="0"/>
                <w:vertAlign w:val="baseline"/>
                <w:lang w:val="en-US" w:eastAsia="zh-CN"/>
              </w:rPr>
              <w:t>Adam</w:t>
            </w:r>
          </w:p>
        </w:tc>
      </w:tr>
      <w:tr w14:paraId="221F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B0C684E">
            <w:pPr>
              <m:rPr/>
              <w:rPr>
                <w:rFonts w:hint="default" w:hAnsi="Cambria Math"/>
                <w:i w:val="0"/>
                <w:vertAlign w:val="baseline"/>
                <w:lang w:val="en-US" w:eastAsia="zh-CN"/>
              </w:rPr>
            </w:pPr>
            <w:r>
              <m:rPr/>
              <w:rPr>
                <w:rFonts w:hint="eastAsia" w:hAnsi="Cambria Math"/>
                <w:i w:val="0"/>
                <w:vertAlign w:val="baseline"/>
                <w:lang w:val="en-US" w:eastAsia="zh-CN"/>
              </w:rPr>
              <w:t>客户端学习率</w:t>
            </w:r>
          </w:p>
        </w:tc>
        <w:tc>
          <w:tcPr>
            <w:tcW w:w="4261" w:type="dxa"/>
          </w:tcPr>
          <w:p w14:paraId="1DE2BD10">
            <w:pPr>
              <m:rPr/>
              <w:rPr>
                <w:rFonts w:hint="default" w:hAnsi="Cambria Math"/>
                <w:i w:val="0"/>
                <w:vertAlign w:val="baseline"/>
                <w:lang w:val="en-US" w:eastAsia="zh-CN"/>
              </w:rPr>
            </w:pPr>
            <w:r>
              <m:rPr/>
              <w:rPr>
                <w:rFonts w:hint="eastAsia" w:hAnsi="Cambria Math"/>
                <w:i w:val="0"/>
                <w:vertAlign w:val="baseline"/>
                <w:lang w:val="en-US" w:eastAsia="zh-CN"/>
              </w:rPr>
              <w:t>0.001</w:t>
            </w:r>
          </w:p>
        </w:tc>
      </w:tr>
      <w:tr w14:paraId="55A4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BAAEED7">
            <w:pPr>
              <m:rPr/>
              <w:rPr>
                <w:rFonts w:hint="default" w:hAnsi="Cambria Math"/>
                <w:i w:val="0"/>
                <w:vertAlign w:val="baseline"/>
                <w:lang w:val="en-US" w:eastAsia="zh-CN"/>
              </w:rPr>
            </w:pPr>
            <w:r>
              <m:rPr/>
              <w:rPr>
                <w:rFonts w:hint="eastAsia" w:hAnsi="Cambria Math"/>
                <w:i w:val="0"/>
                <w:vertAlign w:val="baseline"/>
                <w:lang w:val="en-US" w:eastAsia="zh-CN"/>
              </w:rPr>
              <w:t>服务器优化率</w:t>
            </w:r>
          </w:p>
        </w:tc>
        <w:tc>
          <w:tcPr>
            <w:tcW w:w="4261" w:type="dxa"/>
          </w:tcPr>
          <w:p w14:paraId="667897C1">
            <w:pPr>
              <m:rPr/>
              <w:rPr>
                <w:rFonts w:hint="default" w:hAnsi="Cambria Math"/>
                <w:i w:val="0"/>
                <w:vertAlign w:val="baseline"/>
                <w:lang w:val="en-US" w:eastAsia="zh-CN"/>
              </w:rPr>
            </w:pPr>
            <w:r>
              <m:rPr/>
              <w:rPr>
                <w:rFonts w:hint="eastAsia" w:hAnsi="Cambria Math"/>
                <w:i w:val="0"/>
                <w:vertAlign w:val="baseline"/>
                <w:lang w:val="en-US" w:eastAsia="zh-CN"/>
              </w:rPr>
              <w:t>无动量SGDM</w:t>
            </w:r>
          </w:p>
        </w:tc>
      </w:tr>
      <w:tr w14:paraId="5ECF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6AA5DAF">
            <w:pPr>
              <m:rPr/>
              <w:rPr>
                <w:rFonts w:hint="default" w:hAnsi="Cambria Math"/>
                <w:i w:val="0"/>
                <w:vertAlign w:val="baseline"/>
                <w:lang w:val="en-US" w:eastAsia="zh-CN"/>
              </w:rPr>
            </w:pPr>
            <w:r>
              <m:rPr/>
              <w:rPr>
                <w:rFonts w:hint="eastAsia" w:hAnsi="Cambria Math"/>
                <w:i w:val="0"/>
                <w:vertAlign w:val="baseline"/>
                <w:lang w:val="en-US" w:eastAsia="zh-CN"/>
              </w:rPr>
              <w:t>服务器学习率</w:t>
            </w:r>
          </w:p>
        </w:tc>
        <w:tc>
          <w:tcPr>
            <w:tcW w:w="4261" w:type="dxa"/>
          </w:tcPr>
          <w:p w14:paraId="41B3BB8F">
            <w:pPr>
              <m:rPr/>
              <w:rPr>
                <w:rFonts w:hint="default" w:hAnsi="Cambria Math"/>
                <w:i w:val="0"/>
                <w:vertAlign w:val="baseline"/>
                <w:lang w:val="en-US" w:eastAsia="zh-CN"/>
              </w:rPr>
            </w:pPr>
            <w:r>
              <m:rPr/>
              <w:rPr>
                <w:rFonts w:hint="eastAsia" w:hAnsi="Cambria Math"/>
                <w:i w:val="0"/>
                <w:vertAlign w:val="baseline"/>
                <w:lang w:val="en-US" w:eastAsia="zh-CN"/>
              </w:rPr>
              <w:t>1.0</w:t>
            </w:r>
          </w:p>
        </w:tc>
      </w:tr>
      <w:tr w14:paraId="0CD1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5B79F8E4">
            <w:pPr>
              <m:rPr/>
              <w:rPr>
                <w:rFonts w:hint="default" w:hAnsi="Cambria Math"/>
                <w:i w:val="0"/>
                <w:vertAlign w:val="baseline"/>
                <w:lang w:val="en-US" w:eastAsia="zh-CN"/>
              </w:rPr>
            </w:pPr>
            <w:r>
              <m:rPr/>
              <w:rPr>
                <w:rFonts w:hint="eastAsia" w:hAnsi="Cambria Math"/>
                <w:i w:val="0"/>
                <w:vertAlign w:val="baseline"/>
                <w:lang w:val="en-US" w:eastAsia="zh-CN"/>
              </w:rPr>
              <w:t>聚合权重</w:t>
            </w:r>
          </w:p>
        </w:tc>
        <w:tc>
          <w:tcPr>
            <w:tcW w:w="4261" w:type="dxa"/>
          </w:tcPr>
          <w:p w14:paraId="614AB9AC">
            <w:pPr>
              <m:rPr/>
              <w:rPr>
                <w:rFonts w:hint="default" w:hAnsi="Cambria Math"/>
                <w:i w:val="0"/>
                <w:vertAlign w:val="baseline"/>
                <w:lang w:val="en-US" w:eastAsia="zh-CN"/>
              </w:rPr>
            </w:pPr>
            <w:r>
              <m:rPr/>
              <w:rPr>
                <w:rFonts w:hint="eastAsia" w:hAnsi="Cambria Math"/>
                <w:i w:val="0"/>
                <w:vertAlign w:val="baseline"/>
                <w:lang w:val="en-US" w:eastAsia="zh-CN"/>
              </w:rPr>
              <w:t>客户端训练样本数</w:t>
            </w:r>
          </w:p>
        </w:tc>
      </w:tr>
      <w:tr w14:paraId="4A05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C201272">
            <w:pPr>
              <m:rPr/>
              <w:rPr>
                <w:rFonts w:hint="default" w:hAnsi="Cambria Math"/>
                <w:i w:val="0"/>
                <w:vertAlign w:val="baseline"/>
                <w:lang w:val="en-US" w:eastAsia="zh-CN"/>
              </w:rPr>
            </w:pPr>
            <w:r>
              <m:rPr/>
              <w:rPr>
                <w:rFonts w:hint="eastAsia" w:hAnsi="Cambria Math"/>
                <w:i w:val="0"/>
                <w:vertAlign w:val="baseline"/>
                <w:lang w:val="en-US" w:eastAsia="zh-CN"/>
              </w:rPr>
              <w:t>通信轮数</w:t>
            </w:r>
          </w:p>
        </w:tc>
        <w:tc>
          <w:tcPr>
            <w:tcW w:w="4261" w:type="dxa"/>
          </w:tcPr>
          <w:p w14:paraId="2C764E54">
            <w:pPr>
              <m:rPr/>
              <w:rPr>
                <w:rFonts w:hint="default" w:hAnsi="Cambria Math"/>
                <w:i w:val="0"/>
                <w:vertAlign w:val="baseline"/>
                <w:lang w:val="en-US" w:eastAsia="zh-CN"/>
              </w:rPr>
            </w:pPr>
            <w:r>
              <m:rPr/>
              <w:rPr>
                <w:rFonts w:hint="eastAsia" w:hAnsi="Cambria Math"/>
                <w:i w:val="0"/>
                <w:vertAlign w:val="baseline"/>
                <w:lang w:val="en-US" w:eastAsia="zh-CN"/>
              </w:rPr>
              <w:t>160</w:t>
            </w:r>
          </w:p>
        </w:tc>
      </w:tr>
    </w:tbl>
    <w:p w14:paraId="36465E7C">
      <w:pPr>
        <m:rPr/>
        <w:rPr>
          <w:rFonts w:hint="default" w:hAnsi="Cambria Math"/>
          <w:i w:val="0"/>
          <w:lang w:val="en-US" w:eastAsia="zh-CN"/>
        </w:rPr>
      </w:pPr>
      <w:r>
        <m:rPr/>
        <w:rPr>
          <w:rFonts w:hint="default" w:hAnsi="Cambria Math"/>
          <w:i w:val="0"/>
          <w:lang w:val="en-US" w:eastAsia="zh-CN"/>
        </w:rPr>
        <w:t>选择所有客户端每轮参与，有助于减少由随机客户端抽样引起的额外波动，使不同数据异构程度之间的比较更加直接。但这一设置也意味着客户端漂移压力可能低于现实中的部分参与场景。</w:t>
      </w:r>
    </w:p>
    <w:p w14:paraId="3F424475">
      <w:pPr>
        <w:pStyle w:val="3"/>
        <w:bidi w:val="0"/>
        <m:rPr/>
        <w:rPr>
          <w:rFonts w:hint="eastAsia"/>
          <w:lang w:val="en-US" w:eastAsia="zh-CN"/>
        </w:rPr>
      </w:pPr>
      <w:r>
        <m:rPr/>
        <w:rPr>
          <w:rFonts w:hint="eastAsia"/>
          <w:lang w:val="en-US" w:eastAsia="zh-CN"/>
        </w:rPr>
        <w:t>2.7 FedProx与严格配对实验</w:t>
      </w:r>
    </w:p>
    <w:p w14:paraId="3C0B6FF1">
      <w:pPr>
        <w:rPr>
          <w:rFonts w:hint="eastAsia" w:hAnsi="Cambria Math"/>
          <w:i w:val="0"/>
          <w:lang w:val="en-US" w:eastAsia="zh-CN"/>
        </w:rPr>
      </w:pPr>
      <w:r>
        <m:rPr/>
        <w:rPr>
          <w:rFonts w:hint="eastAsia"/>
          <w:lang w:val="en-US" w:eastAsia="zh-CN"/>
        </w:rPr>
        <w:t>FedProx保留FedAvg的服务器加权聚合过程，但在客户端本地目标函数中加入近端正则项。对于客户端k，在第t轮接收到全局模型</w:t>
      </w:r>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oMath>
      <w:r>
        <w:rPr>
          <w:rFonts w:hint="eastAsia" w:hAnsi="Cambria Math"/>
          <w:i w:val="0"/>
          <w:lang w:val="en-US" w:eastAsia="zh-CN"/>
        </w:rPr>
        <w:t>后，本地目标为：</w:t>
      </w:r>
    </w:p>
    <w:p w14:paraId="523A5302">
      <w:pPr>
        <m:rPr/>
        <w:rPr>
          <w:rFonts w:hint="default" w:hAnsi="Cambria Math"/>
          <w:i w:val="0"/>
          <w:lang w:val="en-US" w:eastAsia="zh-CN"/>
        </w:rPr>
      </w:pPr>
      <m:oMathPara>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(w)=</m:t>
          </m:r>
          <m:sSub>
            <m:sSubPr>
              <m:ctrlPr>
                <m:rPr/>
                <w:rPr>
                  <w:rFonts w:hint="default" w:ascii="Cambria Math" w:hAnsi="Cambria Math"/>
                  <w:i/>
                  <w:lang w:val="en-US" w:eastAsia="zh-CN"/>
                </w:rPr>
              </m:ctrlPr>
            </m:sSubPr>
            <m:e>
              <m:r>
                <m:rPr>
                  <m:scr m:val="script"/>
                </m:rPr>
                <w:rPr>
                  <w:rFonts w:ascii="Cambria Math" w:hAnsi="Cambria Math"/>
                  <w:lang w:val="en-US"/>
                </w:rPr>
                <m:t>ℒ</m:t>
              </m:r>
              <m:ctrlPr>
                <m:rPr/>
                <w:rPr>
                  <w:rFonts w:hint="default" w:ascii="Cambria Math" w:hAnsi="Cambria Math"/>
                  <w:i/>
                  <w:lang w:val="en-US" w:eastAsia="zh-CN"/>
                </w:rPr>
              </m:ctrlPr>
            </m:e>
            <m:sub>
              <m:r>
                <m:rPr/>
                <w:rPr>
                  <w:rFonts w:hint="default" w:ascii="Cambria Math" w:hAnsi="Cambria Math"/>
                  <w:lang w:val="en-US" w:eastAsia="zh-CN"/>
                </w:rPr>
                <m:t>task, k</m:t>
              </m:r>
              <m:ctrlPr>
                <m:rPr/>
                <w:rPr>
                  <w:rFonts w:hint="default" w:ascii="Cambria Math" w:hAnsi="Cambria Math"/>
                  <w:i/>
                  <w:lang w:val="en-US" w:eastAsia="zh-CN"/>
                </w:rPr>
              </m:ctrlPr>
            </m:sub>
          </m:sSub>
          <m:r>
            <m:rPr/>
            <w:rPr>
              <w:rFonts w:hint="default" w:ascii="Cambria Math" w:hAnsi="Cambria Math"/>
              <w:lang w:val="en-US" w:eastAsia="zh-CN"/>
            </w:rPr>
            <m:t>(w)+</m:t>
          </m:r>
          <m:f>
            <m:fPr>
              <m:ctrlPr>
                <m:rPr/>
                <w:rPr>
                  <w:rFonts w:hint="default" w:ascii="Cambria Math" w:hAnsi="Cambria Math"/>
                  <w:i/>
                  <w:lang w:val="en-US" w:eastAsia="zh-CN"/>
                </w:rPr>
              </m:ctrlPr>
            </m:fPr>
            <m:num>
              <m:r>
                <m:rPr/>
                <w:rPr>
                  <w:rFonts w:hint="default" w:ascii="Cambria Math" w:hAnsi="Cambria Math"/>
                  <w:lang w:val="en-US" w:eastAsia="zh-CN"/>
                </w:rPr>
                <m:t>u</m:t>
              </m:r>
              <m:ctrlPr>
                <m:rPr/>
                <w:rPr>
                  <w:rFonts w:hint="default" w:ascii="Cambria Math" w:hAnsi="Cambria Math"/>
                  <w:i/>
                  <w:lang w:val="en-US" w:eastAsia="zh-CN"/>
                </w:rPr>
              </m:ctrlPr>
            </m:num>
            <m:den>
              <m:r>
                <m:rPr/>
                <w:rPr>
                  <w:rFonts w:hint="default" w:ascii="Cambria Math" w:hAnsi="Cambria Math"/>
                  <w:lang w:val="en-US" w:eastAsia="zh-CN"/>
                </w:rPr>
                <m:t>2</m:t>
              </m:r>
              <m:ctrlPr>
                <m:rPr/>
                <w:rPr>
                  <w:rFonts w:hint="default" w:ascii="Cambria Math" w:hAnsi="Cambria Math"/>
                  <w:i/>
                  <w:lang w:val="en-US" w:eastAsia="zh-CN"/>
                </w:rPr>
              </m:ctrlPr>
            </m:den>
          </m:f>
          <m:r>
            <m:rPr/>
            <w:rPr>
              <w:rFonts w:hint="default" w:ascii="Cambria Math" w:hAnsi="Cambria Math"/>
              <w:lang w:val="en-US" w:eastAsia="zh-CN"/>
            </w:rPr>
            <m:t>||w−</m:t>
          </m:r>
          <m:sSup>
            <m:sSupPr>
              <m:ctrlPr>
                <m:rPr/>
                <w:rPr>
                  <w:rFonts w:hint="default" w:ascii="Cambria Math" w:hAnsi="Cambria Math"/>
                  <w:i/>
                  <w:lang w:val="en-US" w:eastAsia="zh-CN"/>
                </w:rPr>
              </m:ctrlPr>
            </m:sSupPr>
            <m:e>
              <m:r>
                <m:rPr/>
                <w:rPr>
                  <w:rFonts w:hint="default" w:ascii="Cambria Math" w:hAnsi="Cambria Math"/>
                  <w:lang w:val="en-US" w:eastAsia="zh-CN"/>
                </w:rPr>
                <m:t>w</m:t>
              </m:r>
              <m:ctrlPr>
                <m:rPr/>
                <w:rPr>
                  <w:rFonts w:hint="default" w:ascii="Cambria Math" w:hAnsi="Cambria Math"/>
                  <w:i/>
                  <w:lang w:val="en-US" w:eastAsia="zh-CN"/>
                </w:rPr>
              </m:ctrlPr>
            </m:e>
            <m:sup>
              <m:r>
                <m:rPr/>
                <w:rPr>
                  <w:rFonts w:hint="default" w:ascii="Cambria Math" w:hAnsi="Cambria Math"/>
                  <w:lang w:val="en-US" w:eastAsia="zh-CN"/>
                </w:rPr>
                <m:t>t</m:t>
              </m:r>
              <m:ctrlPr>
                <m:rPr/>
                <w:rPr>
                  <w:rFonts w:hint="default" w:ascii="Cambria Math" w:hAnsi="Cambria Math"/>
                  <w:i/>
                  <w:lang w:val="en-US" w:eastAsia="zh-CN"/>
                </w:rPr>
              </m:ctrlPr>
            </m:sup>
          </m:sSup>
          <m:r>
            <m:rPr/>
            <w:rPr>
              <w:rFonts w:hint="default" w:ascii="Cambria Math" w:hAnsi="Cambria Math"/>
              <w:lang w:val="en-US" w:eastAsia="zh-CN"/>
            </w:rPr>
            <m:t>|</m:t>
          </m:r>
          <m:sSubSup>
            <m:sSubSupPr>
              <m:ctrlPr>
                <m:rPr/>
                <w:rPr>
                  <w:rFonts w:hint="default" w:ascii="Cambria Math" w:hAnsi="Cambria Math"/>
                  <w:i/>
                  <w:lang w:val="en-US" w:eastAsia="zh-CN"/>
                </w:rPr>
              </m:ctrlPr>
            </m:sSubSupPr>
            <m:e>
              <m:r>
                <m:rPr/>
                <w:rPr>
                  <w:rFonts w:hint="default" w:ascii="Cambria Math" w:hAnsi="Cambria Math"/>
                  <w:lang w:val="en-US" w:eastAsia="zh-CN"/>
                </w:rPr>
                <m:t>|</m:t>
              </m:r>
              <m:ctrlPr>
                <m:rPr/>
                <w:rPr>
                  <w:rFonts w:hint="default" w:ascii="Cambria Math" w:hAnsi="Cambria Math"/>
                  <w:i/>
                  <w:lang w:val="en-US" w:eastAsia="zh-CN"/>
                </w:rPr>
              </m:ctrlPr>
            </m:e>
            <m:sub>
              <m:r>
                <m:rPr/>
                <w:rPr>
                  <w:rFonts w:hint="default" w:ascii="Cambria Math" w:hAnsi="Cambria Math"/>
                  <w:lang w:val="en-US" w:eastAsia="zh-CN"/>
                </w:rPr>
                <m:t>2</m:t>
              </m:r>
              <m:ctrlPr>
                <m:rPr/>
                <w:rPr>
                  <w:rFonts w:hint="default" w:ascii="Cambria Math" w:hAnsi="Cambria Math"/>
                  <w:i/>
                  <w:lang w:val="en-US" w:eastAsia="zh-CN"/>
                </w:rPr>
              </m:ctrlPr>
            </m:sub>
            <m:sup>
              <m:r>
                <m:rPr/>
                <w:rPr>
                  <w:rFonts w:hint="default" w:ascii="Cambria Math" w:hAnsi="Cambria Math"/>
                  <w:lang w:val="en-US" w:eastAsia="zh-CN"/>
                </w:rPr>
                <m:t>2</m:t>
              </m:r>
              <m:ctrlPr>
                <m:rPr/>
                <w:rPr>
                  <w:rFonts w:hint="default" w:ascii="Cambria Math" w:hAnsi="Cambria Math"/>
                  <w:i/>
                  <w:lang w:val="en-US" w:eastAsia="zh-CN"/>
                </w:rPr>
              </m:ctrlPr>
            </m:sup>
          </m:sSubSup>
        </m:oMath>
      </m:oMathPara>
    </w:p>
    <w:p w14:paraId="6F3EB618">
      <w:pPr>
        <m:rPr/>
        <w:rPr>
          <w:rFonts w:hint="eastAsia" w:hAnsi="Cambria Math"/>
          <w:i w:val="0"/>
          <w:lang w:val="en-US" w:eastAsia="zh-CN"/>
        </w:rPr>
      </w:pPr>
      <w:r>
        <m:rPr/>
        <w:rPr>
          <w:rFonts w:hint="eastAsia" w:hAnsi="Cambria Math"/>
          <w:i w:val="0"/>
          <w:lang w:val="en-US" w:eastAsia="zh-CN"/>
        </w:rPr>
        <w:t>其中：</w:t>
      </w:r>
    </w:p>
    <w:p w14:paraId="0FFAC2F1">
      <w:pPr>
        <w:numPr>
          <w:numId w:val="0"/>
        </w:numPr>
        <w:ind w:leftChars="0"/>
        <w:rPr>
          <w:rFonts w:hint="eastAsia" w:hAnsi="Cambria Math"/>
          <w:i w:val="0"/>
          <w:lang w:val="en-US" w:eastAsia="zh-CN"/>
        </w:rPr>
      </w:pPr>
      <w:r>
        <m:rPr/>
        <w:rPr>
          <w:rFonts w:hint="eastAsia" w:hAnsi="Cambria Math"/>
          <w:i w:val="0"/>
          <w:lang w:val="en-US" w:eastAsia="zh-CN"/>
        </w:rPr>
        <w:t>·</w:t>
      </w:r>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task, k</m:t>
            </m:r>
            <m:ctrlPr>
              <w:rPr>
                <w:rFonts w:ascii="Cambria Math" w:hAnsi="Cambria Math"/>
                <w:i/>
                <w:lang w:val="en-US"/>
              </w:rPr>
            </m:ctrlPr>
          </m:sub>
        </m:sSub>
      </m:oMath>
      <w:r>
        <w:rPr>
          <w:rFonts w:hint="eastAsia" w:hAnsi="Cambria Math"/>
          <w:i w:val="0"/>
          <w:lang w:val="en-US" w:eastAsia="zh-CN"/>
        </w:rPr>
        <w:t>是客户端本地分类损失；</w:t>
      </w:r>
    </w:p>
    <w:p w14:paraId="33F7A9E9">
      <w:pPr>
        <w:numPr>
          <w:numId w:val="0"/>
        </w:numPr>
        <w:ind w:leftChars="0"/>
        <w:rPr>
          <w:rFonts w:hint="eastAsia" w:hAnsi="Cambria Math"/>
          <w:i w:val="0"/>
          <w:lang w:val="en-US" w:eastAsia="zh-CN"/>
        </w:rPr>
      </w:pPr>
      <w:r>
        <w:rPr>
          <w:rFonts w:hint="eastAsia" w:hAnsi="Cambria Math"/>
          <w:i w:val="0"/>
          <w:lang w:val="en-US" w:eastAsia="zh-CN"/>
        </w:rPr>
        <w:t>·</w:t>
      </w:r>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oMath>
      <w:r>
        <w:rPr>
          <w:rFonts w:hint="eastAsia" w:hAnsi="Cambria Math"/>
          <w:i w:val="0"/>
          <w:lang w:val="en-US" w:eastAsia="zh-CN"/>
        </w:rPr>
        <w:t>是本轮开始时服务器下发的全局模型；</w:t>
      </w:r>
    </w:p>
    <w:p w14:paraId="56263C40">
      <w:pPr>
        <w:numPr>
          <w:numId w:val="0"/>
        </w:numPr>
        <w:ind w:leftChars="0"/>
        <w:rPr>
          <w:rFonts w:hint="eastAsia" w:hAnsi="Cambria Math"/>
          <w:i w:val="0"/>
          <w:lang w:val="en-US" w:eastAsia="zh-CN"/>
        </w:rPr>
      </w:pPr>
      <w:r>
        <w:rPr>
          <w:rFonts w:hint="eastAsia" w:hAnsi="Cambria Math"/>
          <w:i w:val="0"/>
          <w:lang w:val="en-US" w:eastAsia="zh-CN"/>
        </w:rPr>
        <w:t>·w是客户端当前的模型；</w:t>
      </w:r>
    </w:p>
    <w:p w14:paraId="457B5093">
      <w:pPr>
        <w:numPr>
          <w:numId w:val="0"/>
        </w:numPr>
        <w:ind w:leftChars="0"/>
        <w:rPr>
          <w:rFonts w:hint="eastAsia" w:hAnsi="Cambria Math"/>
          <w:i w:val="0"/>
          <w:lang w:val="en-US" w:eastAsia="zh-CN"/>
        </w:rPr>
      </w:pPr>
      <w:r>
        <w:rPr>
          <w:rFonts w:hint="eastAsia" w:hAnsi="Cambria Math"/>
          <w:i w:val="0"/>
          <w:lang w:val="en-US" w:eastAsia="zh-CN"/>
        </w:rPr>
        <w:t>·μ是近端约束强度。</w:t>
      </w:r>
    </w:p>
    <w:p w14:paraId="149A12AD">
      <w:pPr>
        <w:numPr>
          <w:numId w:val="0"/>
        </w:numPr>
        <w:ind w:leftChars="0"/>
        <m:rPr/>
        <w:rPr>
          <w:rFonts w:hint="default" w:hAnsi="Cambria Math"/>
          <w:i w:val="0"/>
          <w:lang w:val="en-US" w:eastAsia="zh-CN"/>
        </w:rPr>
      </w:pPr>
      <w:r>
        <m:rPr/>
        <w:rPr>
          <w:rFonts w:hint="default" w:hAnsi="Cambria Math"/>
          <w:i w:val="0"/>
          <w:lang w:val="en-US" w:eastAsia="zh-CN"/>
        </w:rPr>
        <w:t>当μ=0时，近端项消失。因此，在同一个FedProx训练器中，μ=0可以作为FedAvg等价控制组；当μ&gt;0时，客户端模型偏离本轮全局模型的程度会受到额外惩罚。</w:t>
      </w:r>
    </w:p>
    <w:p w14:paraId="4ED53E87">
      <w:pPr>
        <w:numPr>
          <w:numId w:val="0"/>
        </w:numPr>
        <w:ind w:leftChars="0"/>
        <m:rPr/>
        <w:rPr>
          <w:rFonts w:hint="default" w:hAnsi="Cambria Math"/>
          <w:i w:val="0"/>
          <w:lang w:val="en-US" w:eastAsia="zh-CN"/>
        </w:rPr>
      </w:pPr>
      <w:r>
        <m:rPr/>
        <w:rPr>
          <w:rFonts w:hint="default" w:hAnsi="Cambria Math"/>
          <w:i w:val="0"/>
          <w:lang w:val="en-US" w:eastAsia="zh-CN"/>
        </w:rPr>
        <w:t>Stage 1C的FedProx实验使用TensorFlow Federated提供的build_weighted_fed_prox实现。客户端优化器调整为无动量SGD，学习率为0.1；服务器仍使用学习率为1.0的无动量SGDM。正式实验共进行160个通信轮次，每轮5个客户端全部参与，每个客户端训练1个本地epoch，batch size为64。</w:t>
      </w:r>
    </w:p>
    <w:p w14:paraId="4222CE38">
      <w:pPr>
        <w:numPr>
          <w:numId w:val="0"/>
        </w:numPr>
        <w:ind w:leftChars="0"/>
        <m:rPr/>
        <w:rPr>
          <w:rFonts w:hint="default" w:hAnsi="Cambria Math"/>
          <w:i w:val="0"/>
          <w:lang w:val="en-US" w:eastAsia="zh-CN"/>
        </w:rPr>
      </w:pPr>
      <w:r>
        <m:rPr/>
        <w:rPr>
          <w:rFonts w:hint="default" w:hAnsi="Cambria Math"/>
          <w:i w:val="0"/>
          <w:lang w:val="en-US" w:eastAsia="zh-CN"/>
        </w:rPr>
        <w:t>为了使FedProx的结果具有清晰的因果解释，本研究没有直接将其与Stage 1B中使用Adam的历史FedAvg数值作为主要对照。正式比较采用完全相同的FedProx训练程序，只将μ从0改为0.1。因此两组实验保持以下条件一致：</w:t>
      </w:r>
    </w:p>
    <w:p w14:paraId="20CDB25C">
      <w:pPr>
        <w:numPr>
          <w:numId w:val="0"/>
        </w:numPr>
        <w:ind w:leftChars="0"/>
        <m:rPr/>
        <w:rPr>
          <w:rFonts w:hint="eastAsia" w:hAnsi="Cambria Math"/>
          <w:i w:val="0"/>
          <w:lang w:val="en-US" w:eastAsia="zh-CN"/>
        </w:rPr>
      </w:pPr>
      <w:r>
        <m:rPr/>
        <w:rPr>
          <w:rFonts w:hint="eastAsia" w:hAnsi="Cambria Math"/>
          <w:i w:val="0"/>
          <w:lang w:val="en-US" w:eastAsia="zh-CN"/>
        </w:rPr>
        <w:t>·相同的客户端数据划分；</w:t>
      </w:r>
    </w:p>
    <w:p w14:paraId="6D53B39D">
      <w:pPr>
        <w:numPr>
          <w:numId w:val="0"/>
        </w:numPr>
        <w:ind w:leftChars="0"/>
        <m:rPr/>
        <w:rPr>
          <w:rFonts w:hint="eastAsia" w:hAnsi="Cambria Math"/>
          <w:i w:val="0"/>
          <w:lang w:val="en-US" w:eastAsia="zh-CN"/>
        </w:rPr>
      </w:pPr>
      <w:r>
        <m:rPr/>
        <w:rPr>
          <w:rFonts w:hint="eastAsia" w:hAnsi="Cambria Math"/>
          <w:i w:val="0"/>
          <w:lang w:val="en-US" w:eastAsia="zh-CN"/>
        </w:rPr>
        <w:t>·相同的初始模型参数；</w:t>
      </w:r>
    </w:p>
    <w:p w14:paraId="63BD5E69">
      <w:pPr>
        <w:numPr>
          <w:numId w:val="0"/>
        </w:numPr>
        <w:ind w:leftChars="0"/>
        <m:rPr/>
        <w:rPr>
          <w:rFonts w:hint="eastAsia" w:hAnsi="Cambria Math"/>
          <w:i w:val="0"/>
          <w:lang w:val="en-US" w:eastAsia="zh-CN"/>
        </w:rPr>
      </w:pPr>
      <w:r>
        <m:rPr/>
        <w:rPr>
          <w:rFonts w:hint="eastAsia" w:hAnsi="Cambria Math"/>
          <w:i w:val="0"/>
          <w:lang w:val="en-US" w:eastAsia="zh-CN"/>
        </w:rPr>
        <w:t>·相同的SGD优化器和学习率；</w:t>
      </w:r>
    </w:p>
    <w:p w14:paraId="0D540073">
      <w:pPr>
        <w:numPr>
          <w:numId w:val="0"/>
        </w:numPr>
        <w:ind w:leftChars="0"/>
        <m:rPr/>
        <w:rPr>
          <w:rFonts w:hint="eastAsia" w:hAnsi="Cambria Math"/>
          <w:i w:val="0"/>
          <w:lang w:val="en-US" w:eastAsia="zh-CN"/>
        </w:rPr>
      </w:pPr>
      <w:r>
        <m:rPr/>
        <w:rPr>
          <w:rFonts w:hint="eastAsia" w:hAnsi="Cambria Math"/>
          <w:i w:val="0"/>
          <w:lang w:val="en-US" w:eastAsia="zh-CN"/>
        </w:rPr>
        <w:t>·相同的服务器更新方式；</w:t>
      </w:r>
    </w:p>
    <w:p w14:paraId="34F79C07">
      <w:pPr>
        <w:numPr>
          <w:numId w:val="0"/>
        </w:numPr>
        <w:ind w:leftChars="0"/>
        <m:rPr/>
        <w:rPr>
          <w:rFonts w:hint="eastAsia" w:hAnsi="Cambria Math"/>
          <w:i w:val="0"/>
          <w:lang w:val="en-US" w:eastAsia="zh-CN"/>
        </w:rPr>
      </w:pPr>
      <w:r>
        <m:rPr/>
        <w:rPr>
          <w:rFonts w:hint="eastAsia" w:hAnsi="Cambria Math"/>
          <w:i w:val="0"/>
          <w:lang w:val="en-US" w:eastAsia="zh-CN"/>
        </w:rPr>
        <w:t>·相同的通信轮数；</w:t>
      </w:r>
    </w:p>
    <w:p w14:paraId="513EFB83">
      <w:pPr>
        <w:numPr>
          <w:numId w:val="0"/>
        </w:numPr>
        <w:ind w:leftChars="0"/>
        <m:rPr/>
        <w:rPr>
          <w:rFonts w:hint="eastAsia" w:hAnsi="Cambria Math"/>
          <w:i w:val="0"/>
          <w:lang w:val="en-US" w:eastAsia="zh-CN"/>
        </w:rPr>
      </w:pPr>
      <w:r>
        <m:rPr/>
        <w:rPr>
          <w:rFonts w:hint="eastAsia" w:hAnsi="Cambria Math"/>
          <w:i w:val="0"/>
          <w:lang w:val="en-US" w:eastAsia="zh-CN"/>
        </w:rPr>
        <w:t>·相同的验证机和测试流程；</w:t>
      </w:r>
    </w:p>
    <w:p w14:paraId="3DD2303B">
      <w:pPr>
        <w:numPr>
          <w:numId w:val="0"/>
        </w:numPr>
        <w:ind w:leftChars="0"/>
        <m:rPr/>
        <w:rPr>
          <w:rFonts w:hint="eastAsia" w:hAnsi="Cambria Math"/>
          <w:i w:val="0"/>
          <w:lang w:val="en-US" w:eastAsia="zh-CN"/>
        </w:rPr>
      </w:pPr>
      <w:r>
        <m:rPr/>
        <w:rPr>
          <w:rFonts w:hint="eastAsia" w:hAnsi="Cambria Math"/>
          <w:i w:val="0"/>
          <w:lang w:val="en-US" w:eastAsia="zh-CN"/>
        </w:rPr>
        <w:t>·相同的随机种子。</w:t>
      </w:r>
    </w:p>
    <w:p w14:paraId="384DB778">
      <w:pPr>
        <w:numPr>
          <w:numId w:val="0"/>
        </w:numPr>
        <w:ind w:leftChars="0"/>
        <m:rPr/>
        <w:rPr>
          <w:rFonts w:hint="default" w:hAnsi="Cambria Math"/>
          <w:i w:val="0"/>
          <w:lang w:val="en-US" w:eastAsia="zh-CN"/>
        </w:rPr>
      </w:pPr>
      <w:r>
        <m:rPr/>
        <w:rPr>
          <w:rFonts w:hint="default" w:hAnsi="Cambria Math"/>
          <w:i w:val="0"/>
          <w:lang w:val="en-US" w:eastAsia="zh-CN"/>
        </w:rPr>
        <w:t>正式配对实验在α=0.5和α=0.1两个数据划分上进行。前者代表明显标签偏斜，后者代表极端标签偏斜。</w:t>
      </w:r>
    </w:p>
    <w:p w14:paraId="0B369C2B">
      <w:pPr>
        <w:numPr>
          <w:numId w:val="0"/>
        </w:numPr>
        <w:ind w:leftChars="0"/>
        <m:rPr/>
        <w:rPr>
          <w:rFonts w:hint="default" w:hAnsi="Cambria Math"/>
          <w:i w:val="0"/>
          <w:lang w:val="en-US" w:eastAsia="zh-CN"/>
        </w:rPr>
      </w:pPr>
      <w:r>
        <m:rPr/>
        <w:rPr>
          <w:rFonts w:hint="default" w:hAnsi="Cambria Math"/>
          <w:i w:val="0"/>
          <w:lang w:val="en-US" w:eastAsia="zh-CN"/>
        </w:rPr>
        <w:t>超参数筛选仅使用合并后的全局验证集。官方测试集在参数冻结后才用于最终评价，以避免使用测试结果反复选择学习率或近端强度。</w:t>
      </w:r>
    </w:p>
    <w:p w14:paraId="7FCD0A43">
      <w:pPr>
        <w:pStyle w:val="3"/>
        <w:bidi w:val="0"/>
        <m:rPr/>
        <w:rPr>
          <w:rFonts w:hint="eastAsia"/>
          <w:lang w:val="en-US" w:eastAsia="zh-CN"/>
        </w:rPr>
      </w:pPr>
      <w:r>
        <m:rPr/>
        <w:rPr>
          <w:rFonts w:hint="eastAsia"/>
          <w:lang w:val="en-US" w:eastAsia="zh-CN"/>
        </w:rPr>
        <w:t>2.8 验证集、测试集与模型选择</w:t>
      </w:r>
    </w:p>
    <w:p w14:paraId="3412AAC7">
      <w:pPr>
        <m:rPr/>
        <w:rPr>
          <w:rFonts w:hint="default"/>
          <w:lang w:val="en-US" w:eastAsia="zh-CN"/>
        </w:rPr>
      </w:pPr>
      <w:r>
        <m:rPr/>
        <w:rPr>
          <w:rFonts w:hint="default"/>
          <w:lang w:val="en-US" w:eastAsia="zh-CN"/>
        </w:rPr>
        <w:t>每个客户端的数据在本地按90%和10%划分为训练集和验证集。5个客户端的本地验证数据被合并为全局验证集，用于每轮评估和最佳模型选择。</w:t>
      </w:r>
    </w:p>
    <w:p w14:paraId="46B72483">
      <w:pPr>
        <m:rPr/>
        <w:rPr>
          <w:rFonts w:hint="eastAsia"/>
          <w:lang w:val="en-US" w:eastAsia="zh-CN"/>
        </w:rPr>
      </w:pPr>
      <w:r>
        <m:rPr/>
        <w:rPr>
          <w:rFonts w:hint="eastAsia"/>
          <w:lang w:val="en-US" w:eastAsia="zh-CN"/>
        </w:rPr>
        <w:t>每次正式训练同时保存：</w:t>
      </w:r>
    </w:p>
    <w:p w14:paraId="054EEF79">
      <w:pPr>
        <m:rPr/>
        <w:rPr>
          <w:rFonts w:hint="eastAsia"/>
          <w:lang w:val="en-US" w:eastAsia="zh-CN"/>
        </w:rPr>
      </w:pPr>
      <w:r>
        <m:rPr/>
        <w:rPr>
          <w:rFonts w:hint="eastAsia"/>
          <w:lang w:val="en-US" w:eastAsia="zh-CN"/>
        </w:rPr>
        <w:t>·最后完成轮次的模型；</w:t>
      </w:r>
    </w:p>
    <w:p w14:paraId="284D80ED">
      <w:pPr>
        <m:rPr/>
        <w:rPr>
          <w:rFonts w:hint="eastAsia"/>
          <w:lang w:val="en-US" w:eastAsia="zh-CN"/>
        </w:rPr>
      </w:pPr>
      <w:r>
        <m:rPr/>
        <w:rPr>
          <w:rFonts w:hint="eastAsia"/>
          <w:lang w:val="en-US" w:eastAsia="zh-CN"/>
        </w:rPr>
        <w:t>·全局验证准确率最高轮次的最佳模型；</w:t>
      </w:r>
    </w:p>
    <w:p w14:paraId="32058603">
      <w:pPr>
        <m:rPr/>
        <w:rPr>
          <w:rFonts w:hint="eastAsia"/>
          <w:lang w:val="en-US" w:eastAsia="zh-CN"/>
        </w:rPr>
      </w:pPr>
      <w:r>
        <m:rPr/>
        <w:rPr>
          <w:rFonts w:hint="eastAsia"/>
          <w:lang w:val="en-US" w:eastAsia="zh-CN"/>
        </w:rPr>
        <w:t>·每轮训练和验证指标；</w:t>
      </w:r>
    </w:p>
    <w:p w14:paraId="42DD44E0">
      <w:pPr>
        <m:rPr/>
        <w:rPr>
          <w:rFonts w:hint="eastAsia"/>
          <w:lang w:val="en-US" w:eastAsia="zh-CN"/>
        </w:rPr>
      </w:pPr>
      <w:r>
        <m:rPr/>
        <w:rPr>
          <w:rFonts w:hint="eastAsia"/>
          <w:lang w:val="en-US" w:eastAsia="zh-CN"/>
        </w:rPr>
        <w:t>·训练配置；</w:t>
      </w:r>
    </w:p>
    <w:p w14:paraId="5370E949">
      <w:pPr>
        <m:rPr/>
        <w:rPr>
          <w:rFonts w:hint="eastAsia"/>
          <w:lang w:val="en-US" w:eastAsia="zh-CN"/>
        </w:rPr>
      </w:pPr>
      <w:r>
        <m:rPr/>
        <w:rPr>
          <w:rFonts w:hint="eastAsia"/>
          <w:lang w:val="en-US" w:eastAsia="zh-CN"/>
        </w:rPr>
        <w:t>·checkpoint和恢复状态。</w:t>
      </w:r>
    </w:p>
    <w:p w14:paraId="3F8838B2">
      <w:pPr>
        <m:rPr/>
        <w:rPr>
          <w:rFonts w:hint="default"/>
          <w:lang w:val="en-US" w:eastAsia="zh-CN"/>
        </w:rPr>
      </w:pPr>
      <w:r>
        <m:rPr/>
        <w:rPr>
          <w:rFonts w:hint="default"/>
          <w:lang w:val="en-US" w:eastAsia="zh-CN"/>
        </w:rPr>
        <w:t>最终官方测试结果使用最佳验证模型计算，而不是最后一轮模型。官方测试集只在正式参数确定后评价一次。</w:t>
      </w:r>
    </w:p>
    <w:p w14:paraId="0782CAC5">
      <w:pPr>
        <m:rPr/>
        <w:rPr>
          <w:rFonts w:hint="default"/>
          <w:lang w:val="en-US" w:eastAsia="zh-CN"/>
        </w:rPr>
      </w:pPr>
      <w:r>
        <m:rPr/>
        <w:rPr>
          <w:rFonts w:hint="default"/>
          <w:lang w:val="en-US" w:eastAsia="zh-CN"/>
        </w:rPr>
        <w:t>需要注意的是，GTSRB中可能存在同一真实交通标志的连续视频帧。因此，客户端训练数据内部划分得到的验证集可能比官方测试集更容易。报告中必须分别呈现验证准确率和官方测试准确率，不能使用接近100%的验证准确率替代测试集上的泛化性能。</w:t>
      </w:r>
    </w:p>
    <w:p w14:paraId="017396DA">
      <w:pPr>
        <w:pStyle w:val="3"/>
        <w:bidi w:val="0"/>
        <m:rPr/>
        <w:rPr>
          <w:rFonts w:hint="eastAsia"/>
          <w:lang w:val="en-US" w:eastAsia="zh-CN"/>
        </w:rPr>
      </w:pPr>
      <w:r>
        <m:rPr/>
        <w:rPr>
          <w:rFonts w:hint="eastAsia"/>
          <w:lang w:val="en-US" w:eastAsia="zh-CN"/>
        </w:rPr>
        <w:t>2.9 评价指标</w:t>
      </w:r>
    </w:p>
    <w:p w14:paraId="38B6F29E">
      <w:pPr>
        <m:rPr/>
        <w:rPr>
          <w:rFonts w:hint="eastAsia"/>
          <w:lang w:val="en-US" w:eastAsia="zh-CN"/>
        </w:rPr>
      </w:pPr>
      <w:r>
        <m:rPr/>
        <w:rPr>
          <w:rFonts w:hint="eastAsia"/>
          <w:lang w:val="en-US" w:eastAsia="zh-CN"/>
        </w:rPr>
        <w:t>本研究使用以下评价指标：</w:t>
      </w:r>
    </w:p>
    <w:p w14:paraId="5E447665">
      <w:pPr>
        <w:numPr>
          <w:ilvl w:val="0"/>
          <w:numId w:val="3"/>
        </w:numPr>
        <m:rPr/>
        <w:rPr>
          <w:rFonts w:hint="eastAsia"/>
          <w:lang w:val="en-US" w:eastAsia="zh-CN"/>
        </w:rPr>
      </w:pPr>
      <w:r>
        <m:rPr/>
        <w:rPr>
          <w:rFonts w:hint="eastAsia"/>
          <w:lang w:val="en-US" w:eastAsia="zh-CN"/>
        </w:rPr>
        <w:t>总体测试准确率</w:t>
      </w:r>
    </w:p>
    <w:p w14:paraId="145F22A7">
      <w:pPr>
        <w:numPr>
          <w:numId w:val="0"/>
        </w:numPr>
        <m:rPr/>
        <w:rPr>
          <w:rFonts w:hint="default" w:hAnsi="Cambria Math" w:cstheme="minorBidi"/>
          <w:i w:val="0"/>
          <w:kern w:val="2"/>
          <w:sz w:val="21"/>
          <w:szCs w:val="24"/>
          <w:lang w:val="en-US" w:eastAsia="zh-CN" w:bidi="ar-SA"/>
        </w:rPr>
      </w:pPr>
      <m:oMathPara>
        <m:oMath>
          <m:r>
            <m:rPr/>
            <w:rPr>
              <w:rFonts w:hint="default" w:ascii="Cambria Math" w:hAnsi="Cambria Math" w:cstheme="minorBidi"/>
              <w:kern w:val="2"/>
              <w:sz w:val="21"/>
              <w:szCs w:val="24"/>
              <w:lang w:val="en-US" w:eastAsia="zh-CN" w:bidi="ar-SA"/>
            </w:rPr>
            <m:t xml:space="preserve">Accuracy = </m:t>
          </m:r>
          <m:f>
            <m:fPr>
              <m:ctrlPr>
                <m:rPr/>
                <w:rPr>
                  <w:rFonts w:hint="default" w:ascii="Cambria Math" w:hAnsi="Cambria Math" w:cstheme="minorBidi"/>
                  <w:i/>
                  <w:kern w:val="2"/>
                  <w:sz w:val="21"/>
                  <w:szCs w:val="24"/>
                  <w:lang w:val="en-US" w:eastAsia="zh-CN" w:bidi="ar-SA"/>
                </w:rPr>
              </m:ctrlPr>
            </m:fPr>
            <m:num>
              <m:r>
                <m:rPr/>
                <w:rPr>
                  <w:rFonts w:hint="eastAsia" w:ascii="Cambria Math" w:hAnsi="Cambria Math" w:cstheme="minorBidi"/>
                  <w:kern w:val="2"/>
                  <w:sz w:val="21"/>
                  <w:szCs w:val="24"/>
                  <w:lang w:val="en-US" w:eastAsia="zh-CN" w:bidi="ar-SA"/>
                </w:rPr>
                <m:t>正确分类样本数</m:t>
              </m:r>
              <m:ctrlPr>
                <m:rPr/>
                <w:rPr>
                  <w:rFonts w:hint="default" w:ascii="Cambria Math" w:hAnsi="Cambria Math" w:cstheme="minorBidi"/>
                  <w:i/>
                  <w:kern w:val="2"/>
                  <w:sz w:val="21"/>
                  <w:szCs w:val="24"/>
                  <w:lang w:val="en-US" w:eastAsia="zh-CN" w:bidi="ar-SA"/>
                </w:rPr>
              </m:ctrlPr>
            </m:num>
            <m:den>
              <m:r>
                <m:rPr/>
                <w:rPr>
                  <w:rFonts w:hint="eastAsia" w:ascii="Cambria Math" w:hAnsi="Cambria Math" w:cstheme="minorBidi"/>
                  <w:kern w:val="2"/>
                  <w:sz w:val="21"/>
                  <w:szCs w:val="24"/>
                  <w:lang w:val="en-US" w:eastAsia="zh-CN" w:bidi="ar-SA"/>
                </w:rPr>
                <m:t>测试样本总数</m:t>
              </m:r>
              <m:ctrlPr>
                <m:rPr/>
                <w:rPr>
                  <w:rFonts w:hint="default" w:ascii="Cambria Math" w:hAnsi="Cambria Math" w:cstheme="minorBidi"/>
                  <w:i/>
                  <w:kern w:val="2"/>
                  <w:sz w:val="21"/>
                  <w:szCs w:val="24"/>
                  <w:lang w:val="en-US" w:eastAsia="zh-CN" w:bidi="ar-SA"/>
                </w:rPr>
              </m:ctrlPr>
            </m:den>
          </m:f>
        </m:oMath>
      </m:oMathPara>
    </w:p>
    <w:p w14:paraId="4AE246F8">
      <w:pPr>
        <w:numPr>
          <w:numId w:val="0"/>
        </w:numPr>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该指标反映模型在全部测试样本上的总体表现，但可能更多地受到样本量较大类别的影响。</w:t>
      </w:r>
    </w:p>
    <w:p w14:paraId="62260DA8">
      <w:pPr>
        <w:numPr>
          <w:numId w:val="0"/>
        </w:numPr>
        <m:rPr/>
        <w:rPr>
          <w:rFonts w:hint="default"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2、宏平均类别准确率</w:t>
      </w:r>
    </w:p>
    <w:p w14:paraId="273C6C57">
      <w:pPr>
        <w:numPr>
          <w:numId w:val="0"/>
        </w:numPr>
        <m:rPr/>
        <w:rPr>
          <w:rFonts w:hint="default"/>
          <w:lang w:val="en-US" w:eastAsia="zh-CN"/>
        </w:rPr>
      </w:pPr>
      <w:r>
        <m:rPr/>
        <w:rPr>
          <w:rFonts w:hint="default"/>
          <w:lang w:val="en-US" w:eastAsia="zh-CN"/>
        </w:rPr>
        <w:t>首先分别计算每一个类别的准确率，再对 43 个类别进行等权平均：</w:t>
      </w:r>
    </w:p>
    <w:p w14:paraId="75738203">
      <w:pPr>
        <w:numPr>
          <w:numId w:val="0"/>
        </w:numPr>
        <m:rPr/>
        <w:rPr>
          <w:rFonts w:hint="default" w:hAnsi="Cambria Math" w:cstheme="minorBidi"/>
          <w:i w:val="0"/>
          <w:kern w:val="2"/>
          <w:sz w:val="21"/>
          <w:szCs w:val="24"/>
          <w:lang w:val="en-US" w:eastAsia="zh-CN" w:bidi="ar-SA"/>
        </w:rPr>
      </w:pPr>
      <m:oMathPara>
        <m:oMath>
          <m:r>
            <m:rPr/>
            <w:rPr>
              <w:rFonts w:hint="default" w:ascii="Cambria Math" w:hAnsi="Cambria Math" w:cstheme="minorBidi"/>
              <w:kern w:val="2"/>
              <w:sz w:val="21"/>
              <w:szCs w:val="24"/>
              <w:lang w:val="en-US" w:eastAsia="zh-CN" w:bidi="ar-SA"/>
            </w:rPr>
            <m:t xml:space="preserve">Macro Class Accuracy = </m:t>
          </m:r>
          <m:f>
            <m:fPr>
              <m:ctrlPr>
                <m:r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m:r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43</m:t>
              </m:r>
              <m:ctrlPr>
                <m:rPr/>
                <w:rPr>
                  <w:rFonts w:hint="default" w:ascii="Cambria Math" w:hAnsi="Cambria Math" w:cstheme="minorBidi"/>
                  <w:i/>
                  <w:kern w:val="2"/>
                  <w:sz w:val="21"/>
                  <w:szCs w:val="24"/>
                  <w:lang w:val="en-US" w:eastAsia="zh-CN" w:bidi="ar-SA"/>
                </w:rPr>
              </m:ctrlPr>
            </m:den>
          </m:f>
          <m:nary>
            <m:naryPr>
              <m:chr m:val="∑"/>
              <m:limLoc m:val="undOvr"/>
              <m:ctrlPr>
                <m:r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c=1</m:t>
              </m:r>
              <m:ctrlPr>
                <m:r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43</m:t>
              </m:r>
              <m:ctrlPr>
                <m:rPr/>
                <w:rPr>
                  <w:rFonts w:hint="default" w:ascii="Cambria Math" w:hAnsi="Cambria Math" w:cstheme="minorBidi"/>
                  <w:i/>
                  <w:kern w:val="2"/>
                  <w:sz w:val="21"/>
                  <w:szCs w:val="24"/>
                  <w:lang w:val="en-US" w:eastAsia="zh-CN" w:bidi="ar-SA"/>
                </w:rPr>
              </m:ctrlPr>
            </m:sup>
            <m:e>
              <m:sSub>
                <m:sSubPr>
                  <m:ctrlPr>
                    <m:r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Accuracy</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c</m:t>
                  </m:r>
                  <m:ctrlPr>
                    <m:rPr/>
                    <w:rPr>
                      <w:rFonts w:hint="default" w:ascii="Cambria Math" w:hAnsi="Cambria Math" w:cstheme="minorBidi"/>
                      <w:i/>
                      <w:kern w:val="2"/>
                      <w:sz w:val="21"/>
                      <w:szCs w:val="24"/>
                      <w:lang w:val="en-US" w:eastAsia="zh-CN" w:bidi="ar-SA"/>
                    </w:rPr>
                  </m:ctrlPr>
                </m:sub>
              </m:sSub>
              <m:ctrlPr>
                <m:rPr/>
                <w:rPr>
                  <w:rFonts w:hint="default" w:ascii="Cambria Math" w:hAnsi="Cambria Math" w:cstheme="minorBidi"/>
                  <w:i/>
                  <w:kern w:val="2"/>
                  <w:sz w:val="21"/>
                  <w:szCs w:val="24"/>
                  <w:lang w:val="en-US" w:eastAsia="zh-CN" w:bidi="ar-SA"/>
                </w:rPr>
              </m:ctrlPr>
            </m:e>
          </m:nary>
        </m:oMath>
      </m:oMathPara>
    </w:p>
    <w:p w14:paraId="20110147">
      <w:pPr>
        <w:numPr>
          <w:numId w:val="0"/>
        </w:numPr>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该指标给予每个类别相同权重，因此更适合分析Label Skew条件下少数类别或困难类别是否受到严重影响。</w:t>
      </w:r>
    </w:p>
    <w:p w14:paraId="536386C6">
      <w:pPr>
        <w:numPr>
          <w:numId w:val="0"/>
        </w:numPr>
        <m:rPr/>
        <w:rPr>
          <w:rFonts w:hint="default"/>
          <w:lang w:val="en-US" w:eastAsia="zh-CN"/>
        </w:rPr>
      </w:pPr>
      <w:r>
        <m:rPr/>
        <w:rPr>
          <w:rFonts w:hint="eastAsia"/>
          <w:lang w:val="en-US" w:eastAsia="zh-CN"/>
        </w:rPr>
        <w:t>3、测试损失</w:t>
      </w:r>
    </w:p>
    <w:p w14:paraId="0B46FDF0">
      <w:pPr>
        <w:numPr>
          <w:numId w:val="0"/>
        </w:numPr>
        <m:rPr/>
        <w:rPr>
          <w:rFonts w:hint="default"/>
          <w:lang w:val="en-US" w:eastAsia="zh-CN"/>
        </w:rPr>
      </w:pPr>
      <w:r>
        <m:rPr/>
        <w:rPr>
          <w:rFonts w:hint="default"/>
          <w:lang w:val="en-US" w:eastAsia="zh-CN"/>
        </w:rPr>
        <w:t>测试损失使用稀疏分类交叉熵计算。准确率相近时，较低的测试损失通常表示模型预测的错误置信度较低或概率分布更合理。</w:t>
      </w:r>
    </w:p>
    <w:p w14:paraId="49CBEFDB">
      <w:pPr>
        <w:numPr>
          <w:numId w:val="0"/>
        </w:numPr>
        <m:rPr/>
        <w:rPr>
          <w:rFonts w:hint="default"/>
          <w:lang w:val="en-US" w:eastAsia="zh-CN"/>
        </w:rPr>
      </w:pPr>
      <w:r>
        <m:rPr/>
        <w:rPr>
          <w:rFonts w:hint="eastAsia"/>
          <w:lang w:val="en-US" w:eastAsia="zh-CN"/>
        </w:rPr>
        <w:t>4、类别级准确率</w:t>
      </w:r>
    </w:p>
    <w:p w14:paraId="58BCDE91">
      <w:pPr>
        <w:numPr>
          <w:numId w:val="0"/>
        </w:numPr>
        <m:rPr/>
        <w:rPr>
          <w:rFonts w:hint="default"/>
          <w:lang w:val="en-US" w:eastAsia="zh-CN"/>
        </w:rPr>
      </w:pPr>
      <w:r>
        <m:rPr/>
        <w:rPr>
          <w:rFonts w:hint="default"/>
          <w:lang w:val="en-US" w:eastAsia="zh-CN"/>
        </w:rPr>
        <w:t>分别报告所有43个类别的准确率，并统计：</w:t>
      </w:r>
    </w:p>
    <w:p w14:paraId="6E7C42DB">
      <w:pPr>
        <w:numPr>
          <w:numId w:val="0"/>
        </w:numPr>
        <m:rPr/>
        <w:rPr>
          <w:rFonts w:hint="default"/>
          <w:lang w:val="en-US" w:eastAsia="zh-CN"/>
        </w:rPr>
      </w:pPr>
      <w:r>
        <m:rPr/>
        <w:rPr>
          <w:rFonts w:hint="eastAsia"/>
          <w:lang w:val="en-US" w:eastAsia="zh-CN"/>
        </w:rPr>
        <w:t>·</w:t>
      </w:r>
      <w:r>
        <m:rPr/>
        <w:rPr>
          <w:rFonts w:hint="default"/>
          <w:lang w:val="en-US" w:eastAsia="zh-CN"/>
        </w:rPr>
        <w:t>准确率为0的类别数量；</w:t>
      </w:r>
    </w:p>
    <w:p w14:paraId="5C10EE64">
      <w:pPr>
        <w:numPr>
          <w:numId w:val="0"/>
        </w:numPr>
        <m:rPr/>
        <w:rPr>
          <w:rFonts w:hint="default"/>
          <w:lang w:val="en-US" w:eastAsia="zh-CN"/>
        </w:rPr>
      </w:pPr>
      <w:r>
        <m:rPr/>
        <w:rPr>
          <w:rFonts w:hint="eastAsia"/>
          <w:lang w:val="en-US" w:eastAsia="zh-CN"/>
        </w:rPr>
        <w:t>·</w:t>
      </w:r>
      <w:r>
        <m:rPr/>
        <w:rPr>
          <w:rFonts w:hint="default"/>
          <w:lang w:val="en-US" w:eastAsia="zh-CN"/>
        </w:rPr>
        <w:t>最差类别准确率；</w:t>
      </w:r>
    </w:p>
    <w:p w14:paraId="0CAAD968">
      <w:pPr>
        <w:numPr>
          <w:numId w:val="0"/>
        </w:numPr>
        <m:rPr/>
        <w:rPr>
          <w:rFonts w:hint="default"/>
          <w:lang w:val="en-US" w:eastAsia="zh-CN"/>
        </w:rPr>
      </w:pPr>
      <w:r>
        <m:rPr/>
        <w:rPr>
          <w:rFonts w:hint="eastAsia"/>
          <w:lang w:val="en-US" w:eastAsia="zh-CN"/>
        </w:rPr>
        <w:t>·</w:t>
      </w:r>
      <w:r>
        <m:rPr/>
        <w:rPr>
          <w:rFonts w:hint="default"/>
          <w:lang w:val="en-US" w:eastAsia="zh-CN"/>
        </w:rPr>
        <w:t>FedProx相对于控制组提升和下降的类别数量；</w:t>
      </w:r>
    </w:p>
    <w:p w14:paraId="35B6426A">
      <w:pPr>
        <w:numPr>
          <w:numId w:val="0"/>
        </w:numPr>
        <m:rPr/>
        <w:rPr>
          <w:rFonts w:hint="default"/>
          <w:lang w:val="en-US" w:eastAsia="zh-CN"/>
        </w:rPr>
      </w:pPr>
      <w:r>
        <m:rPr/>
        <w:rPr>
          <w:rFonts w:hint="eastAsia"/>
          <w:lang w:val="en-US" w:eastAsia="zh-CN"/>
        </w:rPr>
        <w:t>·</w:t>
      </w:r>
      <w:r>
        <m:rPr/>
        <w:rPr>
          <w:rFonts w:hint="default"/>
          <w:lang w:val="en-US" w:eastAsia="zh-CN"/>
        </w:rPr>
        <w:t>原本失效类别是否得到恢复。</w:t>
      </w:r>
    </w:p>
    <w:p w14:paraId="26D93E77">
      <w:pPr>
        <w:numPr>
          <w:numId w:val="0"/>
        </w:numPr>
        <m:rPr/>
        <w:rPr>
          <w:rFonts w:hint="default"/>
          <w:lang w:val="en-US" w:eastAsia="zh-CN"/>
        </w:rPr>
      </w:pPr>
      <w:r>
        <m:rPr/>
        <w:rPr>
          <w:rFonts w:hint="eastAsia"/>
          <w:lang w:val="en-US" w:eastAsia="zh-CN"/>
        </w:rPr>
        <w:t>5、混淆矩阵</w:t>
      </w:r>
    </w:p>
    <w:p w14:paraId="3D9A0526">
      <w:pPr>
        <w:numPr>
          <w:numId w:val="0"/>
        </w:numPr>
        <m:rPr/>
        <w:rPr>
          <w:rFonts w:hint="default"/>
          <w:lang w:val="en-US" w:eastAsia="zh-CN"/>
        </w:rPr>
      </w:pPr>
      <w:r>
        <m:rPr/>
        <w:rPr>
          <w:rFonts w:hint="default"/>
          <w:lang w:val="en-US" w:eastAsia="zh-CN"/>
        </w:rPr>
        <w:t>使用43×43混淆矩阵分析真实类别被错误预测为何种类别，并识别最常见的类别混淆对。</w:t>
      </w:r>
    </w:p>
    <w:p w14:paraId="178243DD">
      <w:pPr>
        <w:numPr>
          <w:numId w:val="0"/>
        </w:numPr>
        <m:rPr/>
        <w:rPr>
          <w:rFonts w:hint="default"/>
          <w:lang w:val="en-US" w:eastAsia="zh-CN"/>
        </w:rPr>
      </w:pPr>
      <w:r>
        <m:rPr/>
        <w:rPr>
          <w:rFonts w:hint="eastAsia"/>
          <w:lang w:val="en-US" w:eastAsia="zh-CN"/>
        </w:rPr>
        <w:t>6、收敛过程</w:t>
      </w:r>
    </w:p>
    <w:p w14:paraId="2AC49156">
      <w:pPr>
        <w:numPr>
          <w:numId w:val="0"/>
        </w:numPr>
        <m:rPr/>
        <w:rPr>
          <w:rFonts w:hint="default"/>
          <w:lang w:val="en-US" w:eastAsia="zh-CN"/>
        </w:rPr>
      </w:pPr>
      <w:r>
        <m:rPr/>
        <w:rPr>
          <w:rFonts w:hint="default"/>
          <w:lang w:val="en-US" w:eastAsia="zh-CN"/>
        </w:rPr>
        <w:t>记录每轮训练和验证准确率、损失以及最佳验证轮次，用于分析算法的学习速度、波动和平台期。</w:t>
      </w:r>
    </w:p>
    <w:p w14:paraId="2CAA03E3">
      <w:pPr>
        <w:numPr>
          <w:numId w:val="0"/>
        </w:numPr>
        <m:rPr/>
        <w:rPr>
          <w:rFonts w:hint="default"/>
          <w:lang w:val="en-US" w:eastAsia="zh-CN"/>
        </w:rPr>
      </w:pPr>
      <w:r>
        <m:rPr/>
        <w:rPr>
          <w:rFonts w:hint="default"/>
          <w:lang w:val="en-US" w:eastAsia="zh-CN"/>
        </w:rPr>
        <w:t>由于正式结果仅使用一个随机种子，本研究不进行统计显著性检验，也不将单次实验结果解释为对所有场景均成立的普遍结论。</w:t>
      </w:r>
    </w:p>
    <w:p w14:paraId="2E31AC4E">
      <w:pPr>
        <w:pStyle w:val="3"/>
        <w:bidi w:val="0"/>
        <m:rPr/>
        <w:rPr>
          <w:rFonts w:hint="eastAsia"/>
          <w:lang w:val="en-US" w:eastAsia="zh-CN"/>
        </w:rPr>
      </w:pPr>
      <w:r>
        <m:rPr/>
        <w:rPr>
          <w:rFonts w:hint="eastAsia"/>
          <w:lang w:val="en-US" w:eastAsia="zh-CN"/>
        </w:rPr>
        <w:t>2.10 可复现性</w:t>
      </w:r>
    </w:p>
    <w:p w14:paraId="6098DB18">
      <w:pPr>
        <m:rPr/>
        <w:rPr>
          <w:rFonts w:hint="eastAsia"/>
          <w:lang w:val="en-US" w:eastAsia="zh-CN"/>
        </w:rPr>
      </w:pPr>
      <w:r>
        <m:rPr/>
        <w:rPr>
          <w:rFonts w:hint="eastAsia"/>
          <w:lang w:val="en-US" w:eastAsia="zh-CN"/>
        </w:rPr>
        <w:t>为提高实验可复现性，所有数据划分、训练脚本和正式实验均固定使用随机种子20260720。客户端CSV在首次生成后冻结，不同算法不得重新随机划分数据。</w:t>
      </w:r>
    </w:p>
    <w:p w14:paraId="31992BD3">
      <w:pPr>
        <m:rPr/>
        <w:rPr>
          <w:rFonts w:hint="eastAsia"/>
          <w:lang w:val="en-US" w:eastAsia="zh-CN"/>
        </w:rPr>
      </w:pPr>
      <w:r>
        <m:rPr/>
        <w:rPr>
          <w:rFonts w:hint="eastAsia"/>
          <w:lang w:val="en-US" w:eastAsia="zh-CN"/>
        </w:rPr>
        <w:t>训练过程保存每轮指标、模型权重、配置文件、数据manifest、最佳模型和最后模型。FedAvg与FedProx当前使用无状态服务器平均和无动量服务器优化器，因此全局模型权重可保存为NPZ checkpoint，并在恢复训练时写回服务器状态。</w:t>
      </w:r>
    </w:p>
    <w:p w14:paraId="2CDDECF1">
      <w:pPr>
        <m:rPr/>
        <w:rPr>
          <w:rFonts w:hint="eastAsia"/>
          <w:lang w:val="en-US" w:eastAsia="zh-CN"/>
        </w:rPr>
      </w:pPr>
      <w:r>
        <m:rPr/>
        <w:rPr>
          <w:rFonts w:hint="eastAsia"/>
          <w:lang w:val="en-US" w:eastAsia="zh-CN"/>
        </w:rPr>
        <w:t>项目还进行了以下工程检查：</w:t>
      </w:r>
    </w:p>
    <w:p w14:paraId="57216908">
      <w:pPr>
        <m:rPr/>
        <w:rPr>
          <w:rFonts w:hint="eastAsia"/>
          <w:lang w:val="en-US" w:eastAsia="zh-CN"/>
        </w:rPr>
      </w:pPr>
      <w:r>
        <m:rPr/>
        <w:rPr>
          <w:rFonts w:hint="eastAsia"/>
          <w:lang w:val="en-US" w:eastAsia="zh-CN"/>
        </w:rPr>
        <w:t>·μ=0退化测试；</w:t>
      </w:r>
    </w:p>
    <w:p w14:paraId="310B180A">
      <w:pPr>
        <m:rPr/>
        <w:rPr>
          <w:rFonts w:hint="eastAsia"/>
          <w:lang w:val="en-US" w:eastAsia="zh-CN"/>
        </w:rPr>
      </w:pPr>
      <w:r>
        <m:rPr/>
        <w:rPr>
          <w:rFonts w:hint="eastAsia"/>
          <w:lang w:val="en-US" w:eastAsia="zh-CN"/>
        </w:rPr>
        <w:t>·初始模型权重一致性检查；</w:t>
      </w:r>
    </w:p>
    <w:p w14:paraId="6713DE15">
      <w:pPr>
        <m:rPr/>
        <w:rPr>
          <w:rFonts w:hint="eastAsia"/>
          <w:lang w:val="en-US" w:eastAsia="zh-CN"/>
        </w:rPr>
      </w:pPr>
      <w:r>
        <m:rPr/>
        <w:rPr>
          <w:rFonts w:hint="eastAsia"/>
          <w:lang w:val="en-US" w:eastAsia="zh-CN"/>
        </w:rPr>
        <w:t>·checkpoint恢复连续性检查；</w:t>
      </w:r>
    </w:p>
    <w:p w14:paraId="5D6FA4E5">
      <w:pPr>
        <m:rPr/>
        <w:rPr>
          <w:rFonts w:hint="eastAsia"/>
          <w:lang w:val="en-US" w:eastAsia="zh-CN"/>
        </w:rPr>
      </w:pPr>
      <w:r>
        <m:rPr/>
        <w:rPr>
          <w:rFonts w:hint="eastAsia"/>
          <w:lang w:val="en-US" w:eastAsia="zh-CN"/>
        </w:rPr>
        <w:t>·模型更新是否包含NaN或Inf；</w:t>
      </w:r>
    </w:p>
    <w:p w14:paraId="06494615">
      <w:pPr>
        <m:rPr/>
        <w:rPr>
          <w:rFonts w:hint="eastAsia"/>
          <w:lang w:val="en-US" w:eastAsia="zh-CN"/>
        </w:rPr>
      </w:pPr>
      <w:r>
        <m:rPr/>
        <w:rPr>
          <w:rFonts w:hint="eastAsia"/>
          <w:lang w:val="en-US" w:eastAsia="zh-CN"/>
        </w:rPr>
        <w:t>·数据划分是否重复或遗漏；</w:t>
      </w:r>
    </w:p>
    <w:p w14:paraId="74C15327">
      <w:pPr>
        <m:rPr/>
        <w:rPr>
          <w:rFonts w:hint="eastAsia"/>
          <w:lang w:val="en-US" w:eastAsia="zh-CN"/>
        </w:rPr>
      </w:pPr>
      <w:r>
        <m:rPr/>
        <w:rPr>
          <w:rFonts w:hint="eastAsia"/>
          <w:lang w:val="en-US" w:eastAsia="zh-CN"/>
        </w:rPr>
        <w:t>·客户端聚合结果能否按样本量重构；</w:t>
      </w:r>
    </w:p>
    <w:p w14:paraId="7A4603F7">
      <w:pPr>
        <m:rPr/>
        <w:rPr>
          <w:rFonts w:hint="eastAsia"/>
          <w:lang w:val="en-US" w:eastAsia="zh-CN"/>
        </w:rPr>
      </w:pPr>
      <w:r>
        <m:rPr/>
        <w:rPr>
          <w:rFonts w:hint="eastAsia"/>
          <w:lang w:val="en-US" w:eastAsia="zh-CN"/>
        </w:rPr>
        <w:t>·正式实验的配置是否严格匹配。</w:t>
      </w:r>
    </w:p>
    <w:p w14:paraId="7EB8B94F">
      <w:pPr>
        <m:rPr/>
        <w:rPr>
          <w:rFonts w:hint="default"/>
          <w:lang w:val="en-US" w:eastAsia="zh-CN"/>
        </w:rPr>
      </w:pPr>
      <w:r>
        <m:rPr/>
        <w:rPr>
          <w:rFonts w:hint="default"/>
          <w:lang w:val="en-US" w:eastAsia="zh-CN"/>
        </w:rPr>
        <w:t>这些检查的目的不是直接提高准确率，而是确保观察到的性能差异来自所研究的算法或数据条件，而不是代码错误、不同初始化或不一致的训练设置。</w:t>
      </w:r>
    </w:p>
    <w:p w14:paraId="77F197C3">
      <w:pPr>
        <w:pStyle w:val="3"/>
        <w:bidi w:val="0"/>
        <m:rPr/>
        <w:rPr>
          <w:rFonts w:hint="eastAsia"/>
          <w:lang w:val="en-US" w:eastAsia="zh-CN"/>
        </w:rPr>
      </w:pPr>
      <w:r>
        <m:rPr/>
        <w:rPr>
          <w:rFonts w:hint="eastAsia"/>
          <w:lang w:val="en-US" w:eastAsia="zh-CN"/>
        </w:rPr>
        <w:t>2.11 通信量估算</w:t>
      </w:r>
    </w:p>
    <w:p w14:paraId="0FE0B419">
      <w:pPr>
        <m:rPr/>
        <w:rPr>
          <w:rFonts w:hint="default"/>
          <w:lang w:val="en-US" w:eastAsia="zh-CN"/>
        </w:rPr>
      </w:pPr>
      <w:r>
        <m:rPr/>
        <w:rPr>
          <w:rFonts w:hint="default"/>
          <w:lang w:val="en-US" w:eastAsia="zh-CN"/>
        </w:rPr>
        <w:t>无BatchNorm CNN的模型参数载荷约为395,180 bytes，即约0.377 MiB。每轮5个客户端全部参与，并各进行一次模型下发和一次更新上传，因此每轮参数通信量估算为：</w:t>
      </w:r>
    </w:p>
    <w:p w14:paraId="723A204B">
      <w:pPr>
        <w:numPr>
          <w:numId w:val="0"/>
        </w:numPr>
        <m:rPr/>
        <w:rPr>
          <w:rFonts w:hint="default" w:hAnsi="Cambria Math" w:cstheme="minorBidi"/>
          <w:i w:val="0"/>
          <w:kern w:val="2"/>
          <w:sz w:val="21"/>
          <w:szCs w:val="24"/>
          <w:lang w:val="en-US" w:eastAsia="zh-CN" w:bidi="ar-SA"/>
        </w:rPr>
      </w:pPr>
      <m:oMathPara>
        <m:oMath>
          <m:r>
            <m:rPr/>
            <w:rPr>
              <w:rFonts w:hint="default" w:ascii="Cambria Math" w:hAnsi="Cambria Math" w:cstheme="minorBidi"/>
              <w:kern w:val="2"/>
              <w:sz w:val="21"/>
              <w:szCs w:val="24"/>
              <w:lang w:val="en-US" w:eastAsia="zh-CN" w:bidi="ar-SA"/>
            </w:rPr>
            <m:t>2</m:t>
          </m:r>
          <m:r>
            <m:rPr/>
            <w:rPr>
              <w:rFonts w:hint="default" w:ascii="Cambria Math" w:hAnsi="Cambria Math" w:cs="Cambria Math"/>
              <w:kern w:val="2"/>
              <w:sz w:val="21"/>
              <w:szCs w:val="24"/>
              <w:lang w:val="en-US" w:eastAsia="zh-CN" w:bidi="ar-SA"/>
            </w:rPr>
            <m:t>×</m:t>
          </m:r>
          <m:r>
            <m:rPr/>
            <w:rPr>
              <w:rFonts w:hint="default" w:ascii="Cambria Math" w:hAnsi="Cambria Math" w:cstheme="minorBidi"/>
              <w:kern w:val="2"/>
              <w:sz w:val="21"/>
              <w:szCs w:val="24"/>
              <w:lang w:val="en-US" w:eastAsia="zh-CN" w:bidi="ar-SA"/>
            </w:rPr>
            <m:t>5</m:t>
          </m:r>
          <m:r>
            <m:rPr/>
            <w:rPr>
              <w:rFonts w:hint="default" w:ascii="Cambria Math" w:hAnsi="Cambria Math" w:cs="Cambria Math"/>
              <w:kern w:val="2"/>
              <w:sz w:val="21"/>
              <w:szCs w:val="24"/>
              <w:lang w:val="en-US" w:eastAsia="zh-CN" w:bidi="ar-SA"/>
            </w:rPr>
            <m:t>×</m:t>
          </m:r>
          <m:r>
            <m:rPr/>
            <w:rPr>
              <w:rFonts w:hint="default" w:ascii="Cambria Math" w:hAnsi="Cambria Math" w:cstheme="minorBidi"/>
              <w:kern w:val="2"/>
              <w:sz w:val="21"/>
              <w:szCs w:val="24"/>
              <w:lang w:val="en-US" w:eastAsia="zh-CN" w:bidi="ar-SA"/>
            </w:rPr>
            <m:t>395,180=3951800bytes</m:t>
          </m:r>
        </m:oMath>
      </m:oMathPara>
    </w:p>
    <w:p w14:paraId="470FA4F2">
      <w:pPr>
        <w:numPr>
          <w:numId w:val="0"/>
        </w:numPr>
        <m:rPr/>
        <w:rPr>
          <w:rFonts w:hint="eastAsia"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约为3.77MiB。160轮累计参数载荷约为603MiB。</w:t>
      </w:r>
    </w:p>
    <w:p w14:paraId="1EE17045">
      <w:pPr>
        <w:numPr>
          <w:numId w:val="0"/>
        </w:numPr>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该估算只包含模型参数本身，不包括网络协议头、序列化开销、TLS、重传和其他实际通信开销。因此，它用于比较实验中的相对通信预算，而不是精确模拟真实车联网通信流量。</w:t>
      </w:r>
    </w:p>
    <w:p w14:paraId="01E302F8">
      <w:pPr>
        <w:pStyle w:val="3"/>
        <w:bidi w:val="0"/>
        <m:rPr/>
        <w:rPr>
          <w:rFonts w:hint="default"/>
          <w:lang w:val="en-US" w:eastAsia="zh-CN"/>
        </w:rPr>
      </w:pPr>
      <w:r>
        <m:rPr/>
        <w:rPr>
          <w:rFonts w:hint="eastAsia"/>
          <w:lang w:val="en-US" w:eastAsia="zh-CN"/>
        </w:rPr>
        <w:t>2.12 我缺少的图表</w:t>
      </w:r>
    </w:p>
    <w:p w14:paraId="78D02E5E">
      <w:pPr>
        <w:numPr>
          <w:numId w:val="0"/>
        </w:numPr>
        <m:rPr/>
        <w:rPr>
          <w:rFonts w:hint="default"/>
          <w:lang w:val="en-US" w:eastAsia="zh-CN"/>
        </w:rPr>
      </w:pPr>
      <w:r>
        <m:rPr/>
        <w:rPr>
          <w:rFonts w:hint="eastAsia"/>
          <w:lang w:val="en-US" w:eastAsia="zh-CN"/>
        </w:rPr>
        <w:t>1、联邦学习训练流程图</w:t>
      </w:r>
    </w:p>
    <w:p w14:paraId="19EE35F1">
      <w:pPr>
        <w:numPr>
          <w:numId w:val="0"/>
        </w:numPr>
        <m:rPr/>
        <w:rPr>
          <w:rFonts w:hint="default"/>
          <w:lang w:val="en-US" w:eastAsia="zh-CN"/>
        </w:rPr>
      </w:pPr>
      <w:r>
        <m:rPr/>
        <w:rPr>
          <w:rFonts w:hint="default"/>
          <w:lang w:val="en-US" w:eastAsia="zh-CN"/>
        </w:rPr>
        <w:t>客户端本地数据</w:t>
      </w:r>
    </w:p>
    <w:p w14:paraId="3D7FFA49">
      <w:pPr>
        <w:numPr>
          <w:numId w:val="0"/>
        </w:numPr>
        <m:rPr/>
        <w:rPr>
          <w:rFonts w:hint="default"/>
          <w:lang w:val="en-US" w:eastAsia="zh-CN"/>
        </w:rPr>
      </w:pPr>
      <w:r>
        <m:rPr/>
        <w:rPr>
          <w:rFonts w:hint="default"/>
          <w:lang w:val="en-US" w:eastAsia="zh-CN"/>
        </w:rPr>
        <w:t>→ 接收全局模型</w:t>
      </w:r>
    </w:p>
    <w:p w14:paraId="1249F58E">
      <w:pPr>
        <w:numPr>
          <w:numId w:val="0"/>
        </w:numPr>
        <m:rPr/>
        <w:rPr>
          <w:rFonts w:hint="default"/>
          <w:lang w:val="en-US" w:eastAsia="zh-CN"/>
        </w:rPr>
      </w:pPr>
      <w:r>
        <m:rPr/>
        <w:rPr>
          <w:rFonts w:hint="default"/>
          <w:lang w:val="en-US" w:eastAsia="zh-CN"/>
        </w:rPr>
        <w:t>→ 本地训练</w:t>
      </w:r>
    </w:p>
    <w:p w14:paraId="51C5CFCE">
      <w:pPr>
        <w:numPr>
          <w:numId w:val="0"/>
        </w:numPr>
        <m:rPr/>
        <w:rPr>
          <w:rFonts w:hint="default"/>
          <w:lang w:val="en-US" w:eastAsia="zh-CN"/>
        </w:rPr>
      </w:pPr>
      <w:r>
        <m:rPr/>
        <w:rPr>
          <w:rFonts w:hint="default"/>
          <w:lang w:val="en-US" w:eastAsia="zh-CN"/>
        </w:rPr>
        <w:t>→ 上传模型更新</w:t>
      </w:r>
    </w:p>
    <w:p w14:paraId="17CEFDF0">
      <w:pPr>
        <w:numPr>
          <w:numId w:val="0"/>
        </w:numPr>
        <m:rPr/>
        <w:rPr>
          <w:rFonts w:hint="default"/>
          <w:lang w:val="en-US" w:eastAsia="zh-CN"/>
        </w:rPr>
      </w:pPr>
      <w:r>
        <m:rPr/>
        <w:rPr>
          <w:rFonts w:hint="default"/>
          <w:lang w:val="en-US" w:eastAsia="zh-CN"/>
        </w:rPr>
        <w:t>→ 服务器加权聚合</w:t>
      </w:r>
    </w:p>
    <w:p w14:paraId="664EA0D2">
      <w:pPr>
        <w:numPr>
          <w:numId w:val="0"/>
        </w:numPr>
        <m:rPr/>
        <w:rPr>
          <w:rFonts w:hint="default"/>
          <w:lang w:val="en-US" w:eastAsia="zh-CN"/>
        </w:rPr>
      </w:pPr>
      <w:r>
        <m:rPr/>
        <w:rPr>
          <w:rFonts w:hint="default"/>
          <w:lang w:val="en-US" w:eastAsia="zh-CN"/>
        </w:rPr>
        <w:t>→ 下发新全局模型</w:t>
      </w:r>
    </w:p>
    <w:p w14:paraId="32F2E359">
      <w:pPr>
        <w:numPr>
          <w:numId w:val="0"/>
        </w:numPr>
        <m:rPr/>
        <w:rPr>
          <w:rFonts w:hint="default"/>
          <w:lang w:val="en-US" w:eastAsia="zh-CN"/>
        </w:rPr>
      </w:pPr>
      <w:r>
        <m:rPr/>
        <w:rPr>
          <w:rFonts w:hint="eastAsia"/>
          <w:lang w:val="en-US" w:eastAsia="zh-CN"/>
        </w:rPr>
        <w:t>2、模型结构图</w:t>
      </w:r>
    </w:p>
    <w:p w14:paraId="6CEE221C">
      <w:pPr>
        <w:numPr>
          <w:numId w:val="0"/>
        </w:numPr>
        <m:rPr/>
        <w:rPr>
          <w:rFonts w:hint="default"/>
          <w:lang w:val="en-US" w:eastAsia="zh-CN"/>
        </w:rPr>
      </w:pPr>
      <w:r>
        <m:rPr/>
        <w:rPr>
          <w:rFonts w:hint="default"/>
          <w:lang w:val="en-US" w:eastAsia="zh-CN"/>
        </w:rPr>
        <w:t>32×32×3</w:t>
      </w:r>
    </w:p>
    <w:p w14:paraId="2CA0F230">
      <w:pPr>
        <w:numPr>
          <w:numId w:val="0"/>
        </w:numPr>
        <m:rPr/>
        <w:rPr>
          <w:rFonts w:hint="default"/>
          <w:lang w:val="en-US" w:eastAsia="zh-CN"/>
        </w:rPr>
      </w:pPr>
      <w:r>
        <m:rPr/>
        <w:rPr>
          <w:rFonts w:hint="default"/>
          <w:lang w:val="en-US" w:eastAsia="zh-CN"/>
        </w:rPr>
        <w:t>→ Conv32</w:t>
      </w:r>
    </w:p>
    <w:p w14:paraId="5CDC74EB">
      <w:pPr>
        <w:numPr>
          <w:numId w:val="0"/>
        </w:numPr>
        <m:rPr/>
        <w:rPr>
          <w:rFonts w:hint="default"/>
          <w:lang w:val="en-US" w:eastAsia="zh-CN"/>
        </w:rPr>
      </w:pPr>
      <w:r>
        <m:rPr/>
        <w:rPr>
          <w:rFonts w:hint="default"/>
          <w:lang w:val="en-US" w:eastAsia="zh-CN"/>
        </w:rPr>
        <w:t>→ Pool</w:t>
      </w:r>
    </w:p>
    <w:p w14:paraId="245E7E96">
      <w:pPr>
        <w:numPr>
          <w:numId w:val="0"/>
        </w:numPr>
        <m:rPr/>
        <w:rPr>
          <w:rFonts w:hint="default"/>
          <w:lang w:val="en-US" w:eastAsia="zh-CN"/>
        </w:rPr>
      </w:pPr>
      <w:r>
        <m:rPr/>
        <w:rPr>
          <w:rFonts w:hint="default"/>
          <w:lang w:val="en-US" w:eastAsia="zh-CN"/>
        </w:rPr>
        <w:t>→ Conv64</w:t>
      </w:r>
    </w:p>
    <w:p w14:paraId="20EFAAE2">
      <w:pPr>
        <w:numPr>
          <w:numId w:val="0"/>
        </w:numPr>
        <m:rPr/>
        <w:rPr>
          <w:rFonts w:hint="default"/>
          <w:lang w:val="en-US" w:eastAsia="zh-CN"/>
        </w:rPr>
      </w:pPr>
      <w:r>
        <m:rPr/>
        <w:rPr>
          <w:rFonts w:hint="default"/>
          <w:lang w:val="en-US" w:eastAsia="zh-CN"/>
        </w:rPr>
        <w:t>→ Pool</w:t>
      </w:r>
    </w:p>
    <w:p w14:paraId="47B5B76F">
      <w:pPr>
        <w:numPr>
          <w:numId w:val="0"/>
        </w:numPr>
        <m:rPr/>
        <w:rPr>
          <w:rFonts w:hint="default"/>
          <w:lang w:val="en-US" w:eastAsia="zh-CN"/>
        </w:rPr>
      </w:pPr>
      <w:r>
        <m:rPr/>
        <w:rPr>
          <w:rFonts w:hint="default"/>
          <w:lang w:val="en-US" w:eastAsia="zh-CN"/>
        </w:rPr>
        <w:t>→ Conv128</w:t>
      </w:r>
    </w:p>
    <w:p w14:paraId="7364286A">
      <w:pPr>
        <w:numPr>
          <w:numId w:val="0"/>
        </w:numPr>
        <m:rPr/>
        <w:rPr>
          <w:rFonts w:hint="default"/>
          <w:lang w:val="en-US" w:eastAsia="zh-CN"/>
        </w:rPr>
      </w:pPr>
      <w:r>
        <m:rPr/>
        <w:rPr>
          <w:rFonts w:hint="default"/>
          <w:lang w:val="en-US" w:eastAsia="zh-CN"/>
        </w:rPr>
        <w:t>→ GAP</w:t>
      </w:r>
    </w:p>
    <w:p w14:paraId="54496061">
      <w:pPr>
        <w:numPr>
          <w:numId w:val="0"/>
        </w:numPr>
        <m:rPr/>
        <w:rPr>
          <w:rFonts w:hint="default"/>
          <w:lang w:val="en-US" w:eastAsia="zh-CN"/>
        </w:rPr>
      </w:pPr>
      <w:r>
        <m:rPr/>
        <w:rPr>
          <w:rFonts w:hint="default"/>
          <w:lang w:val="en-US" w:eastAsia="zh-CN"/>
        </w:rPr>
        <w:t>→ Dropout</w:t>
      </w:r>
    </w:p>
    <w:p w14:paraId="372D31FE">
      <w:pPr>
        <w:numPr>
          <w:numId w:val="0"/>
        </w:numPr>
        <m:rPr/>
        <w:rPr>
          <w:rFonts w:hint="default"/>
          <w:lang w:val="en-US" w:eastAsia="zh-CN"/>
        </w:rPr>
      </w:pPr>
      <w:r>
        <m:rPr/>
        <w:rPr>
          <w:rFonts w:hint="default"/>
          <w:lang w:val="en-US" w:eastAsia="zh-CN"/>
        </w:rPr>
        <w:t>→ 43 logits</w:t>
      </w:r>
    </w:p>
    <w:p w14:paraId="43B3FD86">
      <w:pPr>
        <w:numPr>
          <w:numId w:val="0"/>
        </w:numPr>
        <m:rPr/>
        <w:rPr>
          <w:rFonts w:hint="default"/>
          <w:lang w:val="en-US" w:eastAsia="zh-CN"/>
        </w:rPr>
      </w:pPr>
      <w:r>
        <m:rPr/>
        <w:rPr>
          <w:rFonts w:hint="eastAsia"/>
          <w:lang w:val="en-US" w:eastAsia="zh-CN"/>
        </w:rPr>
        <w:t>3、统一实验配置</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6075"/>
      </w:tblGrid>
      <w:tr w14:paraId="63D2B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F014FC3">
            <w:pPr>
              <w:keepNext w:val="0"/>
              <w:keepLines w:val="0"/>
              <w:widowControl/>
              <w:suppressLineNumbers w:val="0"/>
              <w:jc w:val="center"/>
              <w:rPr>
                <w:b/>
                <w:bCs/>
              </w:rPr>
            </w:pPr>
            <w:r>
              <w:rPr>
                <w:rFonts w:ascii="宋体" w:hAnsi="宋体" w:eastAsia="宋体" w:cs="宋体"/>
                <w:b/>
                <w:bCs/>
                <w:kern w:val="0"/>
                <w:sz w:val="24"/>
                <w:szCs w:val="24"/>
                <w:lang w:val="en-US" w:eastAsia="zh-CN" w:bidi="ar"/>
              </w:rPr>
              <w:t>Configuration</w:t>
            </w:r>
          </w:p>
        </w:tc>
        <w:tc>
          <w:tcPr>
            <w:tcW w:w="0" w:type="auto"/>
            <w:shd w:val="clear"/>
            <w:vAlign w:val="center"/>
          </w:tcPr>
          <w:p w14:paraId="17F3AFB8">
            <w:pPr>
              <w:keepNext w:val="0"/>
              <w:keepLines w:val="0"/>
              <w:widowControl/>
              <w:suppressLineNumbers w:val="0"/>
              <w:jc w:val="center"/>
              <w:rPr>
                <w:b/>
                <w:bCs/>
              </w:rPr>
            </w:pPr>
            <w:r>
              <w:rPr>
                <w:rFonts w:ascii="宋体" w:hAnsi="宋体" w:eastAsia="宋体" w:cs="宋体"/>
                <w:b/>
                <w:bCs/>
                <w:kern w:val="0"/>
                <w:sz w:val="24"/>
                <w:szCs w:val="24"/>
                <w:lang w:val="en-US" w:eastAsia="zh-CN" w:bidi="ar"/>
              </w:rPr>
              <w:t>Value</w:t>
            </w:r>
          </w:p>
        </w:tc>
      </w:tr>
      <w:tr w14:paraId="0FBE0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C907A9">
            <w:pPr>
              <w:keepNext w:val="0"/>
              <w:keepLines w:val="0"/>
              <w:widowControl/>
              <w:suppressLineNumbers w:val="0"/>
              <w:jc w:val="left"/>
            </w:pPr>
            <w:r>
              <w:rPr>
                <w:rFonts w:ascii="宋体" w:hAnsi="宋体" w:eastAsia="宋体" w:cs="宋体"/>
                <w:kern w:val="0"/>
                <w:sz w:val="24"/>
                <w:szCs w:val="24"/>
                <w:lang w:val="en-US" w:eastAsia="zh-CN" w:bidi="ar"/>
              </w:rPr>
              <w:t>Dataset</w:t>
            </w:r>
          </w:p>
        </w:tc>
        <w:tc>
          <w:tcPr>
            <w:tcW w:w="0" w:type="auto"/>
            <w:shd w:val="clear"/>
            <w:vAlign w:val="center"/>
          </w:tcPr>
          <w:p w14:paraId="38A208D0">
            <w:pPr>
              <w:keepNext w:val="0"/>
              <w:keepLines w:val="0"/>
              <w:widowControl/>
              <w:suppressLineNumbers w:val="0"/>
              <w:jc w:val="left"/>
            </w:pPr>
            <w:r>
              <w:rPr>
                <w:rFonts w:ascii="宋体" w:hAnsi="宋体" w:eastAsia="宋体" w:cs="宋体"/>
                <w:kern w:val="0"/>
                <w:sz w:val="24"/>
                <w:szCs w:val="24"/>
                <w:lang w:val="en-US" w:eastAsia="zh-CN" w:bidi="ar"/>
              </w:rPr>
              <w:t>GTSRB</w:t>
            </w:r>
          </w:p>
        </w:tc>
      </w:tr>
      <w:tr w14:paraId="1516A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F2672D">
            <w:pPr>
              <w:keepNext w:val="0"/>
              <w:keepLines w:val="0"/>
              <w:widowControl/>
              <w:suppressLineNumbers w:val="0"/>
              <w:jc w:val="left"/>
            </w:pPr>
            <w:r>
              <w:rPr>
                <w:rFonts w:ascii="宋体" w:hAnsi="宋体" w:eastAsia="宋体" w:cs="宋体"/>
                <w:kern w:val="0"/>
                <w:sz w:val="24"/>
                <w:szCs w:val="24"/>
                <w:lang w:val="en-US" w:eastAsia="zh-CN" w:bidi="ar"/>
              </w:rPr>
              <w:t>Number of classes</w:t>
            </w:r>
          </w:p>
        </w:tc>
        <w:tc>
          <w:tcPr>
            <w:tcW w:w="0" w:type="auto"/>
            <w:shd w:val="clear"/>
            <w:vAlign w:val="center"/>
          </w:tcPr>
          <w:p w14:paraId="0513F748">
            <w:pPr>
              <w:keepNext w:val="0"/>
              <w:keepLines w:val="0"/>
              <w:widowControl/>
              <w:suppressLineNumbers w:val="0"/>
              <w:jc w:val="left"/>
            </w:pPr>
            <w:r>
              <w:rPr>
                <w:rFonts w:ascii="宋体" w:hAnsi="宋体" w:eastAsia="宋体" w:cs="宋体"/>
                <w:kern w:val="0"/>
                <w:sz w:val="24"/>
                <w:szCs w:val="24"/>
                <w:lang w:val="en-US" w:eastAsia="zh-CN" w:bidi="ar"/>
              </w:rPr>
              <w:t>43</w:t>
            </w:r>
          </w:p>
        </w:tc>
      </w:tr>
      <w:tr w14:paraId="1748C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2A072E">
            <w:pPr>
              <w:keepNext w:val="0"/>
              <w:keepLines w:val="0"/>
              <w:widowControl/>
              <w:suppressLineNumbers w:val="0"/>
              <w:jc w:val="left"/>
            </w:pPr>
            <w:r>
              <w:rPr>
                <w:rFonts w:ascii="宋体" w:hAnsi="宋体" w:eastAsia="宋体" w:cs="宋体"/>
                <w:kern w:val="0"/>
                <w:sz w:val="24"/>
                <w:szCs w:val="24"/>
                <w:lang w:val="en-US" w:eastAsia="zh-CN" w:bidi="ar"/>
              </w:rPr>
              <w:t>Clients</w:t>
            </w:r>
          </w:p>
        </w:tc>
        <w:tc>
          <w:tcPr>
            <w:tcW w:w="0" w:type="auto"/>
            <w:shd w:val="clear"/>
            <w:vAlign w:val="center"/>
          </w:tcPr>
          <w:p w14:paraId="252C1162">
            <w:pPr>
              <w:keepNext w:val="0"/>
              <w:keepLines w:val="0"/>
              <w:widowControl/>
              <w:suppressLineNumbers w:val="0"/>
              <w:jc w:val="left"/>
            </w:pPr>
            <w:r>
              <w:rPr>
                <w:rFonts w:ascii="宋体" w:hAnsi="宋体" w:eastAsia="宋体" w:cs="宋体"/>
                <w:kern w:val="0"/>
                <w:sz w:val="24"/>
                <w:szCs w:val="24"/>
                <w:lang w:val="en-US" w:eastAsia="zh-CN" w:bidi="ar"/>
              </w:rPr>
              <w:t>5</w:t>
            </w:r>
          </w:p>
        </w:tc>
      </w:tr>
      <w:tr w14:paraId="558A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B97448">
            <w:pPr>
              <w:keepNext w:val="0"/>
              <w:keepLines w:val="0"/>
              <w:widowControl/>
              <w:suppressLineNumbers w:val="0"/>
              <w:jc w:val="left"/>
            </w:pPr>
            <w:r>
              <w:rPr>
                <w:rFonts w:ascii="宋体" w:hAnsi="宋体" w:eastAsia="宋体" w:cs="宋体"/>
                <w:kern w:val="0"/>
                <w:sz w:val="24"/>
                <w:szCs w:val="24"/>
                <w:lang w:val="en-US" w:eastAsia="zh-CN" w:bidi="ar"/>
              </w:rPr>
              <w:t>Clients per round</w:t>
            </w:r>
          </w:p>
        </w:tc>
        <w:tc>
          <w:tcPr>
            <w:tcW w:w="0" w:type="auto"/>
            <w:shd w:val="clear"/>
            <w:vAlign w:val="center"/>
          </w:tcPr>
          <w:p w14:paraId="35FD19C0">
            <w:pPr>
              <w:keepNext w:val="0"/>
              <w:keepLines w:val="0"/>
              <w:widowControl/>
              <w:suppressLineNumbers w:val="0"/>
              <w:jc w:val="left"/>
            </w:pPr>
            <w:r>
              <w:rPr>
                <w:rFonts w:ascii="宋体" w:hAnsi="宋体" w:eastAsia="宋体" w:cs="宋体"/>
                <w:kern w:val="0"/>
                <w:sz w:val="24"/>
                <w:szCs w:val="24"/>
                <w:lang w:val="en-US" w:eastAsia="zh-CN" w:bidi="ar"/>
              </w:rPr>
              <w:t>5</w:t>
            </w:r>
          </w:p>
        </w:tc>
      </w:tr>
      <w:tr w14:paraId="597EA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AEEB54">
            <w:pPr>
              <w:keepNext w:val="0"/>
              <w:keepLines w:val="0"/>
              <w:widowControl/>
              <w:suppressLineNumbers w:val="0"/>
              <w:jc w:val="left"/>
            </w:pPr>
            <w:r>
              <w:rPr>
                <w:rFonts w:ascii="宋体" w:hAnsi="宋体" w:eastAsia="宋体" w:cs="宋体"/>
                <w:kern w:val="0"/>
                <w:sz w:val="24"/>
                <w:szCs w:val="24"/>
                <w:lang w:val="en-US" w:eastAsia="zh-CN" w:bidi="ar"/>
              </w:rPr>
              <w:t>Local epochs</w:t>
            </w:r>
          </w:p>
        </w:tc>
        <w:tc>
          <w:tcPr>
            <w:tcW w:w="0" w:type="auto"/>
            <w:shd w:val="clear"/>
            <w:vAlign w:val="center"/>
          </w:tcPr>
          <w:p w14:paraId="76DF4160">
            <w:pPr>
              <w:keepNext w:val="0"/>
              <w:keepLines w:val="0"/>
              <w:widowControl/>
              <w:suppressLineNumbers w:val="0"/>
              <w:jc w:val="left"/>
            </w:pPr>
            <w:r>
              <w:rPr>
                <w:rFonts w:ascii="宋体" w:hAnsi="宋体" w:eastAsia="宋体" w:cs="宋体"/>
                <w:kern w:val="0"/>
                <w:sz w:val="24"/>
                <w:szCs w:val="24"/>
                <w:lang w:val="en-US" w:eastAsia="zh-CN" w:bidi="ar"/>
              </w:rPr>
              <w:t>1</w:t>
            </w:r>
          </w:p>
        </w:tc>
      </w:tr>
      <w:tr w14:paraId="39085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2CB6F3">
            <w:pPr>
              <w:keepNext w:val="0"/>
              <w:keepLines w:val="0"/>
              <w:widowControl/>
              <w:suppressLineNumbers w:val="0"/>
              <w:jc w:val="left"/>
            </w:pPr>
            <w:r>
              <w:rPr>
                <w:rFonts w:ascii="宋体" w:hAnsi="宋体" w:eastAsia="宋体" w:cs="宋体"/>
                <w:kern w:val="0"/>
                <w:sz w:val="24"/>
                <w:szCs w:val="24"/>
                <w:lang w:val="en-US" w:eastAsia="zh-CN" w:bidi="ar"/>
              </w:rPr>
              <w:t>Batch size</w:t>
            </w:r>
          </w:p>
        </w:tc>
        <w:tc>
          <w:tcPr>
            <w:tcW w:w="0" w:type="auto"/>
            <w:shd w:val="clear"/>
            <w:vAlign w:val="center"/>
          </w:tcPr>
          <w:p w14:paraId="3E7F8DF0">
            <w:pPr>
              <w:keepNext w:val="0"/>
              <w:keepLines w:val="0"/>
              <w:widowControl/>
              <w:suppressLineNumbers w:val="0"/>
              <w:jc w:val="left"/>
            </w:pPr>
            <w:r>
              <w:rPr>
                <w:rFonts w:ascii="宋体" w:hAnsi="宋体" w:eastAsia="宋体" w:cs="宋体"/>
                <w:kern w:val="0"/>
                <w:sz w:val="24"/>
                <w:szCs w:val="24"/>
                <w:lang w:val="en-US" w:eastAsia="zh-CN" w:bidi="ar"/>
              </w:rPr>
              <w:t>64</w:t>
            </w:r>
          </w:p>
        </w:tc>
      </w:tr>
      <w:tr w14:paraId="772FC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DD4B7C">
            <w:pPr>
              <w:keepNext w:val="0"/>
              <w:keepLines w:val="0"/>
              <w:widowControl/>
              <w:suppressLineNumbers w:val="0"/>
              <w:jc w:val="left"/>
            </w:pPr>
            <w:r>
              <w:rPr>
                <w:rFonts w:ascii="宋体" w:hAnsi="宋体" w:eastAsia="宋体" w:cs="宋体"/>
                <w:kern w:val="0"/>
                <w:sz w:val="24"/>
                <w:szCs w:val="24"/>
                <w:lang w:val="en-US" w:eastAsia="zh-CN" w:bidi="ar"/>
              </w:rPr>
              <w:t>Formal rounds</w:t>
            </w:r>
          </w:p>
        </w:tc>
        <w:tc>
          <w:tcPr>
            <w:tcW w:w="0" w:type="auto"/>
            <w:shd w:val="clear"/>
            <w:vAlign w:val="center"/>
          </w:tcPr>
          <w:p w14:paraId="6B5A5143">
            <w:pPr>
              <w:keepNext w:val="0"/>
              <w:keepLines w:val="0"/>
              <w:widowControl/>
              <w:suppressLineNumbers w:val="0"/>
              <w:jc w:val="left"/>
            </w:pPr>
            <w:r>
              <w:rPr>
                <w:rFonts w:ascii="宋体" w:hAnsi="宋体" w:eastAsia="宋体" w:cs="宋体"/>
                <w:kern w:val="0"/>
                <w:sz w:val="24"/>
                <w:szCs w:val="24"/>
                <w:lang w:val="en-US" w:eastAsia="zh-CN" w:bidi="ar"/>
              </w:rPr>
              <w:t>160</w:t>
            </w:r>
          </w:p>
        </w:tc>
      </w:tr>
      <w:tr w14:paraId="0C568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F0CAF7">
            <w:pPr>
              <w:keepNext w:val="0"/>
              <w:keepLines w:val="0"/>
              <w:widowControl/>
              <w:suppressLineNumbers w:val="0"/>
              <w:jc w:val="left"/>
            </w:pPr>
            <w:r>
              <w:rPr>
                <w:rFonts w:ascii="宋体" w:hAnsi="宋体" w:eastAsia="宋体" w:cs="宋体"/>
                <w:kern w:val="0"/>
                <w:sz w:val="24"/>
                <w:szCs w:val="24"/>
                <w:lang w:val="en-US" w:eastAsia="zh-CN" w:bidi="ar"/>
              </w:rPr>
              <w:t>Input size</w:t>
            </w:r>
          </w:p>
        </w:tc>
        <w:tc>
          <w:tcPr>
            <w:tcW w:w="0" w:type="auto"/>
            <w:shd w:val="clear"/>
            <w:vAlign w:val="center"/>
          </w:tcPr>
          <w:p w14:paraId="2DEDECB7">
            <w:pPr>
              <w:keepNext w:val="0"/>
              <w:keepLines w:val="0"/>
              <w:widowControl/>
              <w:suppressLineNumbers w:val="0"/>
              <w:jc w:val="left"/>
            </w:pPr>
            <w:r>
              <w:rPr>
                <w:rFonts w:ascii="宋体" w:hAnsi="宋体" w:eastAsia="宋体" w:cs="宋体"/>
                <w:kern w:val="0"/>
                <w:sz w:val="24"/>
                <w:szCs w:val="24"/>
                <w:lang w:val="en-US" w:eastAsia="zh-CN" w:bidi="ar"/>
              </w:rPr>
              <w:t>(32\times32\times3)</w:t>
            </w:r>
          </w:p>
        </w:tc>
      </w:tr>
      <w:tr w14:paraId="7974D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319C4D">
            <w:pPr>
              <w:keepNext w:val="0"/>
              <w:keepLines w:val="0"/>
              <w:widowControl/>
              <w:suppressLineNumbers w:val="0"/>
              <w:jc w:val="left"/>
            </w:pPr>
            <w:r>
              <w:rPr>
                <w:rFonts w:ascii="宋体" w:hAnsi="宋体" w:eastAsia="宋体" w:cs="宋体"/>
                <w:kern w:val="0"/>
                <w:sz w:val="24"/>
                <w:szCs w:val="24"/>
                <w:lang w:val="en-US" w:eastAsia="zh-CN" w:bidi="ar"/>
              </w:rPr>
              <w:t>Partition seed</w:t>
            </w:r>
          </w:p>
        </w:tc>
        <w:tc>
          <w:tcPr>
            <w:tcW w:w="0" w:type="auto"/>
            <w:shd w:val="clear"/>
            <w:vAlign w:val="center"/>
          </w:tcPr>
          <w:p w14:paraId="5AEF5E9E">
            <w:pPr>
              <w:keepNext w:val="0"/>
              <w:keepLines w:val="0"/>
              <w:widowControl/>
              <w:suppressLineNumbers w:val="0"/>
              <w:jc w:val="left"/>
            </w:pPr>
            <w:r>
              <w:rPr>
                <w:rFonts w:ascii="宋体" w:hAnsi="宋体" w:eastAsia="宋体" w:cs="宋体"/>
                <w:kern w:val="0"/>
                <w:sz w:val="24"/>
                <w:szCs w:val="24"/>
                <w:lang w:val="en-US" w:eastAsia="zh-CN" w:bidi="ar"/>
              </w:rPr>
              <w:t>20260720</w:t>
            </w:r>
          </w:p>
        </w:tc>
      </w:tr>
      <w:tr w14:paraId="250F6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707ECF">
            <w:pPr>
              <w:keepNext w:val="0"/>
              <w:keepLines w:val="0"/>
              <w:widowControl/>
              <w:suppressLineNumbers w:val="0"/>
              <w:jc w:val="left"/>
            </w:pPr>
            <w:r>
              <w:rPr>
                <w:rFonts w:ascii="宋体" w:hAnsi="宋体" w:eastAsia="宋体" w:cs="宋体"/>
                <w:kern w:val="0"/>
                <w:sz w:val="24"/>
                <w:szCs w:val="24"/>
                <w:lang w:val="en-US" w:eastAsia="zh-CN" w:bidi="ar"/>
              </w:rPr>
              <w:t>Evaluation</w:t>
            </w:r>
          </w:p>
        </w:tc>
        <w:tc>
          <w:tcPr>
            <w:tcW w:w="0" w:type="auto"/>
            <w:shd w:val="clear"/>
            <w:vAlign w:val="center"/>
          </w:tcPr>
          <w:p w14:paraId="3552BCEE">
            <w:pPr>
              <w:keepNext w:val="0"/>
              <w:keepLines w:val="0"/>
              <w:widowControl/>
              <w:suppressLineNumbers w:val="0"/>
              <w:jc w:val="left"/>
            </w:pPr>
            <w:r>
              <w:rPr>
                <w:rFonts w:ascii="宋体" w:hAnsi="宋体" w:eastAsia="宋体" w:cs="宋体"/>
                <w:kern w:val="0"/>
                <w:sz w:val="24"/>
                <w:szCs w:val="24"/>
                <w:lang w:val="en-US" w:eastAsia="zh-CN" w:bidi="ar"/>
              </w:rPr>
              <w:t>Accuracy, Macro Accuracy, Loss, Per-class Accuracy</w:t>
            </w:r>
          </w:p>
        </w:tc>
      </w:tr>
    </w:tbl>
    <w:p w14:paraId="30071C17">
      <w:pPr>
        <w:numPr>
          <w:numId w:val="0"/>
        </w:numPr>
        <m:rPr/>
        <w:rPr>
          <w:rFonts w:hint="default"/>
          <w:lang w:val="en-US" w:eastAsia="zh-CN"/>
        </w:rPr>
      </w:pPr>
    </w:p>
    <w:p w14:paraId="2FD4E133">
      <w:pPr>
        <w:numPr>
          <w:numId w:val="0"/>
        </w:numPr>
        <m:rPr/>
        <w:rPr>
          <w:rFonts w:hint="default"/>
          <w:lang w:val="en-US" w:eastAsia="zh-CN"/>
        </w:rPr>
      </w:pPr>
    </w:p>
    <w:p w14:paraId="6EECF936">
      <w:pPr>
        <w:pStyle w:val="2"/>
        <w:bidi w:val="0"/>
        <w:rPr>
          <w:rFonts w:hint="eastAsia"/>
          <w:lang w:val="en-US" w:eastAsia="zh-CN"/>
        </w:rPr>
      </w:pPr>
      <w:r>
        <w:rPr>
          <w:rFonts w:hint="eastAsia"/>
          <w:lang w:val="en-US" w:eastAsia="zh-CN"/>
        </w:rPr>
        <w:t>3 实验结果与分析</w:t>
      </w:r>
    </w:p>
    <w:p w14:paraId="0CAC81E3">
      <w:pPr>
        <w:pStyle w:val="3"/>
        <w:bidi w:val="0"/>
        <w:rPr>
          <w:rFonts w:hint="eastAsia"/>
          <w:lang w:val="en-US" w:eastAsia="zh-CN"/>
        </w:rPr>
      </w:pPr>
      <w:r>
        <w:rPr>
          <w:rFonts w:hint="eastAsia"/>
          <w:lang w:val="en-US" w:eastAsia="zh-CN"/>
        </w:rPr>
        <w:t>3.1 IID条件下的基线结果</w:t>
      </w:r>
    </w:p>
    <w:p w14:paraId="01969710">
      <w:pPr>
        <w:rPr>
          <w:rFonts w:hint="default"/>
          <w:lang w:val="en-US" w:eastAsia="zh-CN"/>
        </w:rPr>
      </w:pPr>
      <w:r>
        <w:rPr>
          <w:rFonts w:hint="default"/>
          <w:lang w:val="en-US" w:eastAsia="zh-CN"/>
        </w:rPr>
        <w:t>本研究首先在按类别分层划分的近似IID条件下，比较了集中式训练、客户端独立训练和联邦平均三种训练方式。五个客户端的数据规模基本相同，并且每个客户端均包含全部43个交通标志类别，因此该阶段主要用于验证联邦学习流程是否能够正常利用多个客户端的数据。</w:t>
      </w:r>
    </w:p>
    <w:p w14:paraId="33F545BB">
      <w:pPr>
        <w:rPr>
          <w:rFonts w:hint="default"/>
          <w:lang w:val="en-US" w:eastAsia="zh-CN"/>
        </w:rPr>
      </w:pPr>
      <w:r>
        <w:rPr>
          <w:rFonts w:hint="default"/>
          <w:lang w:val="en-US" w:eastAsia="zh-CN"/>
        </w:rPr>
        <w:t>集中式模型在官方测试集上取得了91.16%的测试准确率和88.44%的宏平均类别准确率。五个Local-only模型的平均测试准确率仅为60.11%±1.03%，宏平均类别准确率为49.67%±1.37%。相比之下，经过160轮通信训练的FedAvg模型取得了92.60%的测试准确率和89.44%的宏平均类别准确率。</w:t>
      </w:r>
    </w:p>
    <w:p w14:paraId="0E6BA245">
      <w:pPr>
        <w:rPr>
          <w:rFonts w:hint="default"/>
          <w:lang w:val="en-US" w:eastAsia="zh-CN"/>
        </w:rPr>
      </w:pPr>
      <w:r>
        <w:rPr>
          <w:rFonts w:hint="default"/>
          <w:lang w:val="en-US" w:eastAsia="zh-CN"/>
        </w:rPr>
        <w:t>这些结果表明，仅依赖单个客户端约五分之一的训练数据会明显限制模型的泛化能力，而联邦参数聚合能够在不集中原始图像的情况下整合五个客户端的训练信息，使全局模型达到与集中式训练相近的性能。因此，IID 阶段观察到的总体关系为：</w:t>
      </w:r>
    </w:p>
    <w:p w14:paraId="4FD8CE63">
      <w:pPr>
        <m:rPr/>
        <w:rPr>
          <w:rFonts w:hint="default" w:hAnsi="Cambria Math" w:cstheme="minorBidi"/>
          <w:i w:val="0"/>
          <w:kern w:val="2"/>
          <w:sz w:val="21"/>
          <w:szCs w:val="24"/>
          <w:lang w:val="en-US" w:eastAsia="zh-CN" w:bidi="ar-SA"/>
        </w:rPr>
      </w:pPr>
      <m:oMathPara>
        <m:oMath>
          <m:r>
            <m:rPr/>
            <w:rPr>
              <w:rFonts w:hint="default" w:ascii="Cambria Math" w:hAnsi="Cambria Math"/>
              <w:sz w:val="21"/>
            </w:rPr>
            <m:t>Local−only&lt;FedAvg≈Centralized</m:t>
          </m:r>
        </m:oMath>
      </m:oMathPara>
    </w:p>
    <w:p w14:paraId="73667651">
      <w:pPr>
        <m:rPr/>
        <w:rPr>
          <w:rFonts w:hint="default" w:hAnsi="Cambria Math" w:cstheme="minorBidi"/>
          <w:i w:val="0"/>
          <w:kern w:val="2"/>
          <w:sz w:val="21"/>
          <w:szCs w:val="24"/>
          <w:lang w:val="en-US" w:eastAsia="zh-CN" w:bidi="ar-SA"/>
        </w:rPr>
      </w:pPr>
      <w:r>
        <m:rPr/>
        <w:rPr>
          <w:rFonts w:hint="default" w:hAnsi="Cambria Math" w:cstheme="minorBidi"/>
          <w:i w:val="0"/>
          <w:kern w:val="2"/>
          <w:sz w:val="21"/>
          <w:szCs w:val="24"/>
          <w:lang w:val="en-US" w:eastAsia="zh-CN" w:bidi="ar-SA"/>
        </w:rPr>
        <w:t>需要指出的是，FedAvg和集中式模型的训练预算并不完全相同。集中式模型训练了30个epoch，而FedAvg进行了160个通信轮次，并且每个客户端每轮完成一个本地epoch。因此，FedAvg略高于集中式模型的数值不能被解释为联邦学习在相同计算预算下优于集中式训练。更准确的结论是：在当前各自的训练设置下，充分训练后的FedAvg达到了与集中式训练相当的测试性能。</w:t>
      </w:r>
    </w:p>
    <w:p w14:paraId="786C44A6">
      <w:pPr>
        <m:rPr/>
        <w:rPr>
          <w:rFonts w:hint="eastAsia"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Table 1. Performance comparison under the IID partition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AB0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6413FD0">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Method</w:t>
            </w:r>
          </w:p>
        </w:tc>
        <w:tc>
          <w:tcPr>
            <w:tcW w:w="2841" w:type="dxa"/>
          </w:tcPr>
          <w:p w14:paraId="5304C468">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Test Accuracy</w:t>
            </w:r>
          </w:p>
        </w:tc>
        <w:tc>
          <w:tcPr>
            <w:tcW w:w="2841" w:type="dxa"/>
          </w:tcPr>
          <w:p w14:paraId="170FE29F">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Macro Class Accuracy</w:t>
            </w:r>
          </w:p>
        </w:tc>
      </w:tr>
      <w:tr w14:paraId="520A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95CC4F5">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Centralized</w:t>
            </w:r>
          </w:p>
        </w:tc>
        <w:tc>
          <w:tcPr>
            <w:tcW w:w="2841" w:type="dxa"/>
          </w:tcPr>
          <w:p w14:paraId="40EBFE80">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91.16%</w:t>
            </w:r>
          </w:p>
        </w:tc>
        <w:tc>
          <w:tcPr>
            <w:tcW w:w="2841" w:type="dxa"/>
          </w:tcPr>
          <w:p w14:paraId="08874E60">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88.44%</w:t>
            </w:r>
          </w:p>
        </w:tc>
      </w:tr>
      <w:tr w14:paraId="5E67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9425466">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Localy-only Mean</w:t>
            </w:r>
          </w:p>
        </w:tc>
        <w:tc>
          <w:tcPr>
            <w:tcW w:w="2841" w:type="dxa"/>
          </w:tcPr>
          <w:p w14:paraId="761CC56C">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60.11%</w:t>
            </w:r>
          </w:p>
        </w:tc>
        <w:tc>
          <w:tcPr>
            <w:tcW w:w="2841" w:type="dxa"/>
          </w:tcPr>
          <w:p w14:paraId="066D6028">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49.67%</w:t>
            </w:r>
          </w:p>
        </w:tc>
      </w:tr>
      <w:tr w14:paraId="0364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96314DD">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FedAvg</w:t>
            </w:r>
          </w:p>
        </w:tc>
        <w:tc>
          <w:tcPr>
            <w:tcW w:w="2841" w:type="dxa"/>
          </w:tcPr>
          <w:p w14:paraId="177436AD">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92.60%</w:t>
            </w:r>
          </w:p>
        </w:tc>
        <w:tc>
          <w:tcPr>
            <w:tcW w:w="2841" w:type="dxa"/>
          </w:tcPr>
          <w:p w14:paraId="3889D6C2">
            <w:pPr>
              <m:rPr/>
              <w:rPr>
                <w:rFonts w:hint="default" w:hAnsi="Cambria Math" w:cstheme="minorBidi"/>
                <w:i w:val="0"/>
                <w:kern w:val="2"/>
                <w:sz w:val="21"/>
                <w:szCs w:val="24"/>
                <w:vertAlign w:val="baseline"/>
                <w:lang w:val="en-US" w:eastAsia="zh-CN" w:bidi="ar-SA"/>
              </w:rPr>
            </w:pPr>
            <w:r>
              <m:rPr/>
              <w:rPr>
                <w:rFonts w:hint="eastAsia" w:hAnsi="Cambria Math" w:cstheme="minorBidi"/>
                <w:i w:val="0"/>
                <w:kern w:val="2"/>
                <w:sz w:val="21"/>
                <w:szCs w:val="24"/>
                <w:vertAlign w:val="baseline"/>
                <w:lang w:val="en-US" w:eastAsia="zh-CN" w:bidi="ar-SA"/>
              </w:rPr>
              <w:t>89.44%</w:t>
            </w:r>
          </w:p>
        </w:tc>
      </w:tr>
    </w:tbl>
    <w:p w14:paraId="2CA0BFF3">
      <w:pPr>
        <w:pStyle w:val="3"/>
        <w:bidi w:val="0"/>
        <m:rPr/>
        <w:rPr>
          <w:rFonts w:hint="eastAsia"/>
          <w:lang w:val="en-US" w:eastAsia="zh-CN"/>
        </w:rPr>
      </w:pPr>
      <w:r>
        <m:rPr/>
        <w:rPr>
          <w:rFonts w:hint="eastAsia"/>
          <w:lang w:val="en-US" w:eastAsia="zh-CN"/>
        </w:rPr>
        <w:t>3.2 数据异构程度对FedAvg的影响</w:t>
      </w:r>
    </w:p>
    <w:p w14:paraId="02B41136">
      <w:pPr>
        <m:rPr/>
        <w:rPr>
          <w:rFonts w:hint="default"/>
          <w:lang w:val="en-US" w:eastAsia="zh-CN"/>
        </w:rPr>
      </w:pPr>
      <w:r>
        <m:rPr/>
        <w:rPr>
          <w:rFonts w:hint="default"/>
          <w:lang w:val="en-US" w:eastAsia="zh-CN"/>
        </w:rPr>
        <w:t>在完成IID基线后，本研究进一步使用Dirichlet分布构造不同程度的客户端标签分布偏斜。设置的参数包括α=10、1.0、0.5和0.1。α越大，各客户端的类别分布越接近整体分布；α越小，部分类别越容易集中在少数客户端。</w:t>
      </w:r>
    </w:p>
    <w:p w14:paraId="00878B6F">
      <w:pPr>
        <m:rPr/>
        <w:rPr>
          <w:rFonts w:hint="default"/>
          <w:lang w:val="en-US" w:eastAsia="zh-CN"/>
        </w:rPr>
      </w:pPr>
      <w:r>
        <m:rPr/>
        <w:rPr>
          <w:rFonts w:hint="default"/>
          <w:lang w:val="en-US" w:eastAsia="zh-CN"/>
        </w:rPr>
        <w:t>客户端类别比例热力图清楚展示了这种变化。在α=10条件下，五个客户端在大多数类别上的样本比例相对接近；在α=0.1条件下，热力图中出现了明显的局部高值和大量接近零的区域，说明许多类别主要由个别客户端持有，而其他客户端几乎没有相应样本。</w:t>
      </w:r>
    </w:p>
    <w:p w14:paraId="41A60E9B">
      <w:pPr>
        <m:rPr/>
        <w:rPr>
          <w:rFonts w:hint="default"/>
          <w:lang w:val="en-US" w:eastAsia="zh-CN"/>
        </w:rPr>
      </w:pPr>
      <w:r>
        <m:rPr/>
        <w:rPr>
          <w:rFonts w:hint="default"/>
          <w:lang w:val="en-US" w:eastAsia="zh-CN"/>
        </w:rPr>
        <w:drawing>
          <wp:inline distT="0" distB="0" distL="114300" distR="114300">
            <wp:extent cx="5270500" cy="1525270"/>
            <wp:effectExtent l="0" t="0" r="0" b="11430"/>
            <wp:docPr id="1" name="图片 1" descr="datagtsrbfederated_dirichlet_alpha10_5clients_seed20260720_client_class_distribution_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atagtsrbfederated_dirichlet_alpha10_5clients_seed20260720_client_class_distribution_ratio"/>
                    <pic:cNvPicPr>
                      <a:picLocks noChangeAspect="1"/>
                    </pic:cNvPicPr>
                  </pic:nvPicPr>
                  <pic:blipFill>
                    <a:blip r:embed="rId4"/>
                    <a:stretch>
                      <a:fillRect/>
                    </a:stretch>
                  </pic:blipFill>
                  <pic:spPr>
                    <a:xfrm>
                      <a:off x="0" y="0"/>
                      <a:ext cx="5270500" cy="1525270"/>
                    </a:xfrm>
                    <a:prstGeom prst="rect">
                      <a:avLst/>
                    </a:prstGeom>
                  </pic:spPr>
                </pic:pic>
              </a:graphicData>
            </a:graphic>
          </wp:inline>
        </w:drawing>
      </w:r>
    </w:p>
    <w:p w14:paraId="0003E987">
      <w:pPr>
        <m:rPr/>
        <w:rPr>
          <w:rFonts w:hint="default"/>
          <w:lang w:val="en-US" w:eastAsia="zh-CN"/>
        </w:rPr>
      </w:pPr>
      <w:r>
        <m:rPr/>
        <w:rPr>
          <w:rFonts w:hint="default"/>
          <w:lang w:val="en-US" w:eastAsia="zh-CN"/>
        </w:rPr>
        <w:drawing>
          <wp:inline distT="0" distB="0" distL="114300" distR="114300">
            <wp:extent cx="5270500" cy="1525270"/>
            <wp:effectExtent l="0" t="0" r="0" b="11430"/>
            <wp:docPr id="2" name="图片 2" descr="datagtsrbfederated_dirichlet_alpha01_5clients_seed20260720_client_class_distribution_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atagtsrbfederated_dirichlet_alpha01_5clients_seed20260720_client_class_distribution_ratio"/>
                    <pic:cNvPicPr>
                      <a:picLocks noChangeAspect="1"/>
                    </pic:cNvPicPr>
                  </pic:nvPicPr>
                  <pic:blipFill>
                    <a:blip r:embed="rId5"/>
                    <a:stretch>
                      <a:fillRect/>
                    </a:stretch>
                  </pic:blipFill>
                  <pic:spPr>
                    <a:xfrm>
                      <a:off x="0" y="0"/>
                      <a:ext cx="5270500" cy="1525270"/>
                    </a:xfrm>
                    <a:prstGeom prst="rect">
                      <a:avLst/>
                    </a:prstGeom>
                  </pic:spPr>
                </pic:pic>
              </a:graphicData>
            </a:graphic>
          </wp:inline>
        </w:drawing>
      </w:r>
    </w:p>
    <w:p w14:paraId="0DB03AE5">
      <w:pPr>
        <w:jc w:val="center"/>
        <m:rPr/>
        <w:rPr>
          <w:rFonts w:hint="eastAsia"/>
          <w:lang w:val="en-US" w:eastAsia="zh-CN"/>
        </w:rPr>
      </w:pPr>
      <w:r>
        <m:rPr/>
        <w:rPr>
          <w:rFonts w:hint="eastAsia"/>
          <w:lang w:val="en-US" w:eastAsia="zh-CN"/>
        </w:rPr>
        <w:t>Figure 1. Client-level class distributions under mild and extreme label heterogeneity</w:t>
      </w:r>
    </w:p>
    <w:p w14:paraId="5550FD7A">
      <w:pPr>
        <w:jc w:val="center"/>
        <m:rPr/>
        <w:rPr>
          <w:rFonts w:hint="eastAsia"/>
          <w:lang w:val="en-US" w:eastAsia="zh-CN"/>
        </w:rPr>
      </w:pPr>
      <w:r>
        <m:rPr/>
        <w:rPr>
          <w:rFonts w:hint="eastAsia"/>
          <w:lang w:val="en-US" w:eastAsia="zh-CN"/>
        </w:rPr>
        <w:t>(</w:t>
      </w:r>
      <w:r>
        <m:rPr/>
        <w:rPr>
          <w:rFonts w:hint="default"/>
          <w:lang w:val="en-US" w:eastAsia="zh-CN"/>
        </w:rPr>
        <w:t>Larger Dirichlet α produces a more balanced distribution, whereas α=0.1 concentrates individual classes on a small number of clients.</w:t>
      </w:r>
      <w:r>
        <m:rPr/>
        <w:rPr>
          <w:rFonts w:hint="eastAsia"/>
          <w:lang w:val="en-US" w:eastAsia="zh-CN"/>
        </w:rPr>
        <w:t>)</w:t>
      </w:r>
    </w:p>
    <w:p w14:paraId="7A0CC44C">
      <w:pPr>
        <w:jc w:val="both"/>
        <m:rPr/>
        <w:rPr>
          <w:rFonts w:hint="default"/>
          <w:lang w:val="en-US" w:eastAsia="zh-CN"/>
        </w:rPr>
      </w:pPr>
      <w:r>
        <m:rPr/>
        <w:rPr>
          <w:rFonts w:hint="default"/>
          <w:lang w:val="en-US" w:eastAsia="zh-CN"/>
        </w:rPr>
        <w:t>随着数据异构程度增加，Mean Jensen–Shannon divergence从IID条件下的0增长到α=0.1条件下的0.3148。FedAvg 在不同划分上的测试结果如下</w:t>
      </w:r>
      <w:r>
        <m:rPr/>
        <w:rPr>
          <w:rFonts w:hint="eastAsia"/>
          <w:lang w:val="en-US" w:eastAsia="zh-CN"/>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22"/>
        <w:gridCol w:w="2217"/>
        <w:gridCol w:w="2006"/>
        <w:gridCol w:w="2194"/>
      </w:tblGrid>
      <w:tr w14:paraId="4A8E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tcPr>
          <w:p w14:paraId="05799A99">
            <w:pPr>
              <w:jc w:val="both"/>
              <m:rPr/>
              <w:rPr>
                <w:rFonts w:hint="default"/>
                <w:vertAlign w:val="baseline"/>
                <w:lang w:val="en-US" w:eastAsia="zh-CN"/>
              </w:rPr>
            </w:pPr>
            <w:r>
              <m:rPr/>
              <w:rPr>
                <w:rFonts w:hint="eastAsia"/>
                <w:vertAlign w:val="baseline"/>
                <w:lang w:val="en-US" w:eastAsia="zh-CN"/>
              </w:rPr>
              <w:t>Partition</w:t>
            </w:r>
          </w:p>
        </w:tc>
        <w:tc>
          <w:tcPr>
            <w:tcW w:w="2217" w:type="dxa"/>
          </w:tcPr>
          <w:p w14:paraId="77BAFF4D">
            <w:pPr>
              <w:jc w:val="both"/>
              <m:rPr/>
              <w:rPr>
                <w:rFonts w:hint="default"/>
                <w:vertAlign w:val="baseline"/>
                <w:lang w:val="en-US" w:eastAsia="zh-CN"/>
              </w:rPr>
            </w:pPr>
            <w:r>
              <m:rPr/>
              <w:rPr>
                <w:rFonts w:hint="eastAsia"/>
                <w:vertAlign w:val="baseline"/>
                <w:lang w:val="en-US" w:eastAsia="zh-CN"/>
              </w:rPr>
              <w:t>Mean JS</w:t>
            </w:r>
          </w:p>
        </w:tc>
        <w:tc>
          <w:tcPr>
            <w:tcW w:w="2006" w:type="dxa"/>
          </w:tcPr>
          <w:p w14:paraId="2FA0D885">
            <w:pPr>
              <w:jc w:val="both"/>
              <m:rPr/>
              <w:rPr>
                <w:rFonts w:hint="default"/>
                <w:vertAlign w:val="baseline"/>
                <w:lang w:val="en-US" w:eastAsia="zh-CN"/>
              </w:rPr>
            </w:pPr>
            <w:r>
              <m:rPr/>
              <w:rPr>
                <w:rFonts w:hint="eastAsia"/>
                <w:vertAlign w:val="baseline"/>
                <w:lang w:val="en-US" w:eastAsia="zh-CN"/>
              </w:rPr>
              <w:t>Test Accuracy</w:t>
            </w:r>
          </w:p>
        </w:tc>
        <w:tc>
          <w:tcPr>
            <w:tcW w:w="2194" w:type="dxa"/>
          </w:tcPr>
          <w:p w14:paraId="4916F770">
            <w:pPr>
              <w:jc w:val="both"/>
              <m:rPr/>
              <w:rPr>
                <w:rFonts w:hint="default"/>
                <w:vertAlign w:val="baseline"/>
                <w:lang w:val="en-US" w:eastAsia="zh-CN"/>
              </w:rPr>
            </w:pPr>
            <w:r>
              <m:rPr/>
              <w:rPr>
                <w:rFonts w:hint="eastAsia"/>
                <w:vertAlign w:val="baseline"/>
                <w:lang w:val="en-US" w:eastAsia="zh-CN"/>
              </w:rPr>
              <w:t>Macro Class Accuracy</w:t>
            </w:r>
          </w:p>
        </w:tc>
      </w:tr>
      <w:tr w14:paraId="3232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22" w:type="dxa"/>
          </w:tcPr>
          <w:p w14:paraId="3CBF13CE">
            <w:pPr>
              <w:jc w:val="both"/>
              <m:rPr/>
              <w:rPr>
                <w:rFonts w:hint="default"/>
                <w:vertAlign w:val="baseline"/>
                <w:lang w:val="en-US" w:eastAsia="zh-CN"/>
              </w:rPr>
            </w:pPr>
            <w:r>
              <m:rPr/>
              <w:rPr>
                <w:rFonts w:hint="eastAsia"/>
                <w:vertAlign w:val="baseline"/>
                <w:lang w:val="en-US" w:eastAsia="zh-CN"/>
              </w:rPr>
              <w:t>IID</w:t>
            </w:r>
          </w:p>
        </w:tc>
        <w:tc>
          <w:tcPr>
            <w:tcW w:w="2217" w:type="dxa"/>
          </w:tcPr>
          <w:p w14:paraId="3B3DFD02">
            <w:pPr>
              <w:jc w:val="both"/>
              <m:rPr/>
              <w:rPr>
                <w:rFonts w:hint="default"/>
                <w:vertAlign w:val="baseline"/>
                <w:lang w:val="en-US" w:eastAsia="zh-CN"/>
              </w:rPr>
            </w:pPr>
            <w:r>
              <m:rPr/>
              <w:rPr>
                <w:rFonts w:hint="eastAsia"/>
                <w:vertAlign w:val="baseline"/>
                <w:lang w:val="en-US" w:eastAsia="zh-CN"/>
              </w:rPr>
              <w:t>0.0000</w:t>
            </w:r>
          </w:p>
        </w:tc>
        <w:tc>
          <w:tcPr>
            <w:tcW w:w="2006" w:type="dxa"/>
          </w:tcPr>
          <w:p w14:paraId="6CC69FAC">
            <w:pPr>
              <w:jc w:val="both"/>
              <m:rPr/>
              <w:rPr>
                <w:rFonts w:hint="default"/>
                <w:vertAlign w:val="baseline"/>
                <w:lang w:val="en-US" w:eastAsia="zh-CN"/>
              </w:rPr>
            </w:pPr>
            <w:r>
              <m:rPr/>
              <w:rPr>
                <w:rFonts w:hint="eastAsia"/>
                <w:vertAlign w:val="baseline"/>
                <w:lang w:val="en-US" w:eastAsia="zh-CN"/>
              </w:rPr>
              <w:t>92.60%</w:t>
            </w:r>
          </w:p>
        </w:tc>
        <w:tc>
          <w:tcPr>
            <w:tcW w:w="2194" w:type="dxa"/>
          </w:tcPr>
          <w:p w14:paraId="5830EA07">
            <w:pPr>
              <w:jc w:val="both"/>
              <m:rPr/>
              <w:rPr>
                <w:rFonts w:hint="default"/>
                <w:vertAlign w:val="baseline"/>
                <w:lang w:val="en-US" w:eastAsia="zh-CN"/>
              </w:rPr>
            </w:pPr>
            <w:r>
              <m:rPr/>
              <w:rPr>
                <w:rFonts w:hint="eastAsia"/>
                <w:vertAlign w:val="baseline"/>
                <w:lang w:val="en-US" w:eastAsia="zh-CN"/>
              </w:rPr>
              <w:t>89.44%</w:t>
            </w:r>
          </w:p>
        </w:tc>
      </w:tr>
      <w:tr w14:paraId="078D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22" w:type="dxa"/>
          </w:tcPr>
          <w:p w14:paraId="49947102">
            <w:pPr>
              <w:jc w:val="both"/>
              <m:rPr/>
              <w:rPr>
                <w:rFonts w:hint="default"/>
                <w:vertAlign w:val="baseline"/>
                <w:lang w:val="en-US" w:eastAsia="zh-CN"/>
              </w:rPr>
            </w:pPr>
            <w:r>
              <m:rPr/>
              <w:rPr>
                <w:rFonts w:hint="default" w:ascii="Arial" w:hAnsi="Arial" w:cs="Arial"/>
                <w:vertAlign w:val="baseline"/>
                <w:lang w:val="en-US" w:eastAsia="zh-CN"/>
              </w:rPr>
              <w:t>α</w:t>
            </w:r>
            <w:r>
              <m:rPr/>
              <w:rPr>
                <w:rFonts w:hint="eastAsia" w:ascii="Arial" w:hAnsi="Arial" w:cs="Arial"/>
                <w:vertAlign w:val="baseline"/>
                <w:lang w:val="en-US" w:eastAsia="zh-CN"/>
              </w:rPr>
              <w:t xml:space="preserve"> </w:t>
            </w:r>
            <w:r>
              <m:rPr/>
              <w:rPr>
                <w:rFonts w:hint="eastAsia"/>
                <w:vertAlign w:val="baseline"/>
                <w:lang w:val="en-US" w:eastAsia="zh-CN"/>
              </w:rPr>
              <w:t>= 10</w:t>
            </w:r>
          </w:p>
        </w:tc>
        <w:tc>
          <w:tcPr>
            <w:tcW w:w="2217" w:type="dxa"/>
          </w:tcPr>
          <w:p w14:paraId="2310A99A">
            <w:pPr>
              <w:jc w:val="both"/>
              <m:rPr/>
              <w:rPr>
                <w:rFonts w:hint="default"/>
                <w:vertAlign w:val="baseline"/>
                <w:lang w:val="en-US" w:eastAsia="zh-CN"/>
              </w:rPr>
            </w:pPr>
            <w:r>
              <m:rPr/>
              <w:rPr>
                <w:rFonts w:hint="eastAsia"/>
                <w:vertAlign w:val="baseline"/>
                <w:lang w:val="en-US" w:eastAsia="zh-CN"/>
              </w:rPr>
              <w:t>0.0085</w:t>
            </w:r>
          </w:p>
        </w:tc>
        <w:tc>
          <w:tcPr>
            <w:tcW w:w="2006" w:type="dxa"/>
          </w:tcPr>
          <w:p w14:paraId="5C6A5920">
            <w:pPr>
              <w:jc w:val="both"/>
              <m:rPr/>
              <w:rPr>
                <w:rFonts w:hint="default"/>
                <w:vertAlign w:val="baseline"/>
                <w:lang w:val="en-US" w:eastAsia="zh-CN"/>
              </w:rPr>
            </w:pPr>
            <w:r>
              <m:rPr/>
              <w:rPr>
                <w:rFonts w:hint="eastAsia"/>
                <w:vertAlign w:val="baseline"/>
                <w:lang w:val="en-US" w:eastAsia="zh-CN"/>
              </w:rPr>
              <w:t>92.39%</w:t>
            </w:r>
          </w:p>
        </w:tc>
        <w:tc>
          <w:tcPr>
            <w:tcW w:w="2194" w:type="dxa"/>
          </w:tcPr>
          <w:p w14:paraId="28025C9B">
            <w:pPr>
              <w:jc w:val="both"/>
              <m:rPr/>
              <w:rPr>
                <w:rFonts w:hint="default"/>
                <w:vertAlign w:val="baseline"/>
                <w:lang w:val="en-US" w:eastAsia="zh-CN"/>
              </w:rPr>
            </w:pPr>
            <w:r>
              <m:rPr/>
              <w:rPr>
                <w:rFonts w:hint="eastAsia"/>
                <w:vertAlign w:val="baseline"/>
                <w:lang w:val="en-US" w:eastAsia="zh-CN"/>
              </w:rPr>
              <w:t>89.38%</w:t>
            </w:r>
          </w:p>
        </w:tc>
      </w:tr>
      <w:tr w14:paraId="23CC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tcPr>
          <w:p w14:paraId="75CCA221">
            <w:pPr>
              <w:jc w:val="both"/>
              <m:rPr/>
              <w:rPr>
                <w:rFonts w:hint="default"/>
                <w:vertAlign w:val="baseline"/>
                <w:lang w:val="en-US" w:eastAsia="zh-CN"/>
              </w:rPr>
            </w:pPr>
            <w:r>
              <w:rPr>
                <w:rFonts w:hint="default" w:ascii="Arial" w:hAnsi="Arial" w:cs="Arial"/>
                <w:vertAlign w:val="baseline"/>
                <w:lang w:val="en-US" w:eastAsia="zh-CN"/>
              </w:rPr>
              <w:t>α</w:t>
            </w:r>
            <w:r>
              <w:rPr>
                <w:rFonts w:hint="eastAsia" w:ascii="Arial" w:hAnsi="Arial" w:cs="Arial"/>
                <w:vertAlign w:val="baseline"/>
                <w:lang w:val="en-US" w:eastAsia="zh-CN"/>
              </w:rPr>
              <w:t xml:space="preserve"> </w:t>
            </w:r>
            <w:r>
              <w:rPr>
                <w:rFonts w:hint="eastAsia"/>
                <w:vertAlign w:val="baseline"/>
                <w:lang w:val="en-US" w:eastAsia="zh-CN"/>
              </w:rPr>
              <w:t>= 1.0</w:t>
            </w:r>
          </w:p>
        </w:tc>
        <w:tc>
          <w:tcPr>
            <w:tcW w:w="2217" w:type="dxa"/>
          </w:tcPr>
          <w:p w14:paraId="41ABFCC4">
            <w:pPr>
              <w:jc w:val="both"/>
              <m:rPr/>
              <w:rPr>
                <w:rFonts w:hint="default"/>
                <w:vertAlign w:val="baseline"/>
                <w:lang w:val="en-US" w:eastAsia="zh-CN"/>
              </w:rPr>
            </w:pPr>
            <w:r>
              <m:rPr/>
              <w:rPr>
                <w:rFonts w:hint="eastAsia"/>
                <w:vertAlign w:val="baseline"/>
                <w:lang w:val="en-US" w:eastAsia="zh-CN"/>
              </w:rPr>
              <w:t>0.0880</w:t>
            </w:r>
          </w:p>
        </w:tc>
        <w:tc>
          <w:tcPr>
            <w:tcW w:w="2006" w:type="dxa"/>
          </w:tcPr>
          <w:p w14:paraId="6BD1B765">
            <w:pPr>
              <w:jc w:val="both"/>
              <m:rPr/>
              <w:rPr>
                <w:rFonts w:hint="default"/>
                <w:vertAlign w:val="baseline"/>
                <w:lang w:val="en-US" w:eastAsia="zh-CN"/>
              </w:rPr>
            </w:pPr>
            <w:r>
              <m:rPr/>
              <w:rPr>
                <w:rFonts w:hint="eastAsia"/>
                <w:vertAlign w:val="baseline"/>
                <w:lang w:val="en-US" w:eastAsia="zh-CN"/>
              </w:rPr>
              <w:t>92.60%</w:t>
            </w:r>
          </w:p>
        </w:tc>
        <w:tc>
          <w:tcPr>
            <w:tcW w:w="2194" w:type="dxa"/>
          </w:tcPr>
          <w:p w14:paraId="3365C24F">
            <w:pPr>
              <w:jc w:val="both"/>
              <m:rPr/>
              <w:rPr>
                <w:rFonts w:hint="default"/>
                <w:vertAlign w:val="baseline"/>
                <w:lang w:val="en-US" w:eastAsia="zh-CN"/>
              </w:rPr>
            </w:pPr>
            <w:r>
              <m:rPr/>
              <w:rPr>
                <w:rFonts w:hint="eastAsia"/>
                <w:vertAlign w:val="baseline"/>
                <w:lang w:val="en-US" w:eastAsia="zh-CN"/>
              </w:rPr>
              <w:t>89.49%</w:t>
            </w:r>
          </w:p>
        </w:tc>
      </w:tr>
      <w:tr w14:paraId="7F2B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tcPr>
          <w:p w14:paraId="65C75D0C">
            <w:pPr>
              <w:jc w:val="both"/>
              <m:rPr/>
              <w:rPr>
                <w:rFonts w:hint="default"/>
                <w:vertAlign w:val="baseline"/>
                <w:lang w:val="en-US" w:eastAsia="zh-CN"/>
              </w:rPr>
            </w:pPr>
            <w:r>
              <w:rPr>
                <w:rFonts w:hint="default" w:ascii="Arial" w:hAnsi="Arial" w:cs="Arial"/>
                <w:vertAlign w:val="baseline"/>
                <w:lang w:val="en-US" w:eastAsia="zh-CN"/>
              </w:rPr>
              <w:t>α</w:t>
            </w:r>
            <w:r>
              <w:rPr>
                <w:rFonts w:hint="eastAsia" w:ascii="Arial" w:hAnsi="Arial" w:cs="Arial"/>
                <w:vertAlign w:val="baseline"/>
                <w:lang w:val="en-US" w:eastAsia="zh-CN"/>
              </w:rPr>
              <w:t xml:space="preserve"> </w:t>
            </w:r>
            <w:r>
              <w:rPr>
                <w:rFonts w:hint="eastAsia"/>
                <w:vertAlign w:val="baseline"/>
                <w:lang w:val="en-US" w:eastAsia="zh-CN"/>
              </w:rPr>
              <w:t>= 0.5</w:t>
            </w:r>
          </w:p>
        </w:tc>
        <w:tc>
          <w:tcPr>
            <w:tcW w:w="2217" w:type="dxa"/>
          </w:tcPr>
          <w:p w14:paraId="3830F32E">
            <w:pPr>
              <w:jc w:val="both"/>
              <m:rPr/>
              <w:rPr>
                <w:rFonts w:hint="default"/>
                <w:vertAlign w:val="baseline"/>
                <w:lang w:val="en-US" w:eastAsia="zh-CN"/>
              </w:rPr>
            </w:pPr>
            <w:r>
              <m:rPr/>
              <w:rPr>
                <w:rFonts w:hint="eastAsia"/>
                <w:vertAlign w:val="baseline"/>
                <w:lang w:val="en-US" w:eastAsia="zh-CN"/>
              </w:rPr>
              <w:t>0.1338</w:t>
            </w:r>
          </w:p>
        </w:tc>
        <w:tc>
          <w:tcPr>
            <w:tcW w:w="2006" w:type="dxa"/>
          </w:tcPr>
          <w:p w14:paraId="6A337CD8">
            <w:pPr>
              <w:jc w:val="both"/>
              <m:rPr/>
              <w:rPr>
                <w:rFonts w:hint="default"/>
                <w:vertAlign w:val="baseline"/>
                <w:lang w:val="en-US" w:eastAsia="zh-CN"/>
              </w:rPr>
            </w:pPr>
            <w:r>
              <m:rPr/>
              <w:rPr>
                <w:rFonts w:hint="eastAsia"/>
                <w:vertAlign w:val="baseline"/>
                <w:lang w:val="en-US" w:eastAsia="zh-CN"/>
              </w:rPr>
              <w:t>91.77%</w:t>
            </w:r>
          </w:p>
        </w:tc>
        <w:tc>
          <w:tcPr>
            <w:tcW w:w="2194" w:type="dxa"/>
          </w:tcPr>
          <w:p w14:paraId="006C931F">
            <w:pPr>
              <w:jc w:val="both"/>
              <m:rPr/>
              <w:rPr>
                <w:rFonts w:hint="default"/>
                <w:vertAlign w:val="baseline"/>
                <w:lang w:val="en-US" w:eastAsia="zh-CN"/>
              </w:rPr>
            </w:pPr>
            <w:r>
              <m:rPr/>
              <w:rPr>
                <w:rFonts w:hint="eastAsia"/>
                <w:vertAlign w:val="baseline"/>
                <w:lang w:val="en-US" w:eastAsia="zh-CN"/>
              </w:rPr>
              <w:t>87.27%</w:t>
            </w:r>
          </w:p>
        </w:tc>
      </w:tr>
      <w:tr w14:paraId="1BC23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2" w:type="dxa"/>
          </w:tcPr>
          <w:p w14:paraId="014222B5">
            <w:pPr>
              <w:jc w:val="both"/>
              <m:rPr/>
              <w:rPr>
                <w:rFonts w:hint="default"/>
                <w:vertAlign w:val="baseline"/>
                <w:lang w:val="en-US" w:eastAsia="zh-CN"/>
              </w:rPr>
            </w:pPr>
            <w:r>
              <w:rPr>
                <w:rFonts w:hint="default" w:ascii="Arial" w:hAnsi="Arial" w:cs="Arial"/>
                <w:vertAlign w:val="baseline"/>
                <w:lang w:val="en-US" w:eastAsia="zh-CN"/>
              </w:rPr>
              <w:t>α</w:t>
            </w:r>
            <w:r>
              <w:rPr>
                <w:rFonts w:hint="eastAsia" w:ascii="Arial" w:hAnsi="Arial" w:cs="Arial"/>
                <w:vertAlign w:val="baseline"/>
                <w:lang w:val="en-US" w:eastAsia="zh-CN"/>
              </w:rPr>
              <w:t xml:space="preserve"> </w:t>
            </w:r>
            <w:r>
              <w:rPr>
                <w:rFonts w:hint="eastAsia"/>
                <w:vertAlign w:val="baseline"/>
                <w:lang w:val="en-US" w:eastAsia="zh-CN"/>
              </w:rPr>
              <w:t>= 0.1</w:t>
            </w:r>
          </w:p>
        </w:tc>
        <w:tc>
          <w:tcPr>
            <w:tcW w:w="2217" w:type="dxa"/>
          </w:tcPr>
          <w:p w14:paraId="19E0401E">
            <w:pPr>
              <w:jc w:val="both"/>
              <m:rPr/>
              <w:rPr>
                <w:rFonts w:hint="default"/>
                <w:vertAlign w:val="baseline"/>
                <w:lang w:val="en-US" w:eastAsia="zh-CN"/>
              </w:rPr>
            </w:pPr>
            <w:r>
              <m:rPr/>
              <w:rPr>
                <w:rFonts w:hint="eastAsia"/>
                <w:vertAlign w:val="baseline"/>
                <w:lang w:val="en-US" w:eastAsia="zh-CN"/>
              </w:rPr>
              <w:t>0.3148</w:t>
            </w:r>
          </w:p>
        </w:tc>
        <w:tc>
          <w:tcPr>
            <w:tcW w:w="2006" w:type="dxa"/>
          </w:tcPr>
          <w:p w14:paraId="235EAF5C">
            <w:pPr>
              <w:jc w:val="both"/>
              <m:rPr/>
              <w:rPr>
                <w:rFonts w:hint="default"/>
                <w:vertAlign w:val="baseline"/>
                <w:lang w:val="en-US" w:eastAsia="zh-CN"/>
              </w:rPr>
            </w:pPr>
            <w:r>
              <m:rPr/>
              <w:rPr>
                <w:rFonts w:hint="eastAsia"/>
                <w:vertAlign w:val="baseline"/>
                <w:lang w:val="en-US" w:eastAsia="zh-CN"/>
              </w:rPr>
              <w:t>71.49%</w:t>
            </w:r>
          </w:p>
        </w:tc>
        <w:tc>
          <w:tcPr>
            <w:tcW w:w="2194" w:type="dxa"/>
          </w:tcPr>
          <w:p w14:paraId="5D3EB420">
            <w:pPr>
              <w:jc w:val="both"/>
              <m:rPr/>
              <w:rPr>
                <w:rFonts w:hint="default"/>
                <w:vertAlign w:val="baseline"/>
                <w:lang w:val="en-US" w:eastAsia="zh-CN"/>
              </w:rPr>
            </w:pPr>
            <w:r>
              <m:rPr/>
              <w:rPr>
                <w:rFonts w:hint="eastAsia"/>
                <w:vertAlign w:val="baseline"/>
                <w:lang w:val="en-US" w:eastAsia="zh-CN"/>
              </w:rPr>
              <w:t>69.42%</w:t>
            </w:r>
          </w:p>
        </w:tc>
      </w:tr>
    </w:tbl>
    <w:p w14:paraId="795892A4">
      <w:pPr>
        <w:jc w:val="both"/>
        <m:rPr/>
        <w:rPr>
          <w:rFonts w:hint="eastAsia"/>
          <w:lang w:val="en-US" w:eastAsia="zh-CN"/>
        </w:rPr>
      </w:pPr>
      <w:r>
        <m:rPr/>
        <w:rPr>
          <w:rFonts w:hint="eastAsia"/>
          <w:lang w:val="en-US" w:eastAsia="zh-CN"/>
        </w:rPr>
        <w:t>在</w:t>
      </w:r>
      <w:r>
        <m:rPr/>
        <w:rPr>
          <w:rFonts w:hint="default" w:ascii="Arial" w:hAnsi="Arial" w:cs="Arial"/>
          <w:lang w:val="en-US" w:eastAsia="zh-CN"/>
        </w:rPr>
        <w:t>α</w:t>
      </w:r>
      <w:r>
        <m:rPr/>
        <w:rPr>
          <w:rFonts w:hint="eastAsia"/>
          <w:lang w:val="en-US" w:eastAsia="zh-CN"/>
        </w:rPr>
        <w:t>=10和</w:t>
      </w:r>
      <w:r>
        <m:rPr/>
        <w:rPr>
          <w:rFonts w:hint="default" w:ascii="Arial" w:hAnsi="Arial" w:cs="Arial"/>
          <w:lang w:val="en-US" w:eastAsia="zh-CN"/>
        </w:rPr>
        <w:t>α</w:t>
      </w:r>
      <w:r>
        <m:rPr/>
        <w:rPr>
          <w:rFonts w:hint="eastAsia"/>
          <w:lang w:val="en-US" w:eastAsia="zh-CN"/>
        </w:rPr>
        <w:t>=1.0条件下，FedAvg的测试性能与IID基线基本一致。说明在本研究的五个客户端、全客户端参与和每轮异构本地epoch的设置下，FedAvg对轻度及中度标签偏斜具备较强的鲁棒性。</w:t>
      </w:r>
    </w:p>
    <w:p w14:paraId="182FDCDC">
      <w:pPr>
        <w:jc w:val="both"/>
        <m:rPr/>
        <w:rPr>
          <w:rFonts w:hint="eastAsia"/>
          <w:lang w:val="en-US" w:eastAsia="zh-CN"/>
        </w:rPr>
      </w:pPr>
      <w:r>
        <m:rPr/>
        <w:rPr>
          <w:rFonts w:hint="eastAsia"/>
          <w:lang w:val="en-US" w:eastAsia="zh-CN"/>
        </w:rPr>
        <w:t>在</w:t>
      </w:r>
      <w:r>
        <m:rPr/>
        <w:rPr>
          <w:rFonts w:hint="default" w:ascii="Arial" w:hAnsi="Arial" w:cs="Arial"/>
          <w:lang w:val="en-US" w:eastAsia="zh-CN"/>
        </w:rPr>
        <w:t>α</w:t>
      </w:r>
      <w:r>
        <m:rPr/>
        <w:rPr>
          <w:rFonts w:hint="eastAsia"/>
          <w:lang w:val="en-US" w:eastAsia="zh-CN"/>
        </w:rPr>
        <w:t>降低到0.5时，测试准确率相对IID仅下降约0.83个百分点，但宏平均类别准确率下降约2.17个百分点。宏平均指标的下降幅度更大，说明类别级性能可能在整体准确率明显恶化之前就已经受到影响。</w:t>
      </w:r>
    </w:p>
    <w:p w14:paraId="32964096">
      <w:pPr>
        <w:jc w:val="both"/>
        <m:rPr/>
        <w:rPr>
          <w:rFonts w:hint="eastAsia"/>
          <w:lang w:val="en-US" w:eastAsia="zh-CN"/>
        </w:rPr>
      </w:pPr>
      <w:r>
        <m:rPr/>
        <w:rPr>
          <w:rFonts w:hint="eastAsia"/>
          <w:lang w:val="en-US" w:eastAsia="zh-CN"/>
        </w:rPr>
        <w:t>在最极端的</w:t>
      </w:r>
      <w:r>
        <m:rPr/>
        <w:rPr>
          <w:rFonts w:hint="default" w:ascii="Arial" w:hAnsi="Arial" w:cs="Arial"/>
          <w:lang w:val="en-US" w:eastAsia="zh-CN"/>
        </w:rPr>
        <w:t>α</w:t>
      </w:r>
      <w:r>
        <m:rPr/>
        <w:rPr>
          <w:rFonts w:hint="eastAsia"/>
          <w:lang w:val="en-US" w:eastAsia="zh-CN"/>
        </w:rPr>
        <w:t>=0.1条件下，FedAvg的测试准确率下降到71.49%，宏平均类别准确率下降到69.42%，相对IID分别下降约21.12和20.02个百分点。多个类别的准确率下降到0，表明极端标签偏斜造成的不只是整体性能下降，还包括严重的类别级失效和系统性类别混淆。</w:t>
      </w:r>
    </w:p>
    <w:p w14:paraId="746E724B">
      <w:pPr>
        <w:jc w:val="both"/>
        <m:rPr/>
        <w:rPr>
          <w:rFonts w:hint="eastAsia"/>
          <w:lang w:val="en-US" w:eastAsia="zh-CN"/>
        </w:rPr>
      </w:pPr>
      <w:r>
        <m:rPr/>
        <w:rPr>
          <w:rFonts w:hint="eastAsia"/>
          <w:lang w:val="en-US" w:eastAsia="zh-CN"/>
        </w:rPr>
        <w:drawing>
          <wp:inline distT="0" distB="0" distL="114300" distR="114300">
            <wp:extent cx="5274310" cy="3296285"/>
            <wp:effectExtent l="0" t="0" r="8890" b="5715"/>
            <wp:docPr id="3" name="图片 3" descr="test_accuracy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st_accuracy_comparison"/>
                    <pic:cNvPicPr>
                      <a:picLocks noChangeAspect="1"/>
                    </pic:cNvPicPr>
                  </pic:nvPicPr>
                  <pic:blipFill>
                    <a:blip r:embed="rId6"/>
                    <a:stretch>
                      <a:fillRect/>
                    </a:stretch>
                  </pic:blipFill>
                  <pic:spPr>
                    <a:xfrm>
                      <a:off x="0" y="0"/>
                      <a:ext cx="5274310" cy="3296285"/>
                    </a:xfrm>
                    <a:prstGeom prst="rect">
                      <a:avLst/>
                    </a:prstGeom>
                  </pic:spPr>
                </pic:pic>
              </a:graphicData>
            </a:graphic>
          </wp:inline>
        </w:drawing>
      </w:r>
    </w:p>
    <w:p w14:paraId="1D512F7E">
      <w:pPr>
        <w:jc w:val="both"/>
        <m:rPr/>
        <w:rPr>
          <w:rFonts w:hint="eastAsia"/>
          <w:lang w:val="en-US" w:eastAsia="zh-CN"/>
        </w:rPr>
      </w:pPr>
      <w:r>
        <m:rPr/>
        <w:rPr>
          <w:rFonts w:hint="eastAsia"/>
          <w:lang w:val="en-US" w:eastAsia="zh-CN"/>
        </w:rPr>
        <w:t>Figure 2. FedAvg test accuracy under different levels of label heterogeneity</w:t>
      </w:r>
    </w:p>
    <w:p w14:paraId="1BBB83ED">
      <w:pPr>
        <w:jc w:val="both"/>
        <m:rPr/>
        <w:rPr>
          <w:rFonts w:hint="eastAsia"/>
          <w:lang w:val="en-US" w:eastAsia="zh-CN"/>
        </w:rPr>
      </w:pPr>
      <w:r>
        <m:rPr/>
        <w:rPr>
          <w:rFonts w:hint="eastAsia"/>
          <w:lang w:val="en-US" w:eastAsia="zh-CN"/>
        </w:rPr>
        <w:t xml:space="preserve">(Performance remains stable under mild and moderate skew but drops sharply under the extreme </w:t>
      </w:r>
      <w:r>
        <m:rPr/>
        <w:rPr>
          <w:rFonts w:hint="default"/>
          <w:lang w:val="en-US" w:eastAsia="zh-CN"/>
        </w:rPr>
        <w:t>α</w:t>
      </w:r>
      <w:r>
        <m:rPr/>
        <w:rPr>
          <w:rFonts w:hint="eastAsia"/>
          <w:lang w:val="en-US" w:eastAsia="zh-CN"/>
        </w:rPr>
        <w:t>=0.1 partition.)</w:t>
      </w:r>
    </w:p>
    <w:p w14:paraId="7B78F669">
      <w:pPr>
        <w:pStyle w:val="3"/>
        <w:bidi w:val="0"/>
        <m:rPr/>
        <w:rPr>
          <w:rFonts w:hint="eastAsia"/>
          <w:lang w:val="en-US" w:eastAsia="zh-CN"/>
        </w:rPr>
      </w:pPr>
      <w:r>
        <m:rPr/>
        <w:rPr>
          <w:rFonts w:hint="eastAsia"/>
          <w:lang w:val="en-US" w:eastAsia="zh-CN"/>
        </w:rPr>
        <w:t>3.3 FedProx在强标签异构下的配对实验</w:t>
      </w:r>
    </w:p>
    <w:p w14:paraId="142E49D6">
      <w:pPr>
        <m:rPr/>
        <w:rPr>
          <w:rFonts w:hint="default"/>
          <w:lang w:val="en-US" w:eastAsia="zh-CN"/>
        </w:rPr>
      </w:pPr>
      <w:r>
        <m:rPr/>
        <w:rPr>
          <w:rFonts w:hint="default"/>
          <w:lang w:val="en-US" w:eastAsia="zh-CN"/>
        </w:rPr>
        <w:t>为研究近端约束能否缓解强Non-IID条件下的性能退化，本研究在Stage 1C中实现了FedProx。FedProx保留服务器端的加权聚合流程，但在每个客户端的本地任务损失中加入近端正则项，以限制本地模型过度偏离当前全局模型。</w:t>
      </w:r>
    </w:p>
    <w:p w14:paraId="77E8BE0F">
      <w:pPr>
        <m:rPr/>
        <w:rPr>
          <w:rFonts w:hint="default"/>
          <w:lang w:val="en-US" w:eastAsia="zh-CN"/>
        </w:rPr>
      </w:pPr>
      <w:r>
        <m:rPr/>
        <w:rPr>
          <w:rFonts w:hint="default"/>
          <w:lang w:val="en-US" w:eastAsia="zh-CN"/>
        </w:rPr>
        <w:t>需要强调的是，Stage1B的历史FedAvg使用Adam优化器，而Stage 1C的FedProx实验采用无动量SGD。为了避免把优化器变化错误解释为算法效果，FedProx的主要对照不是历史Stage 1B FedAvg，而是同一个FedProx训练器中μ=0的严格控制组。μ=0时近端项消失，因此可以作为相同优化器、相同初始化、相同客户端顺序和相同训练预算下的FedAvg等价控制。</w:t>
      </w:r>
    </w:p>
    <w:p w14:paraId="5DE4AB17">
      <w:pPr>
        <w:rPr>
          <w:rFonts w:hint="eastAsia"/>
          <w:lang w:val="en-US" w:eastAsia="zh-CN"/>
        </w:rPr>
      </w:pPr>
      <w:r>
        <m:rPr/>
        <w:rPr>
          <w:rFonts w:hint="eastAsia"/>
          <w:lang w:val="en-US" w:eastAsia="zh-CN"/>
        </w:rPr>
        <w:t>在</w:t>
      </w:r>
      <w:r>
        <m:rPr/>
        <w:rPr>
          <w:rFonts w:hint="default" w:ascii="Arial" w:hAnsi="Arial" w:cs="Arial"/>
          <w:lang w:val="en-US" w:eastAsia="zh-CN"/>
        </w:rPr>
        <w:t>α</w:t>
      </w:r>
      <w:r>
        <m:rPr/>
        <w:rPr>
          <w:rFonts w:hint="eastAsia"/>
          <w:lang w:val="en-US" w:eastAsia="zh-CN"/>
        </w:rPr>
        <w:t>=0.1条件下，</w:t>
      </w:r>
      <w:r>
        <w:rPr>
          <w:rFonts w:hint="default"/>
          <w:lang w:val="en-US" w:eastAsia="zh-CN"/>
        </w:rPr>
        <w:t>μ</w:t>
      </w:r>
      <w:r>
        <w:rPr>
          <w:rFonts w:hint="eastAsia"/>
          <w:lang w:val="en-US" w:eastAsia="zh-CN"/>
        </w:rPr>
        <w:t>=0.1相对于</w:t>
      </w:r>
      <w:r>
        <w:rPr>
          <w:rFonts w:hint="default"/>
          <w:lang w:val="en-US" w:eastAsia="zh-CN"/>
        </w:rPr>
        <w:t>μ</w:t>
      </w:r>
      <w:r>
        <w:rPr>
          <w:rFonts w:hint="eastAsia"/>
          <w:lang w:val="en-US" w:eastAsia="zh-CN"/>
        </w:rPr>
        <w:t>=0的结果为：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57"/>
        <w:gridCol w:w="1903"/>
        <w:gridCol w:w="2131"/>
        <w:gridCol w:w="2131"/>
      </w:tblGrid>
      <w:tr w14:paraId="01F1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tcPr>
          <w:p w14:paraId="4CDC94F0">
            <w:pPr>
              <m:rPr/>
              <w:rPr>
                <w:rFonts w:hint="default"/>
                <w:vertAlign w:val="baseline"/>
                <w:lang w:val="en-US" w:eastAsia="zh-CN"/>
              </w:rPr>
            </w:pPr>
            <w:r>
              <m:rPr/>
              <w:rPr>
                <w:rFonts w:hint="eastAsia"/>
                <w:vertAlign w:val="baseline"/>
                <w:lang w:val="en-US" w:eastAsia="zh-CN"/>
              </w:rPr>
              <w:t>Metric</w:t>
            </w:r>
          </w:p>
        </w:tc>
        <w:tc>
          <w:tcPr>
            <w:tcW w:w="1903" w:type="dxa"/>
          </w:tcPr>
          <w:p w14:paraId="54A30542">
            <w:pPr>
              <m:rPr/>
              <w:rPr>
                <w:rFonts w:hint="default"/>
                <w:vertAlign w:val="baseline"/>
                <w:lang w:val="en-US" w:eastAsia="zh-CN"/>
              </w:rPr>
            </w:pPr>
            <w:r>
              <w:rPr>
                <w:rFonts w:hint="default"/>
                <w:lang w:val="en-US" w:eastAsia="zh-CN"/>
              </w:rPr>
              <w:t>μ</w:t>
            </w:r>
            <w:r>
              <w:rPr>
                <w:rFonts w:hint="eastAsia"/>
                <w:lang w:val="en-US" w:eastAsia="zh-CN"/>
              </w:rPr>
              <w:t>=0</w:t>
            </w:r>
          </w:p>
        </w:tc>
        <w:tc>
          <w:tcPr>
            <w:tcW w:w="2131" w:type="dxa"/>
          </w:tcPr>
          <w:p w14:paraId="2C7AED94">
            <w:pPr>
              <m:rPr/>
              <w:rPr>
                <w:rFonts w:hint="default"/>
                <w:vertAlign w:val="baseline"/>
                <w:lang w:val="en-US" w:eastAsia="zh-CN"/>
              </w:rPr>
            </w:pPr>
            <w:r>
              <w:rPr>
                <w:rFonts w:hint="default"/>
                <w:lang w:val="en-US" w:eastAsia="zh-CN"/>
              </w:rPr>
              <w:t>μ</w:t>
            </w:r>
            <w:r>
              <w:rPr>
                <w:rFonts w:hint="eastAsia"/>
                <w:lang w:val="en-US" w:eastAsia="zh-CN"/>
              </w:rPr>
              <w:t>=0.1</w:t>
            </w:r>
          </w:p>
        </w:tc>
        <w:tc>
          <w:tcPr>
            <w:tcW w:w="2131" w:type="dxa"/>
          </w:tcPr>
          <w:p w14:paraId="4E670B16">
            <w:pPr>
              <m:rPr/>
              <w:rPr>
                <w:rFonts w:hint="default"/>
                <w:vertAlign w:val="baseline"/>
                <w:lang w:val="en-US" w:eastAsia="zh-CN"/>
              </w:rPr>
            </w:pPr>
            <w:r>
              <m:rPr/>
              <w:rPr>
                <w:rFonts w:hint="eastAsia"/>
                <w:vertAlign w:val="baseline"/>
                <w:lang w:val="en-US" w:eastAsia="zh-CN"/>
              </w:rPr>
              <w:t>Change</w:t>
            </w:r>
          </w:p>
        </w:tc>
      </w:tr>
      <w:tr w14:paraId="0B6A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tcPr>
          <w:p w14:paraId="5E9E58B3">
            <w:pPr>
              <m:rPr/>
              <w:rPr>
                <w:rFonts w:hint="default"/>
                <w:vertAlign w:val="baseline"/>
                <w:lang w:val="en-US" w:eastAsia="zh-CN"/>
              </w:rPr>
            </w:pPr>
            <w:r>
              <m:rPr/>
              <w:rPr>
                <w:rFonts w:hint="default"/>
                <w:vertAlign w:val="baseline"/>
                <w:lang w:val="en-US" w:eastAsia="zh-CN"/>
              </w:rPr>
              <w:t>Best Validation Accuracy</w:t>
            </w:r>
          </w:p>
        </w:tc>
        <w:tc>
          <w:tcPr>
            <w:tcW w:w="1903" w:type="dxa"/>
          </w:tcPr>
          <w:p w14:paraId="5AE76082">
            <w:pPr>
              <m:rPr/>
              <w:rPr>
                <w:rFonts w:hint="default"/>
                <w:vertAlign w:val="baseline"/>
                <w:lang w:val="en-US" w:eastAsia="zh-CN"/>
              </w:rPr>
            </w:pPr>
            <w:r>
              <m:rPr/>
              <w:rPr>
                <w:rFonts w:hint="eastAsia"/>
                <w:vertAlign w:val="baseline"/>
                <w:lang w:val="en-US" w:eastAsia="zh-CN"/>
              </w:rPr>
              <w:t>89.02%</w:t>
            </w:r>
          </w:p>
        </w:tc>
        <w:tc>
          <w:tcPr>
            <w:tcW w:w="2131" w:type="dxa"/>
          </w:tcPr>
          <w:p w14:paraId="0B130EE5">
            <w:pPr>
              <m:rPr/>
              <w:rPr>
                <w:rFonts w:hint="default"/>
                <w:vertAlign w:val="baseline"/>
                <w:lang w:val="en-US" w:eastAsia="zh-CN"/>
              </w:rPr>
            </w:pPr>
            <w:r>
              <m:rPr/>
              <w:rPr>
                <w:rFonts w:hint="eastAsia"/>
                <w:vertAlign w:val="baseline"/>
                <w:lang w:val="en-US" w:eastAsia="zh-CN"/>
              </w:rPr>
              <w:t>94.64%</w:t>
            </w:r>
          </w:p>
        </w:tc>
        <w:tc>
          <w:tcPr>
            <w:tcW w:w="2131" w:type="dxa"/>
          </w:tcPr>
          <w:p w14:paraId="6E592AF9">
            <w:pPr>
              <m:rPr/>
              <w:rPr>
                <w:rFonts w:hint="default"/>
                <w:vertAlign w:val="baseline"/>
                <w:lang w:val="en-US" w:eastAsia="zh-CN"/>
              </w:rPr>
            </w:pPr>
            <w:r>
              <m:rPr/>
              <w:rPr>
                <w:rFonts w:hint="eastAsia"/>
                <w:vertAlign w:val="baseline"/>
                <w:lang w:val="en-US" w:eastAsia="zh-CN"/>
              </w:rPr>
              <w:t>+5.62pp</w:t>
            </w:r>
          </w:p>
        </w:tc>
      </w:tr>
      <w:tr w14:paraId="25ED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tcPr>
          <w:p w14:paraId="4153F0CB">
            <w:pPr>
              <m:rPr/>
              <w:rPr>
                <w:rFonts w:hint="default"/>
                <w:vertAlign w:val="baseline"/>
                <w:lang w:val="en-US" w:eastAsia="zh-CN"/>
              </w:rPr>
            </w:pPr>
            <w:r>
              <m:rPr/>
              <w:rPr>
                <w:rFonts w:hint="default"/>
                <w:vertAlign w:val="baseline"/>
                <w:lang w:val="en-US" w:eastAsia="zh-CN"/>
              </w:rPr>
              <w:t>Test Accuracy</w:t>
            </w:r>
          </w:p>
        </w:tc>
        <w:tc>
          <w:tcPr>
            <w:tcW w:w="1903" w:type="dxa"/>
          </w:tcPr>
          <w:p w14:paraId="6F48B154">
            <w:pPr>
              <m:rPr/>
              <w:rPr>
                <w:rFonts w:hint="default"/>
                <w:vertAlign w:val="baseline"/>
                <w:lang w:val="en-US" w:eastAsia="zh-CN"/>
              </w:rPr>
            </w:pPr>
            <w:r>
              <m:rPr/>
              <w:rPr>
                <w:rFonts w:hint="eastAsia"/>
                <w:vertAlign w:val="baseline"/>
                <w:lang w:val="en-US" w:eastAsia="zh-CN"/>
              </w:rPr>
              <w:t>77.51%</w:t>
            </w:r>
          </w:p>
        </w:tc>
        <w:tc>
          <w:tcPr>
            <w:tcW w:w="2131" w:type="dxa"/>
          </w:tcPr>
          <w:p w14:paraId="313A753C">
            <w:pPr>
              <m:rPr/>
              <w:rPr>
                <w:rFonts w:hint="default"/>
                <w:vertAlign w:val="baseline"/>
                <w:lang w:val="en-US" w:eastAsia="zh-CN"/>
              </w:rPr>
            </w:pPr>
            <w:r>
              <m:rPr/>
              <w:rPr>
                <w:rFonts w:hint="eastAsia"/>
                <w:vertAlign w:val="baseline"/>
                <w:lang w:val="en-US" w:eastAsia="zh-CN"/>
              </w:rPr>
              <w:t>84.52%</w:t>
            </w:r>
          </w:p>
        </w:tc>
        <w:tc>
          <w:tcPr>
            <w:tcW w:w="2131" w:type="dxa"/>
          </w:tcPr>
          <w:p w14:paraId="65F80780">
            <w:pPr>
              <m:rPr/>
              <w:rPr>
                <w:rFonts w:hint="default"/>
                <w:vertAlign w:val="baseline"/>
                <w:lang w:val="en-US" w:eastAsia="zh-CN"/>
              </w:rPr>
            </w:pPr>
            <w:r>
              <m:rPr/>
              <w:rPr>
                <w:rFonts w:hint="eastAsia"/>
                <w:vertAlign w:val="baseline"/>
                <w:lang w:val="en-US" w:eastAsia="zh-CN"/>
              </w:rPr>
              <w:t>+7.02pp</w:t>
            </w:r>
          </w:p>
        </w:tc>
      </w:tr>
      <w:tr w14:paraId="32C4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tcPr>
          <w:p w14:paraId="29636CA1">
            <w:pPr>
              <m:rPr/>
              <w:rPr>
                <w:rFonts w:hint="default"/>
                <w:vertAlign w:val="baseline"/>
                <w:lang w:val="en-US" w:eastAsia="zh-CN"/>
              </w:rPr>
            </w:pPr>
            <w:r>
              <m:rPr/>
              <w:rPr>
                <w:rFonts w:hint="default"/>
                <w:vertAlign w:val="baseline"/>
                <w:lang w:val="en-US" w:eastAsia="zh-CN"/>
              </w:rPr>
              <w:t>Macro Class Accuracy</w:t>
            </w:r>
          </w:p>
        </w:tc>
        <w:tc>
          <w:tcPr>
            <w:tcW w:w="1903" w:type="dxa"/>
          </w:tcPr>
          <w:p w14:paraId="16DCBC1C">
            <w:pPr>
              <m:rPr/>
              <w:rPr>
                <w:rFonts w:hint="default"/>
                <w:vertAlign w:val="baseline"/>
                <w:lang w:val="en-US" w:eastAsia="zh-CN"/>
              </w:rPr>
            </w:pPr>
            <w:r>
              <m:rPr/>
              <w:rPr>
                <w:rFonts w:hint="eastAsia"/>
                <w:vertAlign w:val="baseline"/>
                <w:lang w:val="en-US" w:eastAsia="zh-CN"/>
              </w:rPr>
              <w:t>73.60%</w:t>
            </w:r>
          </w:p>
        </w:tc>
        <w:tc>
          <w:tcPr>
            <w:tcW w:w="2131" w:type="dxa"/>
          </w:tcPr>
          <w:p w14:paraId="10C761AA">
            <w:pPr>
              <m:rPr/>
              <w:rPr>
                <w:rFonts w:hint="default"/>
                <w:vertAlign w:val="baseline"/>
                <w:lang w:val="en-US" w:eastAsia="zh-CN"/>
              </w:rPr>
            </w:pPr>
            <w:r>
              <m:rPr/>
              <w:rPr>
                <w:rFonts w:hint="eastAsia"/>
                <w:vertAlign w:val="baseline"/>
                <w:lang w:val="en-US" w:eastAsia="zh-CN"/>
              </w:rPr>
              <w:t>80.79%</w:t>
            </w:r>
          </w:p>
        </w:tc>
        <w:tc>
          <w:tcPr>
            <w:tcW w:w="2131" w:type="dxa"/>
          </w:tcPr>
          <w:p w14:paraId="65384E77">
            <w:pPr>
              <m:rPr/>
              <w:rPr>
                <w:rFonts w:hint="default"/>
                <w:vertAlign w:val="baseline"/>
                <w:lang w:val="en-US" w:eastAsia="zh-CN"/>
              </w:rPr>
            </w:pPr>
            <w:r>
              <m:rPr/>
              <w:rPr>
                <w:rFonts w:hint="eastAsia"/>
                <w:vertAlign w:val="baseline"/>
                <w:lang w:val="en-US" w:eastAsia="zh-CN"/>
              </w:rPr>
              <w:t>+7.19pp</w:t>
            </w:r>
          </w:p>
        </w:tc>
      </w:tr>
      <w:tr w14:paraId="0664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tcPr>
          <w:p w14:paraId="67B2DA5D">
            <w:pPr>
              <m:rPr/>
              <w:rPr>
                <w:rFonts w:hint="default"/>
                <w:vertAlign w:val="baseline"/>
                <w:lang w:val="en-US" w:eastAsia="zh-CN"/>
              </w:rPr>
            </w:pPr>
            <w:r>
              <m:rPr/>
              <w:rPr>
                <w:rFonts w:hint="default"/>
                <w:vertAlign w:val="baseline"/>
                <w:lang w:val="en-US" w:eastAsia="zh-CN"/>
              </w:rPr>
              <w:t>Test Loss</w:t>
            </w:r>
          </w:p>
        </w:tc>
        <w:tc>
          <w:tcPr>
            <w:tcW w:w="1903" w:type="dxa"/>
          </w:tcPr>
          <w:p w14:paraId="1366C1C4">
            <w:pPr>
              <m:rPr/>
              <w:rPr>
                <w:rFonts w:hint="default"/>
                <w:vertAlign w:val="baseline"/>
                <w:lang w:val="en-US" w:eastAsia="zh-CN"/>
              </w:rPr>
            </w:pPr>
            <w:r>
              <m:rPr/>
              <w:rPr>
                <w:rFonts w:hint="eastAsia"/>
                <w:vertAlign w:val="baseline"/>
                <w:lang w:val="en-US" w:eastAsia="zh-CN"/>
              </w:rPr>
              <w:t>0.7233</w:t>
            </w:r>
          </w:p>
        </w:tc>
        <w:tc>
          <w:tcPr>
            <w:tcW w:w="2131" w:type="dxa"/>
          </w:tcPr>
          <w:p w14:paraId="0098020B">
            <w:pPr>
              <m:rPr/>
              <w:rPr>
                <w:rFonts w:hint="default"/>
                <w:vertAlign w:val="baseline"/>
                <w:lang w:val="en-US" w:eastAsia="zh-CN"/>
              </w:rPr>
            </w:pPr>
            <w:r>
              <m:rPr/>
              <w:rPr>
                <w:rFonts w:hint="eastAsia"/>
                <w:vertAlign w:val="baseline"/>
                <w:lang w:val="en-US" w:eastAsia="zh-CN"/>
              </w:rPr>
              <w:t>0.5331</w:t>
            </w:r>
          </w:p>
        </w:tc>
        <w:tc>
          <w:tcPr>
            <w:tcW w:w="2131" w:type="dxa"/>
          </w:tcPr>
          <w:p w14:paraId="26A95E43">
            <w:pPr>
              <m:rPr/>
              <w:rPr>
                <w:rFonts w:hint="default"/>
                <w:vertAlign w:val="baseline"/>
                <w:lang w:val="en-US" w:eastAsia="zh-CN"/>
              </w:rPr>
            </w:pPr>
            <w:r>
              <m:rPr/>
              <w:rPr>
                <w:rFonts w:hint="eastAsia"/>
                <w:vertAlign w:val="baseline"/>
                <w:lang w:val="en-US" w:eastAsia="zh-CN"/>
              </w:rPr>
              <w:t>-0.1903</w:t>
            </w:r>
          </w:p>
        </w:tc>
      </w:tr>
    </w:tbl>
    <w:p w14:paraId="1B64B087">
      <w:pPr>
        <w:rPr>
          <w:rFonts w:hint="eastAsia"/>
          <w:lang w:val="en-US" w:eastAsia="zh-CN"/>
        </w:rPr>
      </w:pPr>
      <w:r>
        <w:rPr>
          <w:rFonts w:hint="eastAsia"/>
          <w:lang w:val="en-US" w:eastAsia="zh-CN"/>
        </w:rPr>
        <w:t>在</w:t>
      </w:r>
      <w:r>
        <w:rPr>
          <w:rFonts w:hint="default" w:ascii="Arial" w:hAnsi="Arial" w:cs="Arial"/>
          <w:lang w:val="en-US" w:eastAsia="zh-CN"/>
        </w:rPr>
        <w:t>α</w:t>
      </w:r>
      <w:r>
        <w:rPr>
          <w:rFonts w:hint="eastAsia"/>
          <w:lang w:val="en-US" w:eastAsia="zh-CN"/>
        </w:rPr>
        <w:t>=0.5条件下，</w:t>
      </w:r>
      <w:r>
        <w:rPr>
          <w:rFonts w:hint="default"/>
          <w:lang w:val="en-US" w:eastAsia="zh-CN"/>
        </w:rPr>
        <w:t>μ</w:t>
      </w:r>
      <w:r>
        <w:rPr>
          <w:rFonts w:hint="eastAsia"/>
          <w:lang w:val="en-US" w:eastAsia="zh-CN"/>
        </w:rPr>
        <w:t>=0.1同样取得了一致改善：</w:t>
      </w:r>
    </w:p>
    <w:tbl>
      <w:tblPr>
        <w:tblStyle w:val="6"/>
        <w:tblW w:w="10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57"/>
        <w:gridCol w:w="2130"/>
        <w:gridCol w:w="2130"/>
        <w:gridCol w:w="2131"/>
        <w:gridCol w:w="2131"/>
      </w:tblGrid>
      <w:tr w14:paraId="2AB8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shd w:val="clear"/>
            <w:vAlign w:val="top"/>
          </w:tcPr>
          <w:p w14:paraId="035180C1">
            <w:pPr>
              <m:r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Metric</w:t>
            </w:r>
          </w:p>
        </w:tc>
        <w:tc>
          <w:tcPr>
            <w:tcW w:w="2130" w:type="dxa"/>
            <w:shd w:val="clear"/>
            <w:vAlign w:val="top"/>
          </w:tcPr>
          <w:p w14:paraId="239F3F79">
            <w:pPr>
              <m:rPr/>
              <w:rPr>
                <w:rFonts w:hint="default" w:asciiTheme="minorHAnsi" w:hAnsiTheme="minorHAnsi" w:eastAsiaTheme="minorEastAsia" w:cstheme="minorBidi"/>
                <w:kern w:val="2"/>
                <w:sz w:val="21"/>
                <w:szCs w:val="24"/>
                <w:vertAlign w:val="baseline"/>
                <w:lang w:val="en-US" w:eastAsia="zh-CN" w:bidi="ar-SA"/>
              </w:rPr>
            </w:pPr>
            <w:r>
              <w:rPr>
                <w:rFonts w:hint="default"/>
                <w:lang w:val="en-US" w:eastAsia="zh-CN"/>
              </w:rPr>
              <w:t>μ</w:t>
            </w:r>
            <w:r>
              <w:rPr>
                <w:rFonts w:hint="eastAsia"/>
                <w:lang w:val="en-US" w:eastAsia="zh-CN"/>
              </w:rPr>
              <w:t>=0</w:t>
            </w:r>
          </w:p>
        </w:tc>
        <w:tc>
          <w:tcPr>
            <w:tcW w:w="2130" w:type="dxa"/>
            <w:shd w:val="clear"/>
            <w:vAlign w:val="top"/>
          </w:tcPr>
          <w:p w14:paraId="358AB5F6">
            <w:pPr>
              <m:rPr/>
              <w:rPr>
                <w:rFonts w:hint="default" w:asciiTheme="minorHAnsi" w:hAnsiTheme="minorHAnsi" w:eastAsiaTheme="minorEastAsia" w:cstheme="minorBidi"/>
                <w:kern w:val="2"/>
                <w:sz w:val="21"/>
                <w:szCs w:val="24"/>
                <w:vertAlign w:val="baseline"/>
                <w:lang w:val="en-US" w:eastAsia="zh-CN" w:bidi="ar-SA"/>
              </w:rPr>
            </w:pPr>
            <w:r>
              <w:rPr>
                <w:rFonts w:hint="default"/>
                <w:lang w:val="en-US" w:eastAsia="zh-CN"/>
              </w:rPr>
              <w:t>μ</w:t>
            </w:r>
            <w:r>
              <w:rPr>
                <w:rFonts w:hint="eastAsia"/>
                <w:lang w:val="en-US" w:eastAsia="zh-CN"/>
              </w:rPr>
              <w:t>=0.1</w:t>
            </w:r>
          </w:p>
        </w:tc>
        <w:tc>
          <w:tcPr>
            <w:tcW w:w="2131" w:type="dxa"/>
            <w:shd w:val="clear"/>
            <w:vAlign w:val="top"/>
          </w:tcPr>
          <w:p w14:paraId="221DD2BC">
            <w:pPr>
              <m:r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Change</w:t>
            </w:r>
          </w:p>
        </w:tc>
        <w:tc>
          <w:tcPr>
            <w:tcW w:w="2131" w:type="dxa"/>
          </w:tcPr>
          <w:p w14:paraId="21EB8C3C">
            <w:pPr>
              <m:rPr/>
              <w:rPr>
                <w:rFonts w:hint="default"/>
                <w:vertAlign w:val="baseline"/>
                <w:lang w:val="en-US" w:eastAsia="zh-CN"/>
              </w:rPr>
            </w:pPr>
          </w:p>
        </w:tc>
      </w:tr>
      <w:tr w14:paraId="7B12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shd w:val="clear"/>
            <w:vAlign w:val="top"/>
          </w:tcPr>
          <w:p w14:paraId="48F872CD">
            <w:pPr>
              <m:rPr/>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Best Validation Accuracy</w:t>
            </w:r>
          </w:p>
        </w:tc>
        <w:tc>
          <w:tcPr>
            <w:tcW w:w="2130" w:type="dxa"/>
          </w:tcPr>
          <w:p w14:paraId="1CFF9A12">
            <w:pPr>
              <m:rPr/>
              <w:rPr>
                <w:rFonts w:hint="default"/>
                <w:vertAlign w:val="baseline"/>
                <w:lang w:val="en-US" w:eastAsia="zh-CN"/>
              </w:rPr>
            </w:pPr>
            <w:r>
              <m:rPr/>
              <w:rPr>
                <w:rFonts w:hint="eastAsia"/>
                <w:vertAlign w:val="baseline"/>
                <w:lang w:val="en-US" w:eastAsia="zh-CN"/>
              </w:rPr>
              <w:t>98.07%</w:t>
            </w:r>
          </w:p>
        </w:tc>
        <w:tc>
          <w:tcPr>
            <w:tcW w:w="2130" w:type="dxa"/>
          </w:tcPr>
          <w:p w14:paraId="191B2819">
            <w:pPr>
              <m:rPr/>
              <w:rPr>
                <w:rFonts w:hint="default"/>
                <w:vertAlign w:val="baseline"/>
                <w:lang w:val="en-US" w:eastAsia="zh-CN"/>
              </w:rPr>
            </w:pPr>
            <w:r>
              <m:rPr/>
              <w:rPr>
                <w:rFonts w:hint="eastAsia"/>
                <w:vertAlign w:val="baseline"/>
                <w:lang w:val="en-US" w:eastAsia="zh-CN"/>
              </w:rPr>
              <w:t>99.49%</w:t>
            </w:r>
          </w:p>
        </w:tc>
        <w:tc>
          <w:tcPr>
            <w:tcW w:w="2131" w:type="dxa"/>
          </w:tcPr>
          <w:p w14:paraId="1F153CE5">
            <w:pPr>
              <m:rPr/>
              <w:rPr>
                <w:rFonts w:hint="default"/>
                <w:vertAlign w:val="baseline"/>
                <w:lang w:val="en-US" w:eastAsia="zh-CN"/>
              </w:rPr>
            </w:pPr>
            <w:r>
              <m:rPr/>
              <w:rPr>
                <w:rFonts w:hint="eastAsia"/>
                <w:vertAlign w:val="baseline"/>
                <w:lang w:val="en-US" w:eastAsia="zh-CN"/>
              </w:rPr>
              <w:t>+1.42pp</w:t>
            </w:r>
          </w:p>
        </w:tc>
        <w:tc>
          <w:tcPr>
            <w:tcW w:w="2131" w:type="dxa"/>
          </w:tcPr>
          <w:p w14:paraId="1E7AF767">
            <w:pPr>
              <m:rPr/>
              <w:rPr>
                <w:rFonts w:hint="default"/>
                <w:vertAlign w:val="baseline"/>
                <w:lang w:val="en-US" w:eastAsia="zh-CN"/>
              </w:rPr>
            </w:pPr>
          </w:p>
        </w:tc>
      </w:tr>
      <w:tr w14:paraId="389F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shd w:val="clear"/>
            <w:vAlign w:val="top"/>
          </w:tcPr>
          <w:p w14:paraId="0E1A7DCB">
            <w:pPr>
              <m:rPr/>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Test Accuracy</w:t>
            </w:r>
          </w:p>
        </w:tc>
        <w:tc>
          <w:tcPr>
            <w:tcW w:w="2130" w:type="dxa"/>
          </w:tcPr>
          <w:p w14:paraId="667E82B6">
            <w:pPr>
              <m:rPr/>
              <w:rPr>
                <w:rFonts w:hint="default"/>
                <w:vertAlign w:val="baseline"/>
                <w:lang w:val="en-US" w:eastAsia="zh-CN"/>
              </w:rPr>
            </w:pPr>
            <w:r>
              <m:rPr/>
              <w:rPr>
                <w:rFonts w:hint="eastAsia"/>
                <w:vertAlign w:val="baseline"/>
                <w:lang w:val="en-US" w:eastAsia="zh-CN"/>
              </w:rPr>
              <w:t>87.36%</w:t>
            </w:r>
          </w:p>
        </w:tc>
        <w:tc>
          <w:tcPr>
            <w:tcW w:w="2130" w:type="dxa"/>
          </w:tcPr>
          <w:p w14:paraId="61EA1CBA">
            <w:pPr>
              <m:rPr/>
              <w:rPr>
                <w:rFonts w:hint="default"/>
                <w:vertAlign w:val="baseline"/>
                <w:lang w:val="en-US" w:eastAsia="zh-CN"/>
              </w:rPr>
            </w:pPr>
            <w:r>
              <m:rPr/>
              <w:rPr>
                <w:rFonts w:hint="eastAsia"/>
                <w:vertAlign w:val="baseline"/>
                <w:lang w:val="en-US" w:eastAsia="zh-CN"/>
              </w:rPr>
              <w:t>91.81%</w:t>
            </w:r>
          </w:p>
        </w:tc>
        <w:tc>
          <w:tcPr>
            <w:tcW w:w="2131" w:type="dxa"/>
          </w:tcPr>
          <w:p w14:paraId="5F82947A">
            <w:pPr>
              <m:rPr/>
              <w:rPr>
                <w:rFonts w:hint="default"/>
                <w:vertAlign w:val="baseline"/>
                <w:lang w:val="en-US" w:eastAsia="zh-CN"/>
              </w:rPr>
            </w:pPr>
            <w:r>
              <m:rPr/>
              <w:rPr>
                <w:rFonts w:hint="eastAsia"/>
                <w:vertAlign w:val="baseline"/>
                <w:lang w:val="en-US" w:eastAsia="zh-CN"/>
              </w:rPr>
              <w:t>+4.46pp</w:t>
            </w:r>
          </w:p>
        </w:tc>
        <w:tc>
          <w:tcPr>
            <w:tcW w:w="2131" w:type="dxa"/>
          </w:tcPr>
          <w:p w14:paraId="22025C4F">
            <w:pPr>
              <m:rPr/>
              <w:rPr>
                <w:rFonts w:hint="default"/>
                <w:vertAlign w:val="baseline"/>
                <w:lang w:val="en-US" w:eastAsia="zh-CN"/>
              </w:rPr>
            </w:pPr>
          </w:p>
        </w:tc>
      </w:tr>
      <w:tr w14:paraId="02AB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shd w:val="clear"/>
            <w:vAlign w:val="top"/>
          </w:tcPr>
          <w:p w14:paraId="48AFC8D7">
            <w:pPr>
              <m:rPr/>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Macro Class Accuracy</w:t>
            </w:r>
          </w:p>
        </w:tc>
        <w:tc>
          <w:tcPr>
            <w:tcW w:w="2130" w:type="dxa"/>
          </w:tcPr>
          <w:p w14:paraId="652E3ECF">
            <w:pPr>
              <m:rPr/>
              <w:rPr>
                <w:rFonts w:hint="default"/>
                <w:vertAlign w:val="baseline"/>
                <w:lang w:val="en-US" w:eastAsia="zh-CN"/>
              </w:rPr>
            </w:pPr>
            <w:r>
              <m:rPr/>
              <w:rPr>
                <w:rFonts w:hint="eastAsia"/>
                <w:vertAlign w:val="baseline"/>
                <w:lang w:val="en-US" w:eastAsia="zh-CN"/>
              </w:rPr>
              <w:t>82.46%</w:t>
            </w:r>
          </w:p>
        </w:tc>
        <w:tc>
          <w:tcPr>
            <w:tcW w:w="2130" w:type="dxa"/>
          </w:tcPr>
          <w:p w14:paraId="3EF4908D">
            <w:pPr>
              <m:rPr/>
              <w:rPr>
                <w:rFonts w:hint="default"/>
                <w:vertAlign w:val="baseline"/>
                <w:lang w:val="en-US" w:eastAsia="zh-CN"/>
              </w:rPr>
            </w:pPr>
            <w:r>
              <m:rPr/>
              <w:rPr>
                <w:rFonts w:hint="eastAsia"/>
                <w:vertAlign w:val="baseline"/>
                <w:lang w:val="en-US" w:eastAsia="zh-CN"/>
              </w:rPr>
              <w:t>87.80%</w:t>
            </w:r>
          </w:p>
        </w:tc>
        <w:tc>
          <w:tcPr>
            <w:tcW w:w="2131" w:type="dxa"/>
          </w:tcPr>
          <w:p w14:paraId="5825D656">
            <w:pPr>
              <m:rPr/>
              <w:rPr>
                <w:rFonts w:hint="default"/>
                <w:vertAlign w:val="baseline"/>
                <w:lang w:val="en-US" w:eastAsia="zh-CN"/>
              </w:rPr>
            </w:pPr>
            <w:r>
              <m:rPr/>
              <w:rPr>
                <w:rFonts w:hint="eastAsia"/>
                <w:vertAlign w:val="baseline"/>
                <w:lang w:val="en-US" w:eastAsia="zh-CN"/>
              </w:rPr>
              <w:t>+5.35pp</w:t>
            </w:r>
          </w:p>
        </w:tc>
        <w:tc>
          <w:tcPr>
            <w:tcW w:w="2131" w:type="dxa"/>
          </w:tcPr>
          <w:p w14:paraId="2E71BD9D">
            <w:pPr>
              <m:rPr/>
              <w:rPr>
                <w:rFonts w:hint="default"/>
                <w:vertAlign w:val="baseline"/>
                <w:lang w:val="en-US" w:eastAsia="zh-CN"/>
              </w:rPr>
            </w:pPr>
          </w:p>
        </w:tc>
      </w:tr>
      <w:tr w14:paraId="3BD7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57" w:type="dxa"/>
            <w:shd w:val="clear"/>
            <w:vAlign w:val="top"/>
          </w:tcPr>
          <w:p w14:paraId="01FD5C8E">
            <w:pPr>
              <m:rPr/>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Test Loss</w:t>
            </w:r>
          </w:p>
        </w:tc>
        <w:tc>
          <w:tcPr>
            <w:tcW w:w="2130" w:type="dxa"/>
          </w:tcPr>
          <w:p w14:paraId="561327D4">
            <w:pPr>
              <m:rPr/>
              <w:rPr>
                <w:rFonts w:hint="default"/>
                <w:vertAlign w:val="baseline"/>
                <w:lang w:val="en-US" w:eastAsia="zh-CN"/>
              </w:rPr>
            </w:pPr>
            <w:r>
              <m:rPr/>
              <w:rPr>
                <w:rFonts w:hint="eastAsia"/>
                <w:vertAlign w:val="baseline"/>
                <w:lang w:val="en-US" w:eastAsia="zh-CN"/>
              </w:rPr>
              <w:t>0.4941</w:t>
            </w:r>
          </w:p>
        </w:tc>
        <w:tc>
          <w:tcPr>
            <w:tcW w:w="2130" w:type="dxa"/>
          </w:tcPr>
          <w:p w14:paraId="64586DE8">
            <w:pPr>
              <m:rPr/>
              <w:rPr>
                <w:rFonts w:hint="default"/>
                <w:vertAlign w:val="baseline"/>
                <w:lang w:val="en-US" w:eastAsia="zh-CN"/>
              </w:rPr>
            </w:pPr>
            <w:r>
              <m:rPr/>
              <w:rPr>
                <w:rFonts w:hint="eastAsia"/>
                <w:vertAlign w:val="baseline"/>
                <w:lang w:val="en-US" w:eastAsia="zh-CN"/>
              </w:rPr>
              <w:t>0.3461</w:t>
            </w:r>
          </w:p>
        </w:tc>
        <w:tc>
          <w:tcPr>
            <w:tcW w:w="2131" w:type="dxa"/>
          </w:tcPr>
          <w:p w14:paraId="309CE4C8">
            <w:pPr>
              <m:rPr/>
              <w:rPr>
                <w:rFonts w:hint="default"/>
                <w:vertAlign w:val="baseline"/>
                <w:lang w:val="en-US" w:eastAsia="zh-CN"/>
              </w:rPr>
            </w:pPr>
            <w:r>
              <m:rPr/>
              <w:rPr>
                <w:rFonts w:hint="eastAsia"/>
                <w:vertAlign w:val="baseline"/>
                <w:lang w:val="en-US" w:eastAsia="zh-CN"/>
              </w:rPr>
              <w:t>-0.1480</w:t>
            </w:r>
          </w:p>
        </w:tc>
        <w:tc>
          <w:tcPr>
            <w:tcW w:w="2131" w:type="dxa"/>
          </w:tcPr>
          <w:p w14:paraId="2A9EBA9E">
            <w:pPr>
              <m:rPr/>
              <w:rPr>
                <w:rFonts w:hint="default"/>
                <w:vertAlign w:val="baseline"/>
                <w:lang w:val="en-US" w:eastAsia="zh-CN"/>
              </w:rPr>
            </w:pPr>
          </w:p>
        </w:tc>
      </w:tr>
    </w:tbl>
    <w:p w14:paraId="4835B218">
      <w:pPr>
        <m:rPr/>
        <w:rPr>
          <w:rFonts w:hint="default"/>
          <w:lang w:val="en-US" w:eastAsia="zh-CN"/>
        </w:rPr>
      </w:pPr>
      <w:r>
        <m:rPr/>
        <w:rPr>
          <w:rFonts w:hint="default"/>
          <w:lang w:val="en-US" w:eastAsia="zh-CN"/>
        </w:rPr>
        <w:t>这些结果显示，在两种已测试的标签异构程度下，μ=0.1均提高了测试准确率和宏平均类别准确率，同时降低了测试损失。提升在更强的α=0.1异构条件下更为明显，支持了“客户端数据越异构，适当近端约束可能越有价值”的研究假设。</w:t>
      </w:r>
    </w:p>
    <w:p w14:paraId="5E7E41C4">
      <w:pPr>
        <m:rPr/>
        <w:rPr>
          <w:rFonts w:hint="default"/>
          <w:lang w:val="en-US" w:eastAsia="zh-CN"/>
        </w:rPr>
      </w:pPr>
      <w:r>
        <m:rPr/>
        <w:rPr>
          <w:rFonts w:hint="default"/>
          <w:lang w:val="en-US" w:eastAsia="zh-CN"/>
        </w:rPr>
        <w:drawing>
          <wp:inline distT="0" distB="0" distL="114300" distR="114300">
            <wp:extent cx="5266690" cy="2926080"/>
            <wp:effectExtent l="0" t="0" r="3810" b="7620"/>
            <wp:docPr id="4" name="图片 4" descr="alpha01_val_accuracy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lpha01_val_accuracy_curve"/>
                    <pic:cNvPicPr>
                      <a:picLocks noChangeAspect="1"/>
                    </pic:cNvPicPr>
                  </pic:nvPicPr>
                  <pic:blipFill>
                    <a:blip r:embed="rId7"/>
                    <a:stretch>
                      <a:fillRect/>
                    </a:stretch>
                  </pic:blipFill>
                  <pic:spPr>
                    <a:xfrm>
                      <a:off x="0" y="0"/>
                      <a:ext cx="5266690" cy="2926080"/>
                    </a:xfrm>
                    <a:prstGeom prst="rect">
                      <a:avLst/>
                    </a:prstGeom>
                  </pic:spPr>
                </pic:pic>
              </a:graphicData>
            </a:graphic>
          </wp:inline>
        </w:drawing>
      </w:r>
    </w:p>
    <w:p w14:paraId="0D7DE86D">
      <w:pPr>
        <m:rPr/>
        <w:rPr>
          <w:rFonts w:hint="eastAsia"/>
          <w:lang w:val="en-US" w:eastAsia="zh-CN"/>
        </w:rPr>
      </w:pPr>
      <w:r>
        <m:rPr/>
        <w:rPr>
          <w:rFonts w:hint="eastAsia"/>
          <w:lang w:val="en-US" w:eastAsia="zh-CN"/>
        </w:rPr>
        <w:t xml:space="preserve">Figure 3. Validation accuracy of the strictly paired FedProx experiments under </w:t>
      </w:r>
      <w:r>
        <m:rPr/>
        <w:rPr>
          <w:rFonts w:hint="default" w:ascii="Arial" w:hAnsi="Arial" w:cs="Arial"/>
          <w:lang w:val="en-US" w:eastAsia="zh-CN"/>
        </w:rPr>
        <w:t>α</w:t>
      </w:r>
      <w:r>
        <m:rPr/>
        <w:rPr>
          <w:rFonts w:hint="eastAsia"/>
          <w:lang w:val="en-US" w:eastAsia="zh-CN"/>
        </w:rPr>
        <w:t>=0.1</w:t>
      </w:r>
    </w:p>
    <w:p w14:paraId="2683ECF5">
      <w:pPr>
        <m:rPr/>
        <w:rPr>
          <w:rFonts w:hint="eastAsia"/>
          <w:lang w:val="en-US" w:eastAsia="zh-CN"/>
        </w:rPr>
      </w:pPr>
      <w:r>
        <m:rPr/>
        <w:rPr>
          <w:rFonts w:hint="eastAsia"/>
          <w:lang w:val="en-US" w:eastAsia="zh-CN"/>
        </w:rPr>
        <w:t xml:space="preserve">(The </w:t>
      </w:r>
      <w:r>
        <w:rPr>
          <w:rFonts w:hint="default"/>
          <w:lang w:val="en-US" w:eastAsia="zh-CN"/>
        </w:rPr>
        <w:t>μ</w:t>
      </w:r>
      <w:r>
        <m:rPr/>
        <w:rPr>
          <w:rFonts w:hint="eastAsia"/>
          <w:lang w:val="en-US" w:eastAsia="zh-CN"/>
        </w:rPr>
        <w:t xml:space="preserve">=0.1 configuration generally achieves faster improvement and higher validation accuracy than the </w:t>
      </w:r>
      <w:r>
        <w:rPr>
          <w:rFonts w:hint="default"/>
          <w:lang w:val="en-US" w:eastAsia="zh-CN"/>
        </w:rPr>
        <w:t>μ</w:t>
      </w:r>
      <w:r>
        <m:rPr/>
        <w:rPr>
          <w:rFonts w:hint="eastAsia"/>
          <w:lang w:val="en-US" w:eastAsia="zh-CN"/>
        </w:rPr>
        <w:t>=0 control.)</w:t>
      </w:r>
    </w:p>
    <w:p w14:paraId="0241A176">
      <w:pPr>
        <m:rPr/>
        <w:rPr>
          <w:rFonts w:hint="default"/>
          <w:lang w:val="en-US" w:eastAsia="zh-CN"/>
        </w:rPr>
      </w:pPr>
      <w:r>
        <m:rPr/>
        <w:rPr>
          <w:rFonts w:hint="default"/>
          <w:lang w:val="en-US" w:eastAsia="zh-CN"/>
        </w:rPr>
        <w:t>这张图中μ=0.1曲线在训练中期开始明显领先，并在多数后续轮次中保持较高水平。两组曲线都存在一定波动，尤其是μ=0控制组的下降更频繁。这说明FedProx的优势不仅体现在最终一次测试中，也体现在训练过程中更高的验证性能。</w:t>
      </w:r>
    </w:p>
    <w:p w14:paraId="0992DA14">
      <w:pPr>
        <m:rPr/>
        <w:rPr>
          <w:rFonts w:hint="default"/>
          <w:lang w:val="en-US" w:eastAsia="zh-CN"/>
        </w:rPr>
      </w:pPr>
      <w:r>
        <m:rPr/>
        <w:rPr>
          <w:rFonts w:hint="default"/>
          <w:lang w:val="en-US" w:eastAsia="zh-CN"/>
        </w:rPr>
        <w:t>但不能仅凭该曲线宣称FedProx在所有轮次都更加稳定，因为当前实验只有一个随机种子，且验证集本身可能受到客户端内部数据相关性的影响。因此，曲线应作为配对结果的过程证据，而不是统计显著性的证明。</w:t>
      </w:r>
    </w:p>
    <w:p w14:paraId="6A39B88D">
      <w:pPr>
        <w:pStyle w:val="3"/>
        <w:bidi w:val="0"/>
        <m:rPr/>
        <w:rPr>
          <w:rFonts w:hint="eastAsia"/>
          <w:lang w:val="en-US" w:eastAsia="zh-CN"/>
        </w:rPr>
      </w:pPr>
      <w:r>
        <m:rPr/>
        <w:rPr>
          <w:rFonts w:hint="eastAsia"/>
          <w:lang w:val="en-US" w:eastAsia="zh-CN"/>
        </w:rPr>
        <w:t>3.4 类别级性能变化</w:t>
      </w:r>
    </w:p>
    <w:p w14:paraId="7924069D">
      <w:pPr>
        <m:rPr/>
        <w:rPr>
          <w:rFonts w:hint="default"/>
          <w:lang w:val="en-US" w:eastAsia="zh-CN"/>
        </w:rPr>
      </w:pPr>
      <w:r>
        <m:rPr/>
        <w:rPr>
          <w:rFonts w:hint="default"/>
          <w:lang w:val="en-US" w:eastAsia="zh-CN"/>
        </w:rPr>
        <w:t>总体准确率可能受到样本较多类别的主导，因此本研究还比较了43个类别在μ=0和μ=0.1条件下的准确率变化。</w:t>
      </w:r>
    </w:p>
    <w:p w14:paraId="053883C1">
      <w:pPr>
        <m:rPr/>
        <w:rPr>
          <w:rFonts w:hint="default"/>
          <w:lang w:val="en-US" w:eastAsia="zh-CN"/>
        </w:rPr>
      </w:pPr>
      <w:r>
        <m:rPr/>
        <w:rPr>
          <w:rFonts w:hint="default"/>
          <w:lang w:val="en-US" w:eastAsia="zh-CN"/>
        </w:rPr>
        <w:t>在α=0.1条件下，FedProx使33个类别的准确率提高，9个类别下降，1个类别保持不变，所有类别的平均提升为7.19个百分点。μ=0控制组中准确率为0的class 0，在μ=0.1条件下恢复到3.33%。在α=0.5条件下，共有32个类别提高，6个类别下降，5个类别不变。</w:t>
      </w:r>
    </w:p>
    <w:p w14:paraId="315271D1">
      <w:pPr>
        <m:rPr/>
        <w:rPr>
          <w:rFonts w:hint="default"/>
          <w:lang w:val="en-US" w:eastAsia="zh-CN"/>
        </w:rPr>
      </w:pPr>
      <w:r>
        <m:rPr/>
        <w:rPr>
          <w:rFonts w:hint="default"/>
          <w:lang w:val="en-US" w:eastAsia="zh-CN"/>
        </w:rPr>
        <w:drawing>
          <wp:inline distT="0" distB="0" distL="114300" distR="114300">
            <wp:extent cx="5270500" cy="2395855"/>
            <wp:effectExtent l="0" t="0" r="0" b="4445"/>
            <wp:docPr id="5" name="图片 5" descr="alpha01_per_class_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lpha01_per_class_delta"/>
                    <pic:cNvPicPr>
                      <a:picLocks noChangeAspect="1"/>
                    </pic:cNvPicPr>
                  </pic:nvPicPr>
                  <pic:blipFill>
                    <a:blip r:embed="rId8"/>
                    <a:stretch>
                      <a:fillRect/>
                    </a:stretch>
                  </pic:blipFill>
                  <pic:spPr>
                    <a:xfrm>
                      <a:off x="0" y="0"/>
                      <a:ext cx="5270500" cy="2395855"/>
                    </a:xfrm>
                    <a:prstGeom prst="rect">
                      <a:avLst/>
                    </a:prstGeom>
                  </pic:spPr>
                </pic:pic>
              </a:graphicData>
            </a:graphic>
          </wp:inline>
        </w:drawing>
      </w:r>
    </w:p>
    <w:p w14:paraId="382A29D5">
      <w:pPr>
        <m:rPr/>
        <w:rPr>
          <w:rFonts w:hint="eastAsia"/>
          <w:lang w:val="en-US" w:eastAsia="zh-CN"/>
        </w:rPr>
      </w:pPr>
      <w:r>
        <m:rPr/>
        <w:rPr>
          <w:rFonts w:hint="default"/>
          <w:lang w:val="en-US" w:eastAsia="zh-CN"/>
        </w:rPr>
        <w:t xml:space="preserve">Figure 4. Per-class accuracy changes produced by μ=0.1 relative to the μ=0 control under α=0.1. </w:t>
      </w:r>
      <w:r>
        <m:rPr/>
        <w:rPr>
          <w:rFonts w:hint="eastAsia"/>
          <w:lang w:val="en-US" w:eastAsia="zh-CN"/>
        </w:rPr>
        <w:t>(</w:t>
      </w:r>
      <w:r>
        <m:rPr/>
        <w:rPr>
          <w:rFonts w:hint="default"/>
          <w:lang w:val="en-US" w:eastAsia="zh-CN"/>
        </w:rPr>
        <w:t>Positive bars indicate class-level improvement, while negative bars show that FedProx does not benefit every class equally.</w:t>
      </w:r>
      <w:r>
        <m:rPr/>
        <w:rPr>
          <w:rFonts w:hint="eastAsia"/>
          <w:lang w:val="en-US" w:eastAsia="zh-CN"/>
        </w:rPr>
        <w:t>)</w:t>
      </w:r>
    </w:p>
    <w:p w14:paraId="7792748C">
      <w:pPr>
        <m:rPr/>
        <w:rPr>
          <w:rFonts w:hint="default"/>
          <w:lang w:val="en-US" w:eastAsia="zh-CN"/>
        </w:rPr>
      </w:pPr>
      <w:r>
        <m:rPr/>
        <w:rPr>
          <w:rFonts w:hint="default"/>
          <w:lang w:val="en-US" w:eastAsia="zh-CN"/>
        </w:rPr>
        <w:t>图中大多数柱形位于零线上方，说明总体提升并非仅来自少数高频类别。不过，仍有部分类别出现下降，因此FedProx不能被描述为解决了所有类别的性能问题。更准确的结论是：FedProx在当前实验条件下改善了多数类别和总体类别均衡性，但仍存在类别间收益不一致的问题。</w:t>
      </w:r>
    </w:p>
    <w:p w14:paraId="35382D70">
      <w:pPr>
        <w:pStyle w:val="3"/>
        <w:bidi w:val="0"/>
        <m:rPr/>
        <w:rPr>
          <w:rFonts w:hint="eastAsia"/>
          <w:lang w:val="en-US" w:eastAsia="zh-CN"/>
        </w:rPr>
      </w:pPr>
      <w:r>
        <m:rPr/>
        <w:rPr>
          <w:rFonts w:hint="eastAsia"/>
          <w:lang w:val="en-US" w:eastAsia="zh-CN"/>
        </w:rPr>
        <w:t>3.5 核心结果总结</w:t>
      </w:r>
    </w:p>
    <w:p w14:paraId="00421816">
      <w:pPr>
        <m:rPr/>
        <w:rPr>
          <w:rFonts w:hint="eastAsia"/>
          <w:lang w:val="en-US" w:eastAsia="zh-CN"/>
        </w:rPr>
      </w:pPr>
      <w:r>
        <m:rPr/>
        <w:rPr>
          <w:rFonts w:hint="eastAsia"/>
          <w:lang w:val="en-US" w:eastAsia="zh-CN"/>
        </w:rPr>
        <w:t>1、在近似IID条件下，FedAvg能够显著优于Local-only，并达到与集中式训练相近的测试性能。</w:t>
      </w:r>
    </w:p>
    <w:p w14:paraId="7B91DFAE">
      <w:pPr>
        <m:rPr/>
        <w:rPr>
          <w:rFonts w:hint="eastAsia"/>
          <w:lang w:val="en-US" w:eastAsia="zh-CN"/>
        </w:rPr>
      </w:pPr>
      <w:r>
        <m:rPr/>
        <w:rPr>
          <w:rFonts w:hint="eastAsia"/>
          <w:lang w:val="en-US" w:eastAsia="zh-CN"/>
        </w:rPr>
        <w:t>2、FedAvg对轻度和中度标签偏斜较为鲁棒，但在</w:t>
      </w:r>
      <w:r>
        <m:rPr/>
        <w:rPr>
          <w:rFonts w:hint="default" w:ascii="Arial" w:hAnsi="Arial" w:cs="Arial"/>
          <w:lang w:val="en-US" w:eastAsia="zh-CN"/>
        </w:rPr>
        <w:t>α</w:t>
      </w:r>
      <w:r>
        <m:rPr/>
        <w:rPr>
          <w:rFonts w:hint="eastAsia"/>
          <w:lang w:val="en-US" w:eastAsia="zh-CN"/>
        </w:rPr>
        <w:t>=0.1的极端标签偏斜下出现明显的整体退化和类别级失效。</w:t>
      </w:r>
    </w:p>
    <w:p w14:paraId="534C3541">
      <w:pPr>
        <m:rPr/>
        <w:rPr>
          <w:rFonts w:hint="eastAsia"/>
          <w:lang w:val="en-US" w:eastAsia="zh-CN"/>
        </w:rPr>
      </w:pPr>
      <w:r>
        <m:rPr/>
        <w:rPr>
          <w:rFonts w:hint="eastAsia"/>
          <w:lang w:val="en-US" w:eastAsia="zh-CN"/>
        </w:rPr>
        <w:t>3、在严格匹配的SGD控制实验中，FedProx</w:t>
      </w:r>
      <w:r>
        <w:rPr>
          <w:rFonts w:hint="default"/>
          <w:lang w:val="en-US" w:eastAsia="zh-CN"/>
        </w:rPr>
        <w:t>μ</w:t>
      </w:r>
      <w:r>
        <m:rPr/>
        <w:rPr>
          <w:rFonts w:hint="eastAsia"/>
          <w:lang w:val="en-US" w:eastAsia="zh-CN"/>
        </w:rPr>
        <w:t>=0.1在</w:t>
      </w:r>
      <w:r>
        <m:rPr/>
        <w:rPr>
          <w:rFonts w:hint="default" w:ascii="Arial" w:hAnsi="Arial" w:cs="Arial"/>
          <w:lang w:val="en-US" w:eastAsia="zh-CN"/>
        </w:rPr>
        <w:t>α</w:t>
      </w:r>
      <w:r>
        <m:rPr/>
        <w:rPr>
          <w:rFonts w:hint="eastAsia"/>
          <w:lang w:val="en-US" w:eastAsia="zh-CN"/>
        </w:rPr>
        <w:t>=0.1和</w:t>
      </w:r>
      <w:r>
        <m:rPr/>
        <w:rPr>
          <w:rFonts w:hint="default" w:ascii="Arial" w:hAnsi="Arial" w:cs="Arial"/>
          <w:lang w:val="en-US" w:eastAsia="zh-CN"/>
        </w:rPr>
        <w:t>α</w:t>
      </w:r>
      <w:r>
        <m:rPr/>
        <w:rPr>
          <w:rFonts w:hint="eastAsia"/>
          <w:lang w:val="en-US" w:eastAsia="zh-CN"/>
        </w:rPr>
        <w:t>=0.5下均提高了测试准确率与宏平均类别准确率。</w:t>
      </w:r>
    </w:p>
    <w:p w14:paraId="0FE15F67">
      <w:pPr>
        <m:rPr/>
        <w:rPr>
          <w:rFonts w:hint="eastAsia"/>
          <w:lang w:val="en-US" w:eastAsia="zh-CN"/>
        </w:rPr>
      </w:pPr>
      <w:r>
        <m:rPr/>
        <w:rPr>
          <w:rFonts w:hint="eastAsia"/>
          <w:lang w:val="en-US" w:eastAsia="zh-CN"/>
        </w:rPr>
        <w:t>4、FedProx在更强异构条件下取得了更大的收益，但并未让所有类别都得到改善。</w:t>
      </w:r>
    </w:p>
    <w:p w14:paraId="7774801F">
      <w:pPr>
        <m:rPr/>
        <w:rPr>
          <w:rFonts w:hint="eastAsia"/>
          <w:lang w:val="en-US" w:eastAsia="zh-CN"/>
        </w:rPr>
      </w:pPr>
    </w:p>
    <w:p w14:paraId="6B18B1BC">
      <w:pPr>
        <m:rPr/>
        <w:rPr>
          <w:rFonts w:hint="default"/>
          <w:lang w:val="en-US" w:eastAsia="zh-CN"/>
        </w:rPr>
      </w:pPr>
      <w:r>
        <m:rPr/>
        <w:rPr>
          <w:rFonts w:hint="default"/>
          <w:lang w:val="en-US" w:eastAsia="zh-CN"/>
        </w:rPr>
        <w:drawing>
          <wp:inline distT="0" distB="0" distL="114300" distR="114300">
            <wp:extent cx="5274310" cy="3767455"/>
            <wp:effectExtent l="0" t="0" r="8890" b="4445"/>
            <wp:docPr id="7" name="图片 7" descr="stage1ca1_macro_accuracy_gain_by_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tage1ca1_macro_accuracy_gain_by_alpha"/>
                    <pic:cNvPicPr>
                      <a:picLocks noChangeAspect="1"/>
                    </pic:cNvPicPr>
                  </pic:nvPicPr>
                  <pic:blipFill>
                    <a:blip r:embed="rId9"/>
                    <a:stretch>
                      <a:fillRect/>
                    </a:stretch>
                  </pic:blipFill>
                  <pic:spPr>
                    <a:xfrm>
                      <a:off x="0" y="0"/>
                      <a:ext cx="5274310" cy="3767455"/>
                    </a:xfrm>
                    <a:prstGeom prst="rect">
                      <a:avLst/>
                    </a:prstGeom>
                  </pic:spPr>
                </pic:pic>
              </a:graphicData>
            </a:graphic>
          </wp:inline>
        </w:drawing>
      </w:r>
      <w:r>
        <m:rPr/>
        <w:rPr>
          <w:rFonts w:hint="default"/>
          <w:lang w:val="en-US" w:eastAsia="zh-CN"/>
        </w:rPr>
        <w:drawing>
          <wp:inline distT="0" distB="0" distL="114300" distR="114300">
            <wp:extent cx="5274310" cy="3767455"/>
            <wp:effectExtent l="0" t="0" r="8890" b="4445"/>
            <wp:docPr id="6" name="图片 6" descr="stage1ca1_test_accuracy_gain_by_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tage1ca1_test_accuracy_gain_by_alpha"/>
                    <pic:cNvPicPr>
                      <a:picLocks noChangeAspect="1"/>
                    </pic:cNvPicPr>
                  </pic:nvPicPr>
                  <pic:blipFill>
                    <a:blip r:embed="rId10"/>
                    <a:stretch>
                      <a:fillRect/>
                    </a:stretch>
                  </pic:blipFill>
                  <pic:spPr>
                    <a:xfrm>
                      <a:off x="0" y="0"/>
                      <a:ext cx="5274310" cy="3767455"/>
                    </a:xfrm>
                    <a:prstGeom prst="rect">
                      <a:avLst/>
                    </a:prstGeom>
                  </pic:spPr>
                </pic:pic>
              </a:graphicData>
            </a:graphic>
          </wp:inline>
        </w:drawing>
      </w:r>
    </w:p>
    <w:p w14:paraId="28F39729">
      <w:pPr>
        <m:rPr/>
        <w:rPr>
          <w:rFonts w:hint="eastAsia"/>
          <w:lang w:val="en-US" w:eastAsia="zh-CN"/>
        </w:rPr>
      </w:pPr>
      <w:r>
        <m:rPr/>
        <w:rPr>
          <w:rFonts w:hint="default"/>
          <w:lang w:val="en-US" w:eastAsia="zh-CN"/>
        </w:rPr>
        <w:t xml:space="preserve">Figure 5. Paired gains from FedProx under two levels of label heterogeneity. </w:t>
      </w:r>
      <w:r>
        <m:rPr/>
        <w:rPr>
          <w:rFonts w:hint="eastAsia"/>
          <w:lang w:val="en-US" w:eastAsia="zh-CN"/>
        </w:rPr>
        <w:t>(</w:t>
      </w:r>
      <w:r>
        <m:rPr/>
        <w:rPr>
          <w:rFonts w:hint="default"/>
          <w:lang w:val="en-US" w:eastAsia="zh-CN"/>
        </w:rPr>
        <w:t>The improvement is larger under the more extreme α=0.1 partition for both overall test accuracy and macro-class accuracy.</w:t>
      </w:r>
      <w:r>
        <m:rPr/>
        <w:rPr>
          <w:rFonts w:hint="eastAsia"/>
          <w:lang w:val="en-US" w:eastAsia="zh-CN"/>
        </w:rPr>
        <w:t>)</w:t>
      </w:r>
    </w:p>
    <w:p w14:paraId="019DCF30">
      <w:pPr>
        <w:pStyle w:val="2"/>
        <w:bidi w:val="0"/>
        <m:rPr/>
        <w:rPr>
          <w:rFonts w:hint="eastAsia"/>
          <w:lang w:val="en-US" w:eastAsia="zh-CN"/>
        </w:rPr>
      </w:pPr>
      <w:r>
        <m:rPr/>
        <w:rPr>
          <w:rFonts w:hint="eastAsia"/>
          <w:lang w:val="en-US" w:eastAsia="zh-CN"/>
        </w:rPr>
        <w:t>4 Discussion</w:t>
      </w:r>
    </w:p>
    <w:p w14:paraId="4DECFDF5">
      <w:pPr>
        <w:pStyle w:val="3"/>
        <w:bidi w:val="0"/>
        <m:rPr/>
        <w:rPr>
          <w:rFonts w:hint="eastAsia"/>
          <w:lang w:val="en-US" w:eastAsia="zh-CN"/>
        </w:rPr>
      </w:pPr>
      <w:r>
        <m:rPr/>
        <w:rPr>
          <w:rFonts w:hint="eastAsia"/>
          <w:lang w:val="en-US" w:eastAsia="zh-CN"/>
        </w:rPr>
        <w:t>4.1 FedAvg并不会在所有Non-IID条件下失效</w:t>
      </w:r>
    </w:p>
    <w:p w14:paraId="3BFCCA6F">
      <w:pPr>
        <m:rPr/>
        <w:rPr>
          <w:rFonts w:hint="default"/>
          <w:lang w:val="en-US" w:eastAsia="zh-CN"/>
        </w:rPr>
      </w:pPr>
      <w:r>
        <m:rPr/>
        <w:rPr>
          <w:rFonts w:hint="default"/>
          <w:lang w:val="en-US" w:eastAsia="zh-CN"/>
        </w:rPr>
        <w:t>本研究的一个重要发现是，客户端数据非独立同分布并不必然导致FedAvg明显退化。在α=10和α=1.0的数据划分中，客户端的类别比例已经不同于严格IID条件，但FedAvg 的官方测试准确率和宏平均类别准确率仍与IID基线十分接近。即使在α=0.5条件下，总体测试准确率也只出现了较小下降。</w:t>
      </w:r>
    </w:p>
    <w:p w14:paraId="1DF8002B">
      <w:pPr>
        <m:rPr/>
        <w:rPr>
          <w:rFonts w:hint="default"/>
          <w:lang w:val="en-US" w:eastAsia="zh-CN"/>
        </w:rPr>
      </w:pPr>
      <w:r>
        <m:rPr/>
        <w:rPr>
          <w:rFonts w:hint="default"/>
          <w:lang w:val="en-US" w:eastAsia="zh-CN"/>
        </w:rPr>
        <w:t>这一结果说明，讨论Non-IID问题时不能简单地得出“只要客户端数据不同，FedAvg就会失败”的结论。算法表现还受到多种实验条件影响，包括客户端数量、每轮参与比例、本地训练轮数、优化器以及具体的数据异构形式。</w:t>
      </w:r>
    </w:p>
    <w:p w14:paraId="74B384B0">
      <w:pPr>
        <m:rPr/>
        <w:rPr>
          <w:rFonts w:hint="default"/>
          <w:lang w:val="en-US" w:eastAsia="zh-CN"/>
        </w:rPr>
      </w:pPr>
      <w:r>
        <m:rPr/>
        <w:rPr>
          <w:rFonts w:hint="default"/>
          <w:lang w:val="en-US" w:eastAsia="zh-CN"/>
        </w:rPr>
        <w:t>本研究只有5个客户端，并且所有客户端在每轮均参与训练。同时，每个客户端每轮只训练一个本地epoch。这些设置限制了客户端模型在服务器聚合前偏离全局模型的程度，因此可能减轻了client drift。换言之，本研究中的FedAvg对轻度和中度标签偏斜表现出较强鲁棒性，并不意味着FedAvg在部分客户端参与、更多本地训练轮次或更大规模客户端环境下仍会保持相同性能。</w:t>
      </w:r>
    </w:p>
    <w:p w14:paraId="1415F594">
      <w:pPr>
        <m:rPr/>
        <w:rPr>
          <w:rFonts w:hint="default"/>
          <w:lang w:val="en-US" w:eastAsia="zh-CN"/>
        </w:rPr>
      </w:pPr>
      <w:r>
        <m:rPr/>
        <w:rPr>
          <w:rFonts w:hint="default"/>
          <w:lang w:val="en-US" w:eastAsia="zh-CN"/>
        </w:rPr>
        <w:t>因此，本研究对FedAvg更准确的判断是：</w:t>
      </w:r>
    </w:p>
    <w:p w14:paraId="125CFC8F">
      <w:pPr>
        <m:rPr/>
        <w:rPr>
          <w:rFonts w:hint="default"/>
          <w:lang w:val="en-US" w:eastAsia="zh-CN"/>
        </w:rPr>
      </w:pPr>
      <w:r>
        <m:rPr/>
        <w:rPr>
          <w:rFonts w:hint="default"/>
          <w:lang w:val="en-US" w:eastAsia="zh-CN"/>
        </w:rPr>
        <w:t>在当前5客户端、全参与和local epoch=1的实验条件下，FedAvg能够适应轻度及中度标签分布偏斜，但在极端Label Skew下会发生严重退化。</w:t>
      </w:r>
    </w:p>
    <w:p w14:paraId="722FAB71">
      <w:pPr>
        <w:pStyle w:val="3"/>
        <w:bidi w:val="0"/>
        <m:rPr/>
        <w:rPr>
          <w:rFonts w:hint="eastAsia"/>
          <w:lang w:val="en-US" w:eastAsia="zh-CN"/>
        </w:rPr>
      </w:pPr>
      <w:r>
        <m:rPr/>
        <w:rPr>
          <w:rFonts w:hint="eastAsia"/>
          <w:lang w:val="en-US" w:eastAsia="zh-CN"/>
        </w:rPr>
        <w:t>4.2 总体准确率可能掩盖类别性能问题</w:t>
      </w:r>
    </w:p>
    <w:p w14:paraId="02EE3E13">
      <w:pPr>
        <m:rPr/>
        <w:rPr>
          <w:rFonts w:hint="default"/>
          <w:lang w:val="en-US" w:eastAsia="zh-CN"/>
        </w:rPr>
      </w:pPr>
      <w:r>
        <m:rPr/>
        <w:rPr>
          <w:rFonts w:hint="default"/>
          <w:lang w:val="en-US" w:eastAsia="zh-CN"/>
        </w:rPr>
        <w:t>在α=0.5条件下，FedAvg的测试准确率相对于IID仅下降约0.83个百分点，但宏平均类别准确率下降了约2.17个百分点。这表明模型对所有测试样本的整体判断仍然较好，但不同类别之间的性能已经开始变得不均衡。</w:t>
      </w:r>
    </w:p>
    <w:p w14:paraId="3D5A1286">
      <w:pPr>
        <m:rPr/>
        <w:rPr>
          <w:rFonts w:hint="default"/>
          <w:lang w:val="en-US" w:eastAsia="zh-CN"/>
        </w:rPr>
      </w:pPr>
      <w:r>
        <m:rPr/>
        <w:rPr>
          <w:rFonts w:hint="default"/>
          <w:lang w:val="en-US" w:eastAsia="zh-CN"/>
        </w:rPr>
        <w:t>总体准确率按照测试样本数量计算，因此样本数量较多的类别对最终结果具有更大影响。如果模型在常见类别上仍保持较好性能，即使一些低频类别准确率明显下降，总体准确率也可能不会发生很大变化。相比之下，宏平均类别准确率为每一个类别赋予相同权重，因此更容易揭示少数类别或困难类别的退化。</w:t>
      </w:r>
    </w:p>
    <w:p w14:paraId="53C3DC77">
      <w:pPr>
        <m:rPr/>
        <w:rPr>
          <w:rFonts w:hint="default"/>
          <w:lang w:val="en-US" w:eastAsia="zh-CN"/>
        </w:rPr>
      </w:pPr>
      <w:r>
        <m:rPr/>
        <w:rPr>
          <w:rFonts w:hint="default"/>
          <w:lang w:val="en-US" w:eastAsia="zh-CN"/>
        </w:rPr>
        <w:t>α=0.1的结果进一步说明了这一问题。在该条件下，不仅总体指标大幅下降，而且多个类别的准确率降至0。混淆矩阵显示，错误预测集中在特定类别对，而不是均匀随机地分布在所有类别之间。这说明极端Label Skew使全局模型形成了系统性的类别偏置。</w:t>
      </w:r>
    </w:p>
    <w:p w14:paraId="5CBA2306">
      <w:pPr>
        <m:rPr/>
        <w:rPr>
          <w:rFonts w:hint="default"/>
          <w:lang w:val="en-US" w:eastAsia="zh-CN"/>
        </w:rPr>
      </w:pPr>
      <w:r>
        <m:rPr/>
        <w:rPr>
          <w:rFonts w:hint="default"/>
          <w:lang w:val="en-US" w:eastAsia="zh-CN"/>
        </w:rPr>
        <w:t>对于交通标志识别任务而言，类别级失效具有实际意义。不同交通标志的重要性并不完全由其样本数量决定。即使某一类别在数据集中较少出现，如果模型无法识别停止、限速、禁行或警告类标志，也可能造成严重风险。因此，仅报告Overall Accuracy不足以完整评价联邦交通标志识别模型。</w:t>
      </w:r>
    </w:p>
    <w:p w14:paraId="036497BC">
      <w:pPr>
        <m:rPr/>
        <w:rPr>
          <w:rFonts w:hint="default"/>
          <w:lang w:val="en-US" w:eastAsia="zh-CN"/>
        </w:rPr>
      </w:pPr>
      <w:r>
        <m:rPr/>
        <w:rPr>
          <w:rFonts w:hint="default"/>
          <w:lang w:val="en-US" w:eastAsia="zh-CN"/>
        </w:rPr>
        <w:t>本研究因此同时使用总体测试准确率、宏平均类别准确率、逐类别准确率和混淆矩阵。这种多层次评价方式也是本项目值得强调的研究设计之一。</w:t>
      </w:r>
    </w:p>
    <w:p w14:paraId="125507F3">
      <w:pPr>
        <w:pStyle w:val="3"/>
        <w:bidi w:val="0"/>
        <m:rPr/>
        <w:rPr>
          <w:rFonts w:hint="eastAsia"/>
          <w:lang w:val="en-US" w:eastAsia="zh-CN"/>
        </w:rPr>
      </w:pPr>
      <w:r>
        <m:rPr/>
        <w:rPr>
          <w:rFonts w:hint="eastAsia"/>
          <w:lang w:val="en-US" w:eastAsia="zh-CN"/>
        </w:rPr>
        <w:t>4.3 FedProx的改善基于应基于严格控制组解释</w:t>
      </w:r>
    </w:p>
    <w:p w14:paraId="26342035">
      <w:pPr>
        <m:rPr/>
        <w:rPr>
          <w:rFonts w:hint="default"/>
          <w:lang w:val="en-US" w:eastAsia="zh-CN"/>
        </w:rPr>
      </w:pPr>
      <w:r>
        <m:rPr/>
        <w:rPr>
          <w:rFonts w:hint="default"/>
          <w:lang w:val="en-US" w:eastAsia="zh-CN"/>
        </w:rPr>
        <w:t>FedProx在α=0.1和α=0.5条件下均提高了测试准确率和宏平均类别准确率，并降低了测试损失。特别是在α=0.1条件下，μ=0.1相对于μ=0使测试准确率提高约7.02个百分点，宏平均类别准确率提高约7.19个百分点。</w:t>
      </w:r>
    </w:p>
    <w:p w14:paraId="2E788489">
      <w:pPr>
        <m:rPr/>
        <w:rPr>
          <w:rFonts w:hint="default"/>
          <w:lang w:val="en-US" w:eastAsia="zh-CN"/>
        </w:rPr>
      </w:pPr>
      <w:r>
        <m:rPr/>
        <w:rPr>
          <w:rFonts w:hint="default"/>
          <w:lang w:val="en-US" w:eastAsia="zh-CN"/>
        </w:rPr>
        <w:t>不过，这一结果的研究价值并不只在于取得了更高的数值，而在于实验使用了严格匹配的控制组。Stage 1B的历史FedAvg使用Adam优化器，而Stage 1C的FedProx使用SGD。如果直接比较这两组结果，性能差异将同时包含优化器、学习率和近端项等多个因素，无法明确归因。</w:t>
      </w:r>
    </w:p>
    <w:p w14:paraId="713AAF7B">
      <w:pPr>
        <m:rPr/>
        <w:rPr>
          <w:rFonts w:hint="default"/>
          <w:lang w:val="en-US" w:eastAsia="zh-CN"/>
        </w:rPr>
      </w:pPr>
      <w:r>
        <m:rPr/>
        <w:rPr>
          <w:rFonts w:hint="default"/>
          <w:lang w:val="en-US" w:eastAsia="zh-CN"/>
        </w:rPr>
        <w:t>因此，本研究将同一个FedProx训练器中的μ=0设置为主要控制组。在μ=0条件下，近端项消失，而模型初始化、客户端数据、优化器、学习率、训练顺序和通信预算均与μ=0.1保持一致。由此，μ=0.1与μ=0的差异可以更合理地归因于近端约束。</w:t>
      </w:r>
    </w:p>
    <w:p w14:paraId="0DF750FC">
      <w:pPr>
        <m:rPr/>
        <w:rPr>
          <w:rFonts w:hint="default"/>
          <w:lang w:val="en-US" w:eastAsia="zh-CN"/>
        </w:rPr>
      </w:pPr>
      <w:r>
        <m:rPr/>
        <w:rPr>
          <w:rFonts w:hint="default"/>
          <w:lang w:val="en-US" w:eastAsia="zh-CN"/>
        </w:rPr>
        <w:t>这一实验过程说明，在算法研究中，建立可退化、可复现和可审计的控制组，比直接选择最高准确率更重要。即使某一新算法最终结果较高，如果基础训练配置不同，也不能轻易宣称性能提升来自算法机制本身。</w:t>
      </w:r>
    </w:p>
    <w:p w14:paraId="64375AB6">
      <w:pPr>
        <w:pStyle w:val="3"/>
        <w:bidi w:val="0"/>
        <m:rPr/>
        <w:rPr>
          <w:rFonts w:hint="eastAsia"/>
          <w:lang w:val="en-US" w:eastAsia="zh-CN"/>
        </w:rPr>
      </w:pPr>
      <w:r>
        <m:rPr/>
        <w:rPr>
          <w:rFonts w:hint="eastAsia"/>
          <w:lang w:val="en-US" w:eastAsia="zh-CN"/>
        </w:rPr>
        <w:t>4.4 为什么FedProx在更强异构条件下收益更大</w:t>
      </w:r>
    </w:p>
    <w:p w14:paraId="5C5683AE">
      <w:pPr>
        <m:rPr/>
        <w:rPr>
          <w:rFonts w:hint="default"/>
          <w:lang w:val="en-US" w:eastAsia="zh-CN"/>
        </w:rPr>
      </w:pPr>
      <w:r>
        <m:rPr/>
        <w:rPr>
          <w:rFonts w:hint="default"/>
          <w:lang w:val="en-US" w:eastAsia="zh-CN"/>
        </w:rPr>
        <w:t>FedProx在α=0.1下的提升幅度大于α=0.5。这一结果与FedProx的设计动机一致。</w:t>
      </w:r>
    </w:p>
    <w:p w14:paraId="68B47080">
      <w:pPr>
        <m:rPr/>
        <w:rPr>
          <w:rFonts w:hint="default"/>
          <w:lang w:val="en-US" w:eastAsia="zh-CN"/>
        </w:rPr>
      </w:pPr>
      <w:r>
        <m:rPr/>
        <w:rPr>
          <w:rFonts w:hint="default"/>
          <w:lang w:val="en-US" w:eastAsia="zh-CN"/>
        </w:rPr>
        <w:t>在标签分布高度不均衡时，不同客户端的本地损失函数可能指向不同的优化方向。例如，一个客户端可能主要包含限速类标志，而另一个客户端可能主要包含警告或禁令类标志。客户端仅根据自己的本地数据训练时，模型可能向有利于本地类别、但不利于其他客户端类别的方向更新。</w:t>
      </w:r>
    </w:p>
    <w:p w14:paraId="79DE183A">
      <w:pPr>
        <m:rPr/>
        <w:rPr>
          <w:rFonts w:hint="default"/>
          <w:lang w:val="en-US" w:eastAsia="zh-CN"/>
        </w:rPr>
      </w:pPr>
      <w:r>
        <m:rPr/>
        <w:rPr>
          <w:rFonts w:hint="default"/>
          <w:lang w:val="en-US" w:eastAsia="zh-CN"/>
        </w:rPr>
        <w:t>FedProx在本地目标函数中加入模型与当前全局模型之间的距离惩罚，使客户端在学习本地数据特征的同时，避免过度偏离服务器下发的共享模型。理论上，这种约束可以减弱客户端更新之间的冲突。</w:t>
      </w:r>
    </w:p>
    <w:p w14:paraId="0CB11EFC">
      <w:pPr>
        <m:rPr/>
        <w:rPr>
          <w:rFonts w:hint="default"/>
          <w:lang w:val="en-US" w:eastAsia="zh-CN"/>
        </w:rPr>
      </w:pPr>
      <w:r>
        <m:rPr/>
        <w:rPr>
          <w:rFonts w:hint="default"/>
          <w:lang w:val="en-US" w:eastAsia="zh-CN"/>
        </w:rPr>
        <w:t>本研究结果显示，在较强异构的α=0.1条件下，近端项带来的总体准确率和宏平均类别准确率提升均更明显。这支持了“异构程度越强，适当的近端约束可能越有价值”的假设。</w:t>
      </w:r>
    </w:p>
    <w:p w14:paraId="2BF742AF">
      <w:pPr>
        <m:rPr/>
        <w:rPr>
          <w:rFonts w:hint="default"/>
          <w:lang w:val="en-US" w:eastAsia="zh-CN"/>
        </w:rPr>
      </w:pPr>
      <w:r>
        <m:rPr/>
        <w:rPr>
          <w:rFonts w:hint="default"/>
          <w:lang w:val="en-US" w:eastAsia="zh-CN"/>
        </w:rPr>
        <w:t>但当前证据仍不足以直接证明FedProx在每一轮都单调缩小了客户端模型与全局模型之间的距离。μ=0和μ=0.1在经过多轮训练后会进入不同的模型轨迹和损失区域，不能简单地比较某一轮的模型距离，并将较小距离直接解释为算法机制证据。已有漂移审计的主要作用是验证客户端更新和服务器重构过程正确，而不是完成完整的因果机制分析。</w:t>
      </w:r>
    </w:p>
    <w:p w14:paraId="11E887AA">
      <w:pPr>
        <m:rPr/>
        <w:rPr>
          <w:rFonts w:hint="default"/>
          <w:lang w:val="en-US" w:eastAsia="zh-CN"/>
        </w:rPr>
      </w:pPr>
      <w:r>
        <m:rPr/>
        <w:rPr>
          <w:rFonts w:hint="default"/>
          <w:lang w:val="en-US" w:eastAsia="zh-CN"/>
        </w:rPr>
        <w:t>更严格的机制研究应从同一个全局模型出发，在完全相同的数据batch上对μ=0和μ&gt;0进行单步受控比较。</w:t>
      </w:r>
    </w:p>
    <w:p w14:paraId="454B0F93">
      <w:pPr>
        <w:pStyle w:val="3"/>
        <w:bidi w:val="0"/>
        <m:rPr/>
        <w:rPr>
          <w:rFonts w:hint="eastAsia"/>
          <w:lang w:val="en-US" w:eastAsia="zh-CN"/>
        </w:rPr>
      </w:pPr>
      <w:r>
        <m:rPr/>
        <w:rPr>
          <w:rFonts w:hint="eastAsia"/>
          <w:lang w:val="en-US" w:eastAsia="zh-CN"/>
        </w:rPr>
        <w:t>4.5 FedProx改善了多数类别，但没有解决全部问题</w:t>
      </w:r>
    </w:p>
    <w:p w14:paraId="78F3DC18">
      <w:pPr>
        <m:rPr/>
        <w:rPr>
          <w:rFonts w:hint="default"/>
          <w:lang w:val="en-US" w:eastAsia="zh-CN"/>
        </w:rPr>
      </w:pPr>
      <w:r>
        <m:rPr/>
        <w:rPr>
          <w:rFonts w:hint="default"/>
          <w:lang w:val="en-US" w:eastAsia="zh-CN"/>
        </w:rPr>
        <w:t>在α=0.1条件下，FedProx μ=0.1使33个类别的准确率提高，但仍有9个类别下降。在α=0.5条件下，32个类别提高，6个类别下降。</w:t>
      </w:r>
    </w:p>
    <w:p w14:paraId="005F5E7D">
      <w:pPr>
        <m:rPr/>
        <w:rPr>
          <w:rFonts w:hint="default"/>
          <w:lang w:val="en-US" w:eastAsia="zh-CN"/>
        </w:rPr>
      </w:pPr>
      <w:r>
        <m:rPr/>
        <w:rPr>
          <w:rFonts w:hint="default"/>
          <w:lang w:val="en-US" w:eastAsia="zh-CN"/>
        </w:rPr>
        <w:t>因此，宏平均类别准确率的提升不是仅由少数样本量较大的类别贡献，而是来自多数类别的共同改善。这加强了FedProx结果的可信度。然而，部分类别仍然出现性能下降，说明近端约束并不能保证每个类别都得到同等收益。</w:t>
      </w:r>
    </w:p>
    <w:p w14:paraId="1DA5C137">
      <w:pPr>
        <m:rPr/>
        <w:rPr>
          <w:rFonts w:hint="default"/>
          <w:lang w:val="en-US" w:eastAsia="zh-CN"/>
        </w:rPr>
      </w:pPr>
      <w:r>
        <m:rPr/>
        <w:rPr>
          <w:rFonts w:hint="default"/>
          <w:lang w:val="en-US" w:eastAsia="zh-CN"/>
        </w:rPr>
        <w:t>在极端α=0.1条件下，μ=0控制组中的class 0准确率为0，而μ=0.1将其恢复至3.33%。这一变化说明原本完全失效的类别获得了一定恢复，但3.33%仍然是很低的准确率。因此，应将该结果描述为“部分恢复”，而不能称为“解决了类别失效”。</w:t>
      </w:r>
    </w:p>
    <w:p w14:paraId="74D16996">
      <w:pPr>
        <m:rPr/>
        <w:rPr>
          <w:rFonts w:hint="default"/>
          <w:lang w:val="en-US" w:eastAsia="zh-CN"/>
        </w:rPr>
      </w:pPr>
      <w:r>
        <m:rPr/>
        <w:rPr>
          <w:rFonts w:hint="default"/>
          <w:lang w:val="en-US" w:eastAsia="zh-CN"/>
        </w:rPr>
        <w:t>FedProx主要约束本地模型不要过度偏离全局模型，但它并不会直接增加某个客户端缺少的类别数据。如果某一类别极度集中在单个客户端，其他客户端几乎没有该类别样本，仅依靠近端正则仍难以完全学习均衡的类别表示。</w:t>
      </w:r>
    </w:p>
    <w:p w14:paraId="2CC7EE27">
      <w:pPr>
        <m:rPr/>
        <w:rPr>
          <w:rFonts w:hint="default"/>
          <w:lang w:val="en-US" w:eastAsia="zh-CN"/>
        </w:rPr>
      </w:pPr>
      <w:r>
        <m:rPr/>
        <w:rPr>
          <w:rFonts w:hint="default"/>
          <w:lang w:val="en-US" w:eastAsia="zh-CN"/>
        </w:rPr>
        <w:t>后续可以结合控制变量方法、表示级对比学习、类别重加权或个性化机制进一步改善类别级公平性。</w:t>
      </w:r>
    </w:p>
    <w:p w14:paraId="57E76994">
      <w:pPr>
        <w:pStyle w:val="3"/>
        <w:bidi w:val="0"/>
        <m:rPr/>
        <w:rPr>
          <w:rFonts w:hint="eastAsia"/>
          <w:lang w:val="en-US" w:eastAsia="zh-CN"/>
        </w:rPr>
      </w:pPr>
      <w:r>
        <m:rPr/>
        <w:rPr>
          <w:rFonts w:hint="eastAsia"/>
          <w:lang w:val="en-US" w:eastAsia="zh-CN"/>
        </w:rPr>
        <w:t>4.6 Batch Normalization失败案例带来的启示</w:t>
      </w:r>
    </w:p>
    <w:p w14:paraId="3F138B38">
      <w:pPr>
        <m:rPr/>
        <w:rPr>
          <w:rFonts w:hint="default"/>
          <w:lang w:val="en-US" w:eastAsia="zh-CN"/>
        </w:rPr>
      </w:pPr>
      <w:r>
        <m:rPr/>
        <w:rPr>
          <w:rFonts w:hint="default"/>
          <w:lang w:val="en-US" w:eastAsia="zh-CN"/>
        </w:rPr>
        <w:t>项目早期曾使用包含Batch Normalization的CNN。在该实验中，客户端训练准确率接近99%，但全局验证和官方测试准确率接近随机水平。</w:t>
      </w:r>
    </w:p>
    <w:p w14:paraId="1A01DAA7">
      <w:pPr>
        <m:rPr/>
        <w:rPr>
          <w:rFonts w:hint="default"/>
          <w:lang w:val="en-US" w:eastAsia="zh-CN"/>
        </w:rPr>
      </w:pPr>
      <w:r>
        <m:rPr/>
        <w:rPr>
          <w:rFonts w:hint="default"/>
          <w:lang w:val="en-US" w:eastAsia="zh-CN"/>
        </w:rPr>
        <w:t>这一现象最初看起来像是FedAvg无法学习，但后续分析表明，本地可训练参数实际上已经发生了有效更新。问题主要来自BatchNorm的moving_mean和moving_variance等非训练状态没有在当前TFF流程中被正确维护、聚合或导出。</w:t>
      </w:r>
    </w:p>
    <w:p w14:paraId="2D10F7F7">
      <w:pPr>
        <m:rPr/>
        <w:rPr>
          <w:rFonts w:hint="default"/>
          <w:lang w:val="en-US" w:eastAsia="zh-CN"/>
        </w:rPr>
      </w:pPr>
      <w:r>
        <m:rPr/>
        <w:rPr>
          <w:rFonts w:hint="default"/>
          <w:lang w:val="en-US" w:eastAsia="zh-CN"/>
        </w:rPr>
        <w:t>这项失败经历说明，联邦学习系统中的模型状态不仅包括普通的可训练权重。对于BatchNorm、带状态的服务器优化器或具有客户端历史信息的算法，仅保存和聚合部分参数可能导致训练过程表面正常，但最终推理模型不可用。</w:t>
      </w:r>
    </w:p>
    <w:p w14:paraId="12AC66E5">
      <w:pPr>
        <m:rPr/>
        <w:rPr>
          <w:rFonts w:hint="default"/>
          <w:lang w:val="en-US" w:eastAsia="zh-CN"/>
        </w:rPr>
      </w:pPr>
      <w:r>
        <m:rPr/>
        <w:rPr>
          <w:rFonts w:hint="default"/>
          <w:lang w:val="en-US" w:eastAsia="zh-CN"/>
        </w:rPr>
        <w:t>本研究最终在FedAvg、FedProx和Non-IID对比中统一采用无BatchNorm CNN，以建立可靠基线。这一决定减少了模型复杂性，但提高了不同算法之间的公平性和实验可解释性。</w:t>
      </w:r>
    </w:p>
    <w:p w14:paraId="221632E0">
      <w:pPr>
        <m:rPr/>
        <w:rPr>
          <w:rFonts w:hint="default"/>
          <w:lang w:val="en-US" w:eastAsia="zh-CN"/>
        </w:rPr>
      </w:pPr>
      <w:r>
        <m:rPr/>
        <w:rPr>
          <w:rFonts w:hint="default"/>
          <w:lang w:val="en-US" w:eastAsia="zh-CN"/>
        </w:rPr>
        <w:t>BatchNorm失败案例不应被写成FedAvg理论上的失败证据，更不能直接证明FedBN必然有效。它所证明的是：当时的BN状态管理实现不正确。后续若研究FedBN，必须先重新建立正确的Centralized-BN、Local-BN和FedAvg-BN基线，再讨论本地保留BN状态是否能够适应客户端特征分布差异。</w:t>
      </w:r>
    </w:p>
    <w:p w14:paraId="5FE2A3F4">
      <w:pPr>
        <w:pStyle w:val="3"/>
        <w:bidi w:val="0"/>
        <m:rPr/>
        <w:rPr>
          <w:rFonts w:hint="eastAsia"/>
          <w:lang w:val="en-US" w:eastAsia="zh-CN"/>
        </w:rPr>
      </w:pPr>
      <w:r>
        <m:rPr/>
        <w:rPr>
          <w:rFonts w:hint="eastAsia"/>
          <w:lang w:val="en-US" w:eastAsia="zh-CN"/>
        </w:rPr>
        <w:t>4.7 工程完整性</w:t>
      </w:r>
    </w:p>
    <w:p w14:paraId="1CE48C78">
      <w:pPr>
        <m:rPr/>
        <w:rPr>
          <w:rFonts w:hint="default"/>
          <w:lang w:val="en-US" w:eastAsia="zh-CN"/>
        </w:rPr>
      </w:pPr>
      <w:r>
        <m:rPr/>
        <w:rPr>
          <w:rFonts w:hint="default"/>
          <w:lang w:val="en-US" w:eastAsia="zh-CN"/>
        </w:rPr>
        <w:t>本项目不仅记录最终准确率，还保存了固定的数据划分、每轮指标、配置文件、最佳和最后模型、NPZ checkpoint、类别准确率、混淆矩阵以及实验审计结果。</w:t>
      </w:r>
    </w:p>
    <w:p w14:paraId="55256FCC">
      <w:pPr>
        <m:rPr/>
        <w:rPr>
          <w:rFonts w:hint="default"/>
          <w:lang w:val="en-US" w:eastAsia="zh-CN"/>
        </w:rPr>
      </w:pPr>
      <w:r>
        <m:rPr/>
        <w:rPr>
          <w:rFonts w:hint="default"/>
          <w:lang w:val="en-US" w:eastAsia="zh-CN"/>
        </w:rPr>
        <w:t>在FedProx阶段，项目完成了μ=0退化测试、Round-0初始权重一致性检查、客户端更新重放、按样本数量加权聚合重构以及 checkpoint 恢复连续性检查。</w:t>
      </w:r>
    </w:p>
    <w:p w14:paraId="5249B5CA">
      <w:pPr>
        <m:rPr/>
        <w:rPr>
          <w:rFonts w:hint="default"/>
          <w:lang w:val="en-US" w:eastAsia="zh-CN"/>
        </w:rPr>
      </w:pPr>
      <w:r>
        <m:rPr/>
        <w:rPr>
          <w:rFonts w:hint="default"/>
          <w:lang w:val="en-US" w:eastAsia="zh-CN"/>
        </w:rPr>
        <w:t>这些工作不会直接形成更高的测试准确率，但它们确保实验差异不是由以下因素造成：</w:t>
      </w:r>
    </w:p>
    <w:p w14:paraId="0BF0A01E">
      <w:pPr>
        <m:rPr/>
        <w:rPr>
          <w:rFonts w:hint="default"/>
          <w:lang w:val="en-US" w:eastAsia="zh-CN"/>
        </w:rPr>
      </w:pPr>
      <w:r>
        <m:rPr/>
        <w:rPr>
          <w:rFonts w:hint="eastAsia"/>
          <w:lang w:val="en-US" w:eastAsia="zh-CN"/>
        </w:rPr>
        <w:t>·</w:t>
      </w:r>
      <w:r>
        <m:rPr/>
        <w:rPr>
          <w:rFonts w:hint="default"/>
          <w:lang w:val="en-US" w:eastAsia="zh-CN"/>
        </w:rPr>
        <w:t>不同的数据划分；</w:t>
      </w:r>
    </w:p>
    <w:p w14:paraId="490879D3">
      <w:pPr>
        <m:rPr/>
        <w:rPr>
          <w:rFonts w:hint="default"/>
          <w:lang w:val="en-US" w:eastAsia="zh-CN"/>
        </w:rPr>
      </w:pPr>
      <w:r>
        <m:rPr/>
        <w:rPr>
          <w:rFonts w:hint="eastAsia"/>
          <w:lang w:val="en-US" w:eastAsia="zh-CN"/>
        </w:rPr>
        <w:t>·</w:t>
      </w:r>
      <w:r>
        <m:rPr/>
        <w:rPr>
          <w:rFonts w:hint="default"/>
          <w:lang w:val="en-US" w:eastAsia="zh-CN"/>
        </w:rPr>
        <w:t>不同的初始模型；</w:t>
      </w:r>
    </w:p>
    <w:p w14:paraId="1E967E7E">
      <w:pPr>
        <m:rPr/>
        <w:rPr>
          <w:rFonts w:hint="default"/>
          <w:lang w:val="en-US" w:eastAsia="zh-CN"/>
        </w:rPr>
      </w:pPr>
      <w:r>
        <m:rPr/>
        <w:rPr>
          <w:rFonts w:hint="eastAsia"/>
          <w:lang w:val="en-US" w:eastAsia="zh-CN"/>
        </w:rPr>
        <w:t>·</w:t>
      </w:r>
      <w:r>
        <m:rPr/>
        <w:rPr>
          <w:rFonts w:hint="default"/>
          <w:lang w:val="en-US" w:eastAsia="zh-CN"/>
        </w:rPr>
        <w:t>不一致的客户端顺序；</w:t>
      </w:r>
    </w:p>
    <w:p w14:paraId="74CBFDF3">
      <w:pPr>
        <m:rPr/>
        <w:rPr>
          <w:rFonts w:hint="default"/>
          <w:lang w:val="en-US" w:eastAsia="zh-CN"/>
        </w:rPr>
      </w:pPr>
      <w:r>
        <m:rPr/>
        <w:rPr>
          <w:rFonts w:hint="eastAsia"/>
          <w:lang w:val="en-US" w:eastAsia="zh-CN"/>
        </w:rPr>
        <w:t>·</w:t>
      </w:r>
      <w:r>
        <m:rPr/>
        <w:rPr>
          <w:rFonts w:hint="default"/>
          <w:lang w:val="en-US" w:eastAsia="zh-CN"/>
        </w:rPr>
        <w:t>checkpoint恢复错误；</w:t>
      </w:r>
    </w:p>
    <w:p w14:paraId="35C593E5">
      <w:pPr>
        <m:rPr/>
        <w:rPr>
          <w:rFonts w:hint="default"/>
          <w:lang w:val="en-US" w:eastAsia="zh-CN"/>
        </w:rPr>
      </w:pPr>
      <w:r>
        <m:rPr/>
        <w:rPr>
          <w:rFonts w:hint="eastAsia"/>
          <w:lang w:val="en-US" w:eastAsia="zh-CN"/>
        </w:rPr>
        <w:t>·</w:t>
      </w:r>
      <w:r>
        <m:rPr/>
        <w:rPr>
          <w:rFonts w:hint="default"/>
          <w:lang w:val="en-US" w:eastAsia="zh-CN"/>
        </w:rPr>
        <w:t>非有限模型更新；</w:t>
      </w:r>
    </w:p>
    <w:p w14:paraId="246BE87C">
      <w:pPr>
        <m:rPr/>
        <w:rPr>
          <w:rFonts w:hint="default"/>
          <w:lang w:val="en-US" w:eastAsia="zh-CN"/>
        </w:rPr>
      </w:pPr>
      <w:r>
        <m:rPr/>
        <w:rPr>
          <w:rFonts w:hint="eastAsia"/>
          <w:lang w:val="en-US" w:eastAsia="zh-CN"/>
        </w:rPr>
        <w:t>·</w:t>
      </w:r>
      <w:r>
        <m:rPr/>
        <w:rPr>
          <w:rFonts w:hint="default"/>
          <w:lang w:val="en-US" w:eastAsia="zh-CN"/>
        </w:rPr>
        <w:t>服务器聚合权重错误；</w:t>
      </w:r>
    </w:p>
    <w:p w14:paraId="324A3C87">
      <w:pPr>
        <m:rPr/>
        <w:rPr>
          <w:rFonts w:hint="default"/>
          <w:lang w:val="en-US" w:eastAsia="zh-CN"/>
        </w:rPr>
      </w:pPr>
      <w:r>
        <m:rPr/>
        <w:rPr>
          <w:rFonts w:hint="eastAsia"/>
          <w:lang w:val="en-US" w:eastAsia="zh-CN"/>
        </w:rPr>
        <w:t>·</w:t>
      </w:r>
      <w:r>
        <m:rPr/>
        <w:rPr>
          <w:rFonts w:hint="default"/>
          <w:lang w:val="en-US" w:eastAsia="zh-CN"/>
        </w:rPr>
        <w:t>反复使用测试集选择参数。</w:t>
      </w:r>
    </w:p>
    <w:p w14:paraId="4A78291F">
      <w:pPr>
        <m:rPr/>
        <w:rPr>
          <w:rFonts w:hint="default"/>
          <w:lang w:val="en-US" w:eastAsia="zh-CN"/>
        </w:rPr>
      </w:pPr>
      <w:r>
        <m:rPr/>
        <w:rPr>
          <w:rFonts w:hint="default"/>
          <w:lang w:val="en-US" w:eastAsia="zh-CN"/>
        </w:rPr>
        <w:t>对于一个周期较短的暑期研究项目而言，完成FedAvg和FedProx的可复现实验闭环，比同时运行大量算法但缺乏控制和审计更有研究价值。</w:t>
      </w:r>
    </w:p>
    <w:p w14:paraId="0234BB48">
      <w:pPr>
        <w:pStyle w:val="3"/>
        <w:bidi w:val="0"/>
        <m:rPr/>
        <w:rPr>
          <w:rFonts w:hint="eastAsia"/>
          <w:lang w:val="en-US" w:eastAsia="zh-CN"/>
        </w:rPr>
      </w:pPr>
      <w:r>
        <m:rPr/>
        <w:rPr>
          <w:rFonts w:hint="eastAsia"/>
          <w:lang w:val="en-US" w:eastAsia="zh-CN"/>
        </w:rPr>
        <w:t>4.8 结果的实际意义</w:t>
      </w:r>
    </w:p>
    <w:p w14:paraId="497687BF">
      <w:pPr>
        <m:rPr/>
        <w:rPr>
          <w:rFonts w:hint="default"/>
          <w:lang w:val="en-US" w:eastAsia="zh-CN"/>
        </w:rPr>
      </w:pPr>
      <w:r>
        <m:rPr/>
        <w:rPr>
          <w:rFonts w:hint="default"/>
          <w:lang w:val="en-US" w:eastAsia="zh-CN"/>
        </w:rPr>
        <w:t>交通标志识别是智能交通和自动驾驶系统中的基础视觉任务。在真实车联网环境中，不同车辆可能位于不同道路、城市、天气和时间段，因此每辆车采集到的交通标志类型和比例可能明显不同。</w:t>
      </w:r>
    </w:p>
    <w:p w14:paraId="5BF531B2">
      <w:pPr>
        <m:rPr/>
        <w:rPr>
          <w:rFonts w:hint="default"/>
          <w:lang w:val="en-US" w:eastAsia="zh-CN"/>
        </w:rPr>
      </w:pPr>
      <w:r>
        <m:rPr/>
        <w:rPr>
          <w:rFonts w:hint="default"/>
          <w:lang w:val="en-US" w:eastAsia="zh-CN"/>
        </w:rPr>
        <w:t>传统集中式训练要求车辆上传原始图像，可能带来隐私、带宽和数据管理问题。联邦学习允许车辆保留本地图像，只交换模型参数或模型更新。</w:t>
      </w:r>
    </w:p>
    <w:p w14:paraId="6BC9D580">
      <w:pPr>
        <m:rPr/>
        <w:rPr>
          <w:rFonts w:hint="default"/>
          <w:lang w:val="en-US" w:eastAsia="zh-CN"/>
        </w:rPr>
      </w:pPr>
      <w:r>
        <m:rPr/>
        <w:rPr>
          <w:rFonts w:hint="default"/>
          <w:lang w:val="en-US" w:eastAsia="zh-CN"/>
        </w:rPr>
        <w:t>本研究在模拟的5客户端环境中表明，当客户端数据分布较为均衡或仅有中等差异时，FedAvg可以获得与集中式训练接近的性能。当数据分布极度不均衡时，FedAvg会发生显著退化，而FedProx可以部分缓解这一问题。</w:t>
      </w:r>
    </w:p>
    <w:p w14:paraId="67824166">
      <w:pPr>
        <m:rPr/>
        <w:rPr>
          <w:rFonts w:hint="default"/>
          <w:lang w:val="en-US" w:eastAsia="zh-CN"/>
        </w:rPr>
      </w:pPr>
      <w:r>
        <m:rPr/>
        <w:rPr>
          <w:rFonts w:hint="default"/>
          <w:lang w:val="en-US" w:eastAsia="zh-CN"/>
        </w:rPr>
        <w:t>这并不意味着当前实验已经构成可直接部署的车联网交通标志识别系统。当前客户端是由数据集划分模拟的，并非真实车辆；通信过程使用本地计算环境，也没有模拟网络延迟、掉线或恶意客户端。但这些结果建立了一个可控的实验基础，为后续更真实的道路场景、部分客户端参与和通信优化研究提供了依据。</w:t>
      </w:r>
    </w:p>
    <w:p w14:paraId="7393D639">
      <w:pPr>
        <w:pStyle w:val="2"/>
        <w:bidi w:val="0"/>
        <m:rPr/>
        <w:rPr>
          <w:rFonts w:hint="eastAsia"/>
          <w:lang w:val="en-US" w:eastAsia="zh-CN"/>
        </w:rPr>
      </w:pPr>
      <w:r>
        <m:rPr/>
        <w:rPr>
          <w:rFonts w:hint="eastAsia"/>
          <w:lang w:val="en-US" w:eastAsia="zh-CN"/>
        </w:rPr>
        <w:t>5 局限性与未来工作</w:t>
      </w:r>
    </w:p>
    <w:p w14:paraId="5F15DA29">
      <w:pPr>
        <w:pStyle w:val="3"/>
        <w:bidi w:val="0"/>
        <m:rPr/>
        <w:rPr>
          <w:rFonts w:hint="eastAsia"/>
          <w:lang w:val="en-US" w:eastAsia="zh-CN"/>
        </w:rPr>
      </w:pPr>
      <w:r>
        <m:rPr/>
        <w:rPr>
          <w:rFonts w:hint="eastAsia"/>
          <w:lang w:val="en-US" w:eastAsia="zh-CN"/>
        </w:rPr>
        <w:t>5.1 单一随机种子的限制</w:t>
      </w:r>
    </w:p>
    <w:p w14:paraId="7A1792FD">
      <w:pPr>
        <m:rPr/>
        <w:rPr>
          <w:rFonts w:hint="default"/>
          <w:lang w:val="en-US" w:eastAsia="zh-CN"/>
        </w:rPr>
      </w:pPr>
      <w:r>
        <m:rPr/>
        <w:rPr>
          <w:rFonts w:hint="default"/>
          <w:lang w:val="en-US" w:eastAsia="zh-CN"/>
        </w:rPr>
        <w:t>本研究的正式实验均采用随机种子20260720。固定随机种子保证了客户端数据划分、模型初始化和训练过程具有较好的可复现性，也使不同算法之间能够进行严格配对比较。然而，单一随机种子无法反映结果在不同初始化和不同数据划分下的统计波动。</w:t>
      </w:r>
    </w:p>
    <w:p w14:paraId="61CA9BD3">
      <w:pPr>
        <m:rPr/>
        <w:rPr>
          <w:rFonts w:hint="default"/>
          <w:lang w:val="en-US" w:eastAsia="zh-CN"/>
        </w:rPr>
      </w:pPr>
      <w:r>
        <m:rPr/>
        <w:rPr>
          <w:rFonts w:hint="default"/>
          <w:lang w:val="en-US" w:eastAsia="zh-CN"/>
        </w:rPr>
        <w:t>例如，α=1.0条件下的FedAvg测试准确率与IID基线几乎完全相同，宏平均类别准确率甚至略高。这种小幅差异更可能来自一次数据划分和训练过程中的随机波动，而不能证明α=1.0的Non-IID分布优于IID。</w:t>
      </w:r>
    </w:p>
    <w:p w14:paraId="55F717D9">
      <w:pPr>
        <m:rPr/>
        <w:rPr>
          <w:rFonts w:hint="default"/>
          <w:lang w:val="en-US" w:eastAsia="zh-CN"/>
        </w:rPr>
      </w:pPr>
      <w:r>
        <m:rPr/>
        <w:rPr>
          <w:rFonts w:hint="default"/>
          <w:lang w:val="en-US" w:eastAsia="zh-CN"/>
        </w:rPr>
        <w:t>同样，FedProx在α=0.1和α=0.5条件下均取得了明显提升，但目前还不能据此计算置信区间或统计显著性。未来应选取多个随机种子，重复生成或复用多组固定划分，并报告均值、标准差和置信区间。这样可以判断FedProx的优势是否在不同实验重复中保持稳定。</w:t>
      </w:r>
    </w:p>
    <w:p w14:paraId="40F7DA62">
      <w:pPr>
        <w:pStyle w:val="3"/>
        <w:bidi w:val="0"/>
        <m:rPr/>
        <w:rPr>
          <w:rFonts w:hint="eastAsia"/>
          <w:lang w:val="en-US" w:eastAsia="zh-CN"/>
        </w:rPr>
      </w:pPr>
      <w:r>
        <m:rPr/>
        <w:rPr>
          <w:rFonts w:hint="eastAsia"/>
          <w:lang w:val="en-US" w:eastAsia="zh-CN"/>
        </w:rPr>
        <w:t>5.2 客户端数量和参与方式较为理想化</w:t>
      </w:r>
    </w:p>
    <w:p w14:paraId="025E3A1A">
      <w:pPr>
        <m:rPr/>
        <w:rPr>
          <w:rFonts w:hint="default"/>
          <w:lang w:val="en-US" w:eastAsia="zh-CN"/>
        </w:rPr>
      </w:pPr>
      <w:r>
        <m:rPr/>
        <w:rPr>
          <w:rFonts w:hint="default"/>
          <w:lang w:val="en-US" w:eastAsia="zh-CN"/>
        </w:rPr>
        <w:t>当前实验只模拟了5个客户端，并且每一轮所有客户端均参与训练。这一设置有利于减少客户端抽样带来的波动，使数据异构程度和算法变化更容易解释，但与真实大规模车联网环境仍有明显差距。</w:t>
      </w:r>
    </w:p>
    <w:p w14:paraId="108E0CD7">
      <w:pPr>
        <m:rPr/>
        <w:rPr>
          <w:rFonts w:hint="default"/>
          <w:lang w:val="en-US" w:eastAsia="zh-CN"/>
        </w:rPr>
      </w:pPr>
      <w:r>
        <m:rPr/>
        <w:rPr>
          <w:rFonts w:hint="default"/>
          <w:lang w:val="en-US" w:eastAsia="zh-CN"/>
        </w:rPr>
        <w:t>在真实系统中，车辆数量可能远大于5，并且部分车辆可能因为网络不稳定、计算资源不足、移动状态变化或能源限制而无法在每轮参与训练。客户端部分参与会使服务器每一轮观察到的数据分布发生变化，也可能进一步放大模型更新的不稳定性。</w:t>
      </w:r>
    </w:p>
    <w:p w14:paraId="69BCD3FA">
      <w:pPr>
        <m:rPr/>
        <w:rPr>
          <w:rFonts w:hint="default"/>
          <w:lang w:val="en-US" w:eastAsia="zh-CN"/>
        </w:rPr>
      </w:pPr>
      <w:r>
        <m:rPr/>
        <w:rPr>
          <w:rFonts w:hint="default"/>
          <w:lang w:val="en-US" w:eastAsia="zh-CN"/>
        </w:rPr>
        <w:t>未来可以增加客户端数量，并设置不同的参与比例，例如每轮随机选择20%、50%或80%的客户端。还可以模拟客户端掉线、迟到更新和不均衡参与频率，以评估FedAvg和FedProx在更现实系统条件下的鲁棒性。</w:t>
      </w:r>
    </w:p>
    <w:p w14:paraId="60FAC5FC">
      <w:pPr>
        <w:pStyle w:val="3"/>
        <w:bidi w:val="0"/>
        <m:rPr/>
        <w:rPr>
          <w:rFonts w:hint="eastAsia"/>
          <w:lang w:val="en-US" w:eastAsia="zh-CN"/>
        </w:rPr>
      </w:pPr>
      <w:r>
        <m:rPr/>
        <w:rPr>
          <w:rFonts w:hint="eastAsia"/>
          <w:lang w:val="en-US" w:eastAsia="zh-CN"/>
        </w:rPr>
        <w:t>5.3 本地训练轮数较少</w:t>
      </w:r>
    </w:p>
    <w:p w14:paraId="26DDEE6E">
      <w:pPr>
        <m:rPr/>
        <w:rPr>
          <w:rFonts w:hint="default"/>
          <w:lang w:val="en-US" w:eastAsia="zh-CN"/>
        </w:rPr>
      </w:pPr>
      <w:r>
        <m:rPr/>
        <w:rPr>
          <w:rFonts w:hint="default"/>
          <w:lang w:val="en-US" w:eastAsia="zh-CN"/>
        </w:rPr>
        <w:t>本研究所有正式联邦实验均设置local_epochs=1。这一设置能够保持较低的客户端漂移，并使不同通信轮次之间的变化更平稳，但也可能削弱FedProx的潜在优势。</w:t>
      </w:r>
    </w:p>
    <w:p w14:paraId="3C199BDC">
      <w:pPr>
        <m:rPr/>
        <w:rPr>
          <w:rFonts w:hint="default"/>
          <w:lang w:val="en-US" w:eastAsia="zh-CN"/>
        </w:rPr>
      </w:pPr>
      <w:r>
        <m:rPr/>
        <w:rPr>
          <w:rFonts w:hint="default"/>
          <w:lang w:val="en-US" w:eastAsia="zh-CN"/>
        </w:rPr>
        <w:t>FedProx的主要目标之一是限制客户端在本地训练期间过度偏离全局模型。当每个客户端每轮只训练一个epoch时，本地模型偏离全局模型的程度相对有限。因此，当前实验可能并未构造最强的client drift场景。</w:t>
      </w:r>
    </w:p>
    <w:p w14:paraId="133ADDA7">
      <w:pPr>
        <m:rPr/>
        <w:rPr>
          <w:rFonts w:hint="default"/>
          <w:lang w:val="en-US" w:eastAsia="zh-CN"/>
        </w:rPr>
      </w:pPr>
      <w:r>
        <m:rPr/>
        <w:rPr>
          <w:rFonts w:hint="default"/>
          <w:lang w:val="en-US" w:eastAsia="zh-CN"/>
        </w:rPr>
        <w:t>未来可以在保持其他条件一致的情况下，将本地训练轮数增加到3或5，并比较：</w:t>
      </w:r>
    </w:p>
    <w:p w14:paraId="59EF357B">
      <w:pPr>
        <m:rPr/>
        <w:rPr>
          <w:rFonts w:hint="default"/>
          <w:lang w:val="en-US" w:eastAsia="zh-CN"/>
        </w:rPr>
      </w:pPr>
      <w:r>
        <m:rPr/>
        <w:rPr>
          <w:rFonts w:hint="eastAsia"/>
          <w:lang w:val="en-US" w:eastAsia="zh-CN"/>
        </w:rPr>
        <w:t>·</w:t>
      </w:r>
      <w:r>
        <m:rPr/>
        <w:rPr>
          <w:rFonts w:hint="default"/>
          <w:lang w:val="en-US" w:eastAsia="zh-CN"/>
        </w:rPr>
        <w:t>FedAvg是否随着本地训练增加而出现更明显波动；</w:t>
      </w:r>
    </w:p>
    <w:p w14:paraId="37248FEC">
      <w:pPr>
        <m:rPr/>
        <w:rPr>
          <w:rFonts w:hint="default"/>
          <w:lang w:val="en-US" w:eastAsia="zh-CN"/>
        </w:rPr>
      </w:pPr>
      <w:r>
        <m:rPr/>
        <w:rPr>
          <w:rFonts w:hint="eastAsia"/>
          <w:lang w:val="en-US" w:eastAsia="zh-CN"/>
        </w:rPr>
        <w:t>·</w:t>
      </w:r>
      <w:r>
        <m:rPr/>
        <w:rPr>
          <w:rFonts w:hint="default"/>
          <w:lang w:val="en-US" w:eastAsia="zh-CN"/>
        </w:rPr>
        <w:t>FedProx是否能更有效地限制客户端更新；</w:t>
      </w:r>
    </w:p>
    <w:p w14:paraId="2F21F696">
      <w:pPr>
        <m:rPr/>
        <w:rPr>
          <w:rFonts w:hint="default"/>
          <w:lang w:val="en-US" w:eastAsia="zh-CN"/>
        </w:rPr>
      </w:pPr>
      <w:r>
        <m:rPr/>
        <w:rPr>
          <w:rFonts w:hint="eastAsia"/>
          <w:lang w:val="en-US" w:eastAsia="zh-CN"/>
        </w:rPr>
        <w:t>·</w:t>
      </w:r>
      <w:r>
        <m:rPr/>
        <w:rPr>
          <w:rFonts w:hint="default"/>
          <w:lang w:val="en-US" w:eastAsia="zh-CN"/>
        </w:rPr>
        <w:t>增加本地训练能否减少通信轮数；</w:t>
      </w:r>
    </w:p>
    <w:p w14:paraId="1DC1CBA6">
      <w:pPr>
        <m:rPr/>
        <w:rPr>
          <w:rFonts w:hint="default"/>
          <w:lang w:val="en-US" w:eastAsia="zh-CN"/>
        </w:rPr>
      </w:pPr>
      <w:r>
        <m:rPr/>
        <w:rPr>
          <w:rFonts w:hint="eastAsia"/>
          <w:lang w:val="en-US" w:eastAsia="zh-CN"/>
        </w:rPr>
        <w:t>·</w:t>
      </w:r>
      <w:r>
        <m:rPr/>
        <w:rPr>
          <w:rFonts w:hint="default"/>
          <w:lang w:val="en-US" w:eastAsia="zh-CN"/>
        </w:rPr>
        <w:t>更少通信与更强客户端漂移之间如何权衡。</w:t>
      </w:r>
    </w:p>
    <w:p w14:paraId="4B839D13">
      <w:pPr>
        <m:rPr/>
        <w:rPr>
          <w:rFonts w:hint="default"/>
          <w:lang w:val="en-US" w:eastAsia="zh-CN"/>
        </w:rPr>
      </w:pPr>
      <w:r>
        <m:rPr/>
        <w:rPr>
          <w:rFonts w:hint="default"/>
          <w:lang w:val="en-US" w:eastAsia="zh-CN"/>
        </w:rPr>
        <w:t>这些压力实验必须与当前主实验分开报告。例如，不能直接将local_epochs=5的FedProx与local_epochs=1的FedAvg放在同一表格中，并将性能差异完全归因于算法。</w:t>
      </w:r>
    </w:p>
    <w:p w14:paraId="7CB60246">
      <w:pPr>
        <w:pStyle w:val="3"/>
        <w:bidi w:val="0"/>
        <m:rPr/>
        <w:rPr>
          <w:rFonts w:hint="eastAsia"/>
          <w:lang w:val="en-US" w:eastAsia="zh-CN"/>
        </w:rPr>
      </w:pPr>
      <w:r>
        <m:rPr/>
        <w:rPr>
          <w:rFonts w:hint="eastAsia"/>
          <w:lang w:val="en-US" w:eastAsia="zh-CN"/>
        </w:rPr>
        <w:t>5.4 数据异构主要限于标签分布偏斜</w:t>
      </w:r>
    </w:p>
    <w:p w14:paraId="79BE742D">
      <w:pPr>
        <m:rPr/>
        <w:rPr>
          <w:rFonts w:hint="default"/>
          <w:lang w:val="en-US" w:eastAsia="zh-CN"/>
        </w:rPr>
      </w:pPr>
      <w:r>
        <m:rPr/>
        <w:rPr>
          <w:rFonts w:hint="default"/>
          <w:lang w:val="en-US" w:eastAsia="zh-CN"/>
        </w:rPr>
        <w:t>本研究使用Dirichlet分布模拟Label Skew，即不同客户端拥有不同类别比例或缺少部分类别。这种异构是联邦学习研究中的常见设置，并且具有较好的可控性和可复现性。</w:t>
      </w:r>
    </w:p>
    <w:p w14:paraId="5F9F5525">
      <w:pPr>
        <m:rPr/>
        <w:rPr>
          <w:rFonts w:hint="default"/>
          <w:lang w:val="en-US" w:eastAsia="zh-CN"/>
        </w:rPr>
      </w:pPr>
      <w:r>
        <m:rPr/>
        <w:rPr>
          <w:rFonts w:hint="default"/>
          <w:lang w:val="en-US" w:eastAsia="zh-CN"/>
        </w:rPr>
        <w:t>然而，真实车辆之间的差异不仅体现在交通标志类别上，还可能包括：</w:t>
      </w:r>
    </w:p>
    <w:p w14:paraId="2510C377">
      <w:pPr>
        <m:rPr/>
        <w:rPr>
          <w:rFonts w:hint="default"/>
          <w:lang w:val="en-US" w:eastAsia="zh-CN"/>
        </w:rPr>
      </w:pPr>
      <w:r>
        <m:rPr/>
        <w:rPr>
          <w:rFonts w:hint="eastAsia"/>
          <w:lang w:val="en-US" w:eastAsia="zh-CN"/>
        </w:rPr>
        <w:t>·</w:t>
      </w:r>
      <w:r>
        <m:rPr/>
        <w:rPr>
          <w:rFonts w:hint="default"/>
          <w:lang w:val="en-US" w:eastAsia="zh-CN"/>
        </w:rPr>
        <w:t>摄像头分辨率和成像风格；</w:t>
      </w:r>
    </w:p>
    <w:p w14:paraId="236EDA60">
      <w:pPr>
        <m:rPr/>
        <w:rPr>
          <w:rFonts w:hint="default"/>
          <w:lang w:val="en-US" w:eastAsia="zh-CN"/>
        </w:rPr>
      </w:pPr>
      <w:r>
        <m:rPr/>
        <w:rPr>
          <w:rFonts w:hint="eastAsia"/>
          <w:lang w:val="en-US" w:eastAsia="zh-CN"/>
        </w:rPr>
        <w:t>·</w:t>
      </w:r>
      <w:r>
        <m:rPr/>
        <w:rPr>
          <w:rFonts w:hint="default"/>
          <w:lang w:val="en-US" w:eastAsia="zh-CN"/>
        </w:rPr>
        <w:t>白天、夜晚和不同光照；</w:t>
      </w:r>
    </w:p>
    <w:p w14:paraId="19B05C26">
      <w:pPr>
        <m:rPr/>
        <w:rPr>
          <w:rFonts w:hint="default"/>
          <w:lang w:val="en-US" w:eastAsia="zh-CN"/>
        </w:rPr>
      </w:pPr>
      <w:r>
        <m:rPr/>
        <w:rPr>
          <w:rFonts w:hint="eastAsia"/>
          <w:lang w:val="en-US" w:eastAsia="zh-CN"/>
        </w:rPr>
        <w:t>·</w:t>
      </w:r>
      <w:r>
        <m:rPr/>
        <w:rPr>
          <w:rFonts w:hint="default"/>
          <w:lang w:val="en-US" w:eastAsia="zh-CN"/>
        </w:rPr>
        <w:t>晴天、雨天、雾天和雪天；</w:t>
      </w:r>
    </w:p>
    <w:p w14:paraId="43B6F5EC">
      <w:pPr>
        <m:rPr/>
        <w:rPr>
          <w:rFonts w:hint="default"/>
          <w:lang w:val="en-US" w:eastAsia="zh-CN"/>
        </w:rPr>
      </w:pPr>
      <w:r>
        <m:rPr/>
        <w:rPr>
          <w:rFonts w:hint="eastAsia"/>
          <w:lang w:val="en-US" w:eastAsia="zh-CN"/>
        </w:rPr>
        <w:t>·</w:t>
      </w:r>
      <w:r>
        <m:rPr/>
        <w:rPr>
          <w:rFonts w:hint="default"/>
          <w:lang w:val="en-US" w:eastAsia="zh-CN"/>
        </w:rPr>
        <w:t>图像模糊和运动模糊；</w:t>
      </w:r>
    </w:p>
    <w:p w14:paraId="212EA00A">
      <w:pPr>
        <m:rPr/>
        <w:rPr>
          <w:rFonts w:hint="default"/>
          <w:lang w:val="en-US" w:eastAsia="zh-CN"/>
        </w:rPr>
      </w:pPr>
      <w:r>
        <m:rPr/>
        <w:rPr>
          <w:rFonts w:hint="eastAsia"/>
          <w:lang w:val="en-US" w:eastAsia="zh-CN"/>
        </w:rPr>
        <w:t>·</w:t>
      </w:r>
      <w:r>
        <m:rPr/>
        <w:rPr>
          <w:rFonts w:hint="default"/>
          <w:lang w:val="en-US" w:eastAsia="zh-CN"/>
        </w:rPr>
        <w:t>不同国家或地区的道路标志风格；</w:t>
      </w:r>
    </w:p>
    <w:p w14:paraId="36B7B95F">
      <w:pPr>
        <m:rPr/>
        <w:rPr>
          <w:rFonts w:hint="default"/>
          <w:lang w:val="en-US" w:eastAsia="zh-CN"/>
        </w:rPr>
      </w:pPr>
      <w:r>
        <m:rPr/>
        <w:rPr>
          <w:rFonts w:hint="eastAsia"/>
          <w:lang w:val="en-US" w:eastAsia="zh-CN"/>
        </w:rPr>
        <w:t>·</w:t>
      </w:r>
      <w:r>
        <m:rPr/>
        <w:rPr>
          <w:rFonts w:hint="default"/>
          <w:lang w:val="en-US" w:eastAsia="zh-CN"/>
        </w:rPr>
        <w:t>相同类别在不同拍摄距离和角度下的外观差异。</w:t>
      </w:r>
    </w:p>
    <w:p w14:paraId="6E956CBB">
      <w:pPr>
        <m:rPr/>
        <w:rPr>
          <w:rFonts w:hint="default"/>
          <w:lang w:val="en-US" w:eastAsia="zh-CN"/>
        </w:rPr>
      </w:pPr>
      <w:r>
        <m:rPr/>
        <w:rPr>
          <w:rFonts w:hint="default"/>
          <w:lang w:val="en-US" w:eastAsia="zh-CN"/>
        </w:rPr>
        <w:t>这些差异属于特征分布异构或域异构，而不是单纯的标签异构。因此，当前结论主要适用于Label Skew场景，不能直接扩展到所有类型的Non-IID数据。</w:t>
      </w:r>
    </w:p>
    <w:p w14:paraId="36695F04">
      <w:pPr>
        <m:rPr/>
        <w:rPr>
          <w:rFonts w:hint="default"/>
          <w:lang w:val="en-US" w:eastAsia="zh-CN"/>
        </w:rPr>
      </w:pPr>
      <w:r>
        <m:rPr/>
        <w:rPr>
          <w:rFonts w:hint="default"/>
          <w:lang w:val="en-US" w:eastAsia="zh-CN"/>
        </w:rPr>
        <w:t>未来可以在GTSRB数据上为不同客户端固定施加亮度、对比度、模糊、颜色偏移或噪声变换，从而构造可控的Feature Skew。之后还可以扩展到包含更复杂道路、天气和摄像头差异的数据集，例如BDD100K。</w:t>
      </w:r>
    </w:p>
    <w:p w14:paraId="76ECC2C1">
      <w:pPr>
        <w:pStyle w:val="3"/>
        <w:bidi w:val="0"/>
        <m:rPr/>
        <w:rPr>
          <w:rFonts w:hint="eastAsia"/>
          <w:lang w:val="en-US" w:eastAsia="zh-CN"/>
        </w:rPr>
      </w:pPr>
      <w:r>
        <m:rPr/>
        <w:rPr>
          <w:rFonts w:hint="eastAsia"/>
          <w:lang w:val="en-US" w:eastAsia="zh-CN"/>
        </w:rPr>
        <w:t>5.5 FedProx参数研究范围有限</w:t>
      </w:r>
    </w:p>
    <w:p w14:paraId="76CCF416">
      <w:pPr>
        <m:rPr/>
        <w:rPr>
          <w:rFonts w:hint="default"/>
          <w:lang w:val="en-US" w:eastAsia="zh-CN"/>
        </w:rPr>
      </w:pPr>
      <w:r>
        <m:rPr/>
        <w:rPr>
          <w:rFonts w:hint="default"/>
          <w:lang w:val="en-US" w:eastAsia="zh-CN"/>
        </w:rPr>
        <w:t>FedProx正式实验最终选择μ=0.1，并在α=0.1和α=0.5下与μ=0进行配对比较。该参数是通过验证集上的学习率和μ筛选确定的，并且在两个异构程度下均取得了较好的结果。</w:t>
      </w:r>
    </w:p>
    <w:p w14:paraId="76415A03">
      <w:pPr>
        <m:rPr/>
        <w:rPr>
          <w:rFonts w:hint="default"/>
          <w:lang w:val="en-US" w:eastAsia="zh-CN"/>
        </w:rPr>
      </w:pPr>
      <w:r>
        <m:rPr/>
        <w:rPr>
          <w:rFonts w:hint="default"/>
          <w:lang w:val="en-US" w:eastAsia="zh-CN"/>
        </w:rPr>
        <w:t>不过，本研究只对有限的候选范围进行了筛选，并未对所有可能的μ值进行完整敏感性分析。已有实验还发现，μ=1.0会产生大量非有限更新并导致训练失效，说明近端约束并不是越强越好。</w:t>
      </w:r>
    </w:p>
    <w:p w14:paraId="1105F2D0">
      <w:pPr>
        <m:rPr/>
        <w:rPr>
          <w:rFonts w:hint="default"/>
          <w:lang w:val="en-US" w:eastAsia="zh-CN"/>
        </w:rPr>
      </w:pPr>
      <w:r>
        <m:rPr/>
        <w:rPr>
          <w:rFonts w:hint="default"/>
          <w:lang w:val="en-US" w:eastAsia="zh-CN"/>
        </w:rPr>
        <w:t>未来可以在多个随机种子下进一步比较更密集的μ候选值，并研究最佳μ是否会随着以下条件变化：</w:t>
      </w:r>
    </w:p>
    <w:p w14:paraId="3AE8F824">
      <w:pPr>
        <m:rPr/>
        <w:rPr>
          <w:rFonts w:hint="default"/>
          <w:lang w:val="en-US" w:eastAsia="zh-CN"/>
        </w:rPr>
      </w:pPr>
      <w:r>
        <m:rPr/>
        <w:rPr>
          <w:rFonts w:hint="eastAsia"/>
          <w:lang w:val="en-US" w:eastAsia="zh-CN"/>
        </w:rPr>
        <w:t>·</w:t>
      </w:r>
      <w:r>
        <m:rPr/>
        <w:rPr>
          <w:rFonts w:hint="default"/>
          <w:lang w:val="en-US" w:eastAsia="zh-CN"/>
        </w:rPr>
        <w:t>Dirichlet α；</w:t>
      </w:r>
    </w:p>
    <w:p w14:paraId="003130C6">
      <w:pPr>
        <m:rPr/>
        <w:rPr>
          <w:rFonts w:hint="default"/>
          <w:lang w:val="en-US" w:eastAsia="zh-CN"/>
        </w:rPr>
      </w:pPr>
      <w:r>
        <m:rPr/>
        <w:rPr>
          <w:rFonts w:hint="eastAsia"/>
          <w:lang w:val="en-US" w:eastAsia="zh-CN"/>
        </w:rPr>
        <w:t>·</w:t>
      </w:r>
      <w:r>
        <m:rPr/>
        <w:rPr>
          <w:rFonts w:hint="default"/>
          <w:lang w:val="en-US" w:eastAsia="zh-CN"/>
        </w:rPr>
        <w:t>本地训练轮数；</w:t>
      </w:r>
    </w:p>
    <w:p w14:paraId="22EE2FB6">
      <w:pPr>
        <m:rPr/>
        <w:rPr>
          <w:rFonts w:hint="default"/>
          <w:lang w:val="en-US" w:eastAsia="zh-CN"/>
        </w:rPr>
      </w:pPr>
      <w:r>
        <m:rPr/>
        <w:rPr>
          <w:rFonts w:hint="eastAsia"/>
          <w:lang w:val="en-US" w:eastAsia="zh-CN"/>
        </w:rPr>
        <w:t>·</w:t>
      </w:r>
      <w:r>
        <m:rPr/>
        <w:rPr>
          <w:rFonts w:hint="default"/>
          <w:lang w:val="en-US" w:eastAsia="zh-CN"/>
        </w:rPr>
        <w:t>客户端参与率；</w:t>
      </w:r>
    </w:p>
    <w:p w14:paraId="1B2A84A8">
      <w:pPr>
        <m:rPr/>
        <w:rPr>
          <w:rFonts w:hint="default"/>
          <w:lang w:val="en-US" w:eastAsia="zh-CN"/>
        </w:rPr>
      </w:pPr>
      <w:r>
        <m:rPr/>
        <w:rPr>
          <w:rFonts w:hint="eastAsia"/>
          <w:lang w:val="en-US" w:eastAsia="zh-CN"/>
        </w:rPr>
        <w:t>·</w:t>
      </w:r>
      <w:r>
        <m:rPr/>
        <w:rPr>
          <w:rFonts w:hint="default"/>
          <w:lang w:val="en-US" w:eastAsia="zh-CN"/>
        </w:rPr>
        <w:t>客户端学习率；</w:t>
      </w:r>
    </w:p>
    <w:p w14:paraId="7E759CC7">
      <w:pPr>
        <m:rPr/>
        <w:rPr>
          <w:rFonts w:hint="default"/>
          <w:lang w:val="en-US" w:eastAsia="zh-CN"/>
        </w:rPr>
      </w:pPr>
      <w:r>
        <m:rPr/>
        <w:rPr>
          <w:rFonts w:hint="eastAsia"/>
          <w:lang w:val="en-US" w:eastAsia="zh-CN"/>
        </w:rPr>
        <w:t>·</w:t>
      </w:r>
      <w:r>
        <m:rPr/>
        <w:rPr>
          <w:rFonts w:hint="default"/>
          <w:lang w:val="en-US" w:eastAsia="zh-CN"/>
        </w:rPr>
        <w:t>模型规模；</w:t>
      </w:r>
    </w:p>
    <w:p w14:paraId="3517D29C">
      <w:pPr>
        <m:rPr/>
        <w:rPr>
          <w:rFonts w:hint="default"/>
          <w:lang w:val="en-US" w:eastAsia="zh-CN"/>
        </w:rPr>
      </w:pPr>
      <w:r>
        <m:rPr/>
        <w:rPr>
          <w:rFonts w:hint="eastAsia"/>
          <w:lang w:val="en-US" w:eastAsia="zh-CN"/>
        </w:rPr>
        <w:t>·</w:t>
      </w:r>
      <w:r>
        <m:rPr/>
        <w:rPr>
          <w:rFonts w:hint="default"/>
          <w:lang w:val="en-US" w:eastAsia="zh-CN"/>
        </w:rPr>
        <w:t>客户端样本量不均衡程度。</w:t>
      </w:r>
    </w:p>
    <w:p w14:paraId="3E19FA20">
      <w:pPr>
        <m:rPr/>
        <w:rPr>
          <w:rFonts w:hint="default"/>
          <w:lang w:val="en-US" w:eastAsia="zh-CN"/>
        </w:rPr>
      </w:pPr>
      <w:r>
        <m:rPr/>
        <w:rPr>
          <w:rFonts w:hint="default"/>
          <w:lang w:val="en-US" w:eastAsia="zh-CN"/>
        </w:rPr>
        <w:t>还可以探索动态μ，使近端强度根据训练轮次、客户端漂移程度或本地数据异构性自适应变化。</w:t>
      </w:r>
    </w:p>
    <w:p w14:paraId="207EB42E">
      <w:pPr>
        <w:pStyle w:val="3"/>
        <w:bidi w:val="0"/>
        <m:rPr/>
        <w:rPr>
          <w:rFonts w:hint="eastAsia"/>
          <w:lang w:val="en-US" w:eastAsia="zh-CN"/>
        </w:rPr>
      </w:pPr>
      <w:r>
        <m:rPr/>
        <w:rPr>
          <w:rFonts w:hint="eastAsia"/>
          <w:lang w:val="en-US" w:eastAsia="zh-CN"/>
        </w:rPr>
        <w:t>5.6 当前只实现了一种异构优化算法</w:t>
      </w:r>
    </w:p>
    <w:p w14:paraId="4A42BD9A">
      <w:pPr>
        <m:rPr/>
        <w:rPr>
          <w:rFonts w:hint="default"/>
          <w:lang w:val="en-US" w:eastAsia="zh-CN"/>
        </w:rPr>
      </w:pPr>
      <w:r>
        <m:rPr/>
        <w:rPr>
          <w:rFonts w:hint="default"/>
          <w:lang w:val="en-US" w:eastAsia="zh-CN"/>
        </w:rPr>
        <w:t>本研究在Stage 1C中完成了FedProx，但没有在提交期限前继续实现SCAFFOLD和MOON。这并不影响当前研究闭环，因为FedProx已经完成了从退化测试、参数筛选、正式配对实验、官方测试到类别分析和审计的完整过程。</w:t>
      </w:r>
    </w:p>
    <w:p w14:paraId="1393B6D3">
      <w:pPr>
        <m:rPr/>
        <w:rPr>
          <w:rFonts w:hint="default"/>
          <w:lang w:val="en-US" w:eastAsia="zh-CN"/>
        </w:rPr>
      </w:pPr>
      <w:r>
        <m:rPr/>
        <w:rPr>
          <w:rFonts w:hint="default"/>
          <w:lang w:val="en-US" w:eastAsia="zh-CN"/>
        </w:rPr>
        <w:t>然而，仅比较FedAvg和FedProx还不足以判断哪一类Non-IID优化机制最适合当前任务。未来可以继续实现：</w:t>
      </w:r>
    </w:p>
    <w:p w14:paraId="242E13A7">
      <w:pPr>
        <w:numPr>
          <w:ilvl w:val="0"/>
          <w:numId w:val="4"/>
        </w:numPr>
        <m:rPr/>
        <w:rPr>
          <w:rFonts w:hint="eastAsia"/>
          <w:lang w:val="en-US" w:eastAsia="zh-CN"/>
        </w:rPr>
      </w:pPr>
      <w:r>
        <m:rPr/>
        <w:rPr>
          <w:rFonts w:hint="eastAsia"/>
          <w:lang w:val="en-US" w:eastAsia="zh-CN"/>
        </w:rPr>
        <w:t>SCAFFOLD</w:t>
      </w:r>
    </w:p>
    <w:p w14:paraId="7FB94A1B">
      <w:pPr>
        <w:numPr>
          <w:numId w:val="0"/>
        </w:numPr>
        <m:rPr/>
        <w:rPr>
          <w:rFonts w:hint="default"/>
          <w:lang w:val="en-US" w:eastAsia="zh-CN"/>
        </w:rPr>
      </w:pPr>
      <w:r>
        <m:rPr/>
        <w:rPr>
          <w:rFonts w:hint="default"/>
          <w:lang w:val="en-US" w:eastAsia="zh-CN"/>
        </w:rPr>
        <w:t>SCAFFOLD为服务器和每个客户端维护控制变量，用于修正本地更新方向。它可能比FedProx更直接地缓解客户端更新冲突，但需要保存服务器控制变量、每个客户端控制变量和完整checkpoint状态，工程复杂度明显更高。</w:t>
      </w:r>
    </w:p>
    <w:p w14:paraId="5C38B715">
      <w:pPr>
        <w:numPr>
          <w:numId w:val="0"/>
        </w:numPr>
        <m:rPr/>
        <w:rPr>
          <w:rFonts w:hint="default"/>
          <w:lang w:val="en-US" w:eastAsia="zh-CN"/>
        </w:rPr>
      </w:pPr>
      <w:r>
        <m:rPr/>
        <w:rPr>
          <w:rFonts w:hint="eastAsia"/>
          <w:lang w:val="en-US" w:eastAsia="zh-CN"/>
        </w:rPr>
        <w:t>2、MOON</w:t>
      </w:r>
    </w:p>
    <w:p w14:paraId="38074DE5">
      <w:pPr>
        <w:numPr>
          <w:numId w:val="0"/>
        </w:numPr>
        <m:rPr/>
        <w:rPr>
          <w:rFonts w:hint="default"/>
          <w:lang w:val="en-US" w:eastAsia="zh-CN"/>
        </w:rPr>
      </w:pPr>
      <w:r>
        <m:rPr/>
        <w:rPr>
          <w:rFonts w:hint="default"/>
          <w:lang w:val="en-US" w:eastAsia="zh-CN"/>
        </w:rPr>
        <w:t>MOON使用模型级对比学习，使当前本地模型的表示接近全局模型，同时远离该客户端上一轮本地模型。它可能帮助恢复强标签异构下的类别表示，但需要额外前向计算和每个客户端的历史模型状态。</w:t>
      </w:r>
    </w:p>
    <w:p w14:paraId="7903C188">
      <w:pPr>
        <w:numPr>
          <w:numId w:val="0"/>
        </w:numPr>
        <m:rPr/>
        <w:rPr>
          <w:rFonts w:hint="default"/>
          <w:lang w:val="en-US" w:eastAsia="zh-CN"/>
        </w:rPr>
      </w:pPr>
      <w:r>
        <m:rPr/>
        <w:rPr>
          <w:rFonts w:hint="default"/>
          <w:lang w:val="en-US" w:eastAsia="zh-CN"/>
        </w:rPr>
        <w:t>未来完成这些算法后，应在完全相同的数据划分、模型主干、通信预算和评估流程下进行综合比较，而不是分别选择最有利的实验设置。</w:t>
      </w:r>
    </w:p>
    <w:p w14:paraId="48C6F384">
      <w:pPr>
        <w:pStyle w:val="3"/>
        <w:bidi w:val="0"/>
        <m:rPr/>
        <w:rPr>
          <w:rFonts w:hint="eastAsia"/>
          <w:lang w:val="en-US" w:eastAsia="zh-CN"/>
        </w:rPr>
      </w:pPr>
      <w:r>
        <m:rPr/>
        <w:rPr>
          <w:rFonts w:hint="eastAsia"/>
          <w:lang w:val="en-US" w:eastAsia="zh-CN"/>
        </w:rPr>
        <w:t>5.7 Batch Normalization与FedBN尚未完成</w:t>
      </w:r>
    </w:p>
    <w:p w14:paraId="5B4B9525">
      <w:pPr>
        <m:rPr/>
        <w:rPr>
          <w:rFonts w:hint="default"/>
          <w:lang w:val="en-US" w:eastAsia="zh-CN"/>
        </w:rPr>
      </w:pPr>
      <w:r>
        <m:rPr/>
        <w:rPr>
          <w:rFonts w:hint="default"/>
          <w:lang w:val="en-US" w:eastAsia="zh-CN"/>
        </w:rPr>
        <w:t>项目早期带BatchNorm的FedAvg实验出现本地训练正常、全局推理接近随机的问题。该问题被定位为BN非训练状态在当前实现中没有被正确维护，但尚未完成正确的FedAvg-BN基线和FedBN正式实验。</w:t>
      </w:r>
    </w:p>
    <w:p w14:paraId="45CBA7AF">
      <w:pPr>
        <m:rPr/>
        <w:rPr>
          <w:rFonts w:hint="default"/>
          <w:lang w:val="en-US" w:eastAsia="zh-CN"/>
        </w:rPr>
      </w:pPr>
      <w:r>
        <m:rPr/>
        <w:rPr>
          <w:rFonts w:hint="default"/>
          <w:lang w:val="en-US" w:eastAsia="zh-CN"/>
        </w:rPr>
        <w:t>未来研究不能直接把旧的失败结果作为FedBN优于FedAvg的证据。正确的实验顺序应为：</w:t>
      </w:r>
    </w:p>
    <w:p w14:paraId="6D8A1765">
      <w:pPr>
        <m:rPr/>
        <w:rPr>
          <w:rFonts w:hint="default"/>
          <w:lang w:val="en-US" w:eastAsia="zh-CN"/>
        </w:rPr>
      </w:pPr>
      <w:r>
        <m:rPr/>
        <w:rPr>
          <w:rFonts w:hint="eastAsia"/>
          <w:lang w:val="en-US" w:eastAsia="zh-CN"/>
        </w:rPr>
        <w:t>1、</w:t>
      </w:r>
      <w:r>
        <m:rPr/>
        <w:rPr>
          <w:rFonts w:hint="default"/>
          <w:lang w:val="en-US" w:eastAsia="zh-CN"/>
        </w:rPr>
        <w:t>验证Centralized-BN的训练、保存和推理；</w:t>
      </w:r>
    </w:p>
    <w:p w14:paraId="05374045">
      <w:pPr>
        <m:rPr/>
        <w:rPr>
          <w:rFonts w:hint="default"/>
          <w:lang w:val="en-US" w:eastAsia="zh-CN"/>
        </w:rPr>
      </w:pPr>
      <w:r>
        <m:rPr/>
        <w:rPr>
          <w:rFonts w:hint="eastAsia"/>
          <w:lang w:val="en-US" w:eastAsia="zh-CN"/>
        </w:rPr>
        <w:t>2、</w:t>
      </w:r>
      <w:r>
        <m:rPr/>
        <w:rPr>
          <w:rFonts w:hint="default"/>
          <w:lang w:val="en-US" w:eastAsia="zh-CN"/>
        </w:rPr>
        <w:t>验证Local-only-BN的moving statistics正常更新；</w:t>
      </w:r>
    </w:p>
    <w:p w14:paraId="11DA55DE">
      <w:pPr>
        <m:rPr/>
        <w:rPr>
          <w:rFonts w:hint="default"/>
          <w:lang w:val="en-US" w:eastAsia="zh-CN"/>
        </w:rPr>
      </w:pPr>
      <w:r>
        <m:rPr/>
        <w:rPr>
          <w:rFonts w:hint="eastAsia"/>
          <w:lang w:val="en-US" w:eastAsia="zh-CN"/>
        </w:rPr>
        <w:t>3、</w:t>
      </w:r>
      <w:r>
        <m:rPr/>
        <w:rPr>
          <w:rFonts w:hint="default"/>
          <w:lang w:val="en-US" w:eastAsia="zh-CN"/>
        </w:rPr>
        <w:t>实现正确处理可训练与非训练变量的FedAvg-BN；</w:t>
      </w:r>
    </w:p>
    <w:p w14:paraId="17434C5C">
      <w:pPr>
        <m:rPr/>
        <w:rPr>
          <w:rFonts w:hint="default"/>
          <w:lang w:val="en-US" w:eastAsia="zh-CN"/>
        </w:rPr>
      </w:pPr>
      <w:r>
        <m:rPr/>
        <w:rPr>
          <w:rFonts w:hint="eastAsia"/>
          <w:lang w:val="en-US" w:eastAsia="zh-CN"/>
        </w:rPr>
        <w:t>4、</w:t>
      </w:r>
      <w:r>
        <m:rPr/>
        <w:rPr>
          <w:rFonts w:hint="default"/>
          <w:lang w:val="en-US" w:eastAsia="zh-CN"/>
        </w:rPr>
        <w:t>实现本地保留BN参数或统计量的FedBN；</w:t>
      </w:r>
    </w:p>
    <w:p w14:paraId="3CB27553">
      <w:pPr>
        <m:rPr/>
        <w:rPr>
          <w:rFonts w:hint="default"/>
          <w:lang w:val="en-US" w:eastAsia="zh-CN"/>
        </w:rPr>
      </w:pPr>
      <w:r>
        <m:rPr/>
        <w:rPr>
          <w:rFonts w:hint="eastAsia"/>
          <w:lang w:val="en-US" w:eastAsia="zh-CN"/>
        </w:rPr>
        <w:t>5、</w:t>
      </w:r>
      <w:r>
        <m:rPr/>
        <w:rPr>
          <w:rFonts w:hint="default"/>
          <w:lang w:val="en-US" w:eastAsia="zh-CN"/>
        </w:rPr>
        <w:t>在客户端特征分布异构条件下公平比较FedAvg-BN和FedBN。</w:t>
      </w:r>
    </w:p>
    <w:p w14:paraId="6CD93C9E">
      <w:pPr>
        <m:rPr/>
        <w:rPr>
          <w:rFonts w:hint="default"/>
          <w:lang w:val="en-US" w:eastAsia="zh-CN"/>
        </w:rPr>
      </w:pPr>
      <w:r>
        <m:rPr/>
        <w:rPr>
          <w:rFonts w:hint="default"/>
          <w:lang w:val="en-US" w:eastAsia="zh-CN"/>
        </w:rPr>
        <w:t>FedBN主要适合处理特征或场景分布差异，而不是当前的纯标签异构。因此，该方向应作为独立研究轴，不能与FedProx实验直接叠加后再把结果归因于单一算法。</w:t>
      </w:r>
    </w:p>
    <w:p w14:paraId="4E8EC7D9">
      <w:pPr>
        <w:pStyle w:val="3"/>
        <w:bidi w:val="0"/>
        <m:rPr/>
        <w:rPr>
          <w:rFonts w:hint="eastAsia"/>
          <w:lang w:val="en-US" w:eastAsia="zh-CN"/>
        </w:rPr>
      </w:pPr>
      <w:r>
        <m:rPr/>
        <w:rPr>
          <w:rFonts w:hint="eastAsia"/>
          <w:lang w:val="en-US" w:eastAsia="zh-CN"/>
        </w:rPr>
        <w:t>5.8 通信环境尚未被真实模拟</w:t>
      </w:r>
    </w:p>
    <w:p w14:paraId="302E9BB4">
      <w:pPr>
        <m:rPr/>
        <w:rPr>
          <w:rFonts w:hint="default"/>
          <w:lang w:val="en-US" w:eastAsia="zh-CN"/>
        </w:rPr>
      </w:pPr>
      <w:r>
        <m:rPr/>
        <w:rPr>
          <w:rFonts w:hint="default"/>
          <w:lang w:val="en-US" w:eastAsia="zh-CN"/>
        </w:rPr>
        <w:t>本研究估算了模型参数在每轮上下行传输中的通信量。无BatchNorm CNN的模型大小约为0.377 MiB，五个客户端每轮全部参与时，单轮参数通信量约为3.77 MiB，160轮累计约为603MiB。</w:t>
      </w:r>
    </w:p>
    <w:p w14:paraId="67FE9251">
      <w:pPr>
        <m:rPr/>
        <w:rPr>
          <w:rFonts w:hint="default"/>
          <w:lang w:val="en-US" w:eastAsia="zh-CN"/>
        </w:rPr>
      </w:pPr>
      <w:r>
        <m:rPr/>
        <w:rPr>
          <w:rFonts w:hint="default"/>
          <w:lang w:val="en-US" w:eastAsia="zh-CN"/>
        </w:rPr>
        <w:t>但该估算只包括模型参数载荷，没有考虑：</w:t>
      </w:r>
    </w:p>
    <w:p w14:paraId="6141947A">
      <w:pPr>
        <m:rPr/>
        <w:rPr>
          <w:rFonts w:hint="default"/>
          <w:lang w:val="en-US" w:eastAsia="zh-CN"/>
        </w:rPr>
      </w:pPr>
      <w:r>
        <m:rPr/>
        <w:rPr>
          <w:rFonts w:hint="eastAsia"/>
          <w:lang w:val="en-US" w:eastAsia="zh-CN"/>
        </w:rPr>
        <w:t>·</w:t>
      </w:r>
      <w:r>
        <m:rPr/>
        <w:rPr>
          <w:rFonts w:hint="default"/>
          <w:lang w:val="en-US" w:eastAsia="zh-CN"/>
        </w:rPr>
        <w:t>网络协议头；</w:t>
      </w:r>
    </w:p>
    <w:p w14:paraId="3F930938">
      <w:pPr>
        <m:rPr/>
        <w:rPr>
          <w:rFonts w:hint="default"/>
          <w:lang w:val="en-US" w:eastAsia="zh-CN"/>
        </w:rPr>
      </w:pPr>
      <w:r>
        <m:rPr/>
        <w:rPr>
          <w:rFonts w:hint="eastAsia"/>
          <w:lang w:val="en-US" w:eastAsia="zh-CN"/>
        </w:rPr>
        <w:t>·</w:t>
      </w:r>
      <w:r>
        <m:rPr/>
        <w:rPr>
          <w:rFonts w:hint="default"/>
          <w:lang w:val="en-US" w:eastAsia="zh-CN"/>
        </w:rPr>
        <w:t>序列化开销；</w:t>
      </w:r>
    </w:p>
    <w:p w14:paraId="33157856">
      <w:pPr>
        <m:rPr/>
        <w:rPr>
          <w:rFonts w:hint="default"/>
          <w:lang w:val="en-US" w:eastAsia="zh-CN"/>
        </w:rPr>
      </w:pPr>
      <w:r>
        <m:rPr/>
        <w:rPr>
          <w:rFonts w:hint="eastAsia"/>
          <w:lang w:val="en-US" w:eastAsia="zh-CN"/>
        </w:rPr>
        <w:t>·</w:t>
      </w:r>
      <w:r>
        <m:rPr/>
        <w:rPr>
          <w:rFonts w:hint="default"/>
          <w:lang w:val="en-US" w:eastAsia="zh-CN"/>
        </w:rPr>
        <w:t>加密和 TLS；</w:t>
      </w:r>
    </w:p>
    <w:p w14:paraId="4CEB322C">
      <w:pPr>
        <m:rPr/>
        <w:rPr>
          <w:rFonts w:hint="default"/>
          <w:lang w:val="en-US" w:eastAsia="zh-CN"/>
        </w:rPr>
      </w:pPr>
      <w:r>
        <m:rPr/>
        <w:rPr>
          <w:rFonts w:hint="eastAsia"/>
          <w:lang w:val="en-US" w:eastAsia="zh-CN"/>
        </w:rPr>
        <w:t>·</w:t>
      </w:r>
      <w:r>
        <m:rPr/>
        <w:rPr>
          <w:rFonts w:hint="default"/>
          <w:lang w:val="en-US" w:eastAsia="zh-CN"/>
        </w:rPr>
        <w:t>网络重传；</w:t>
      </w:r>
    </w:p>
    <w:p w14:paraId="13E2138A">
      <w:pPr>
        <m:rPr/>
        <w:rPr>
          <w:rFonts w:hint="default"/>
          <w:lang w:val="en-US" w:eastAsia="zh-CN"/>
        </w:rPr>
      </w:pPr>
      <w:r>
        <m:rPr/>
        <w:rPr>
          <w:rFonts w:hint="eastAsia"/>
          <w:lang w:val="en-US" w:eastAsia="zh-CN"/>
        </w:rPr>
        <w:t>·</w:t>
      </w:r>
      <w:r>
        <m:rPr/>
        <w:rPr>
          <w:rFonts w:hint="default"/>
          <w:lang w:val="en-US" w:eastAsia="zh-CN"/>
        </w:rPr>
        <w:t>客户端掉线；</w:t>
      </w:r>
    </w:p>
    <w:p w14:paraId="47BDF82D">
      <w:pPr>
        <m:rPr/>
        <w:rPr>
          <w:rFonts w:hint="default"/>
          <w:lang w:val="en-US" w:eastAsia="zh-CN"/>
        </w:rPr>
      </w:pPr>
      <w:r>
        <m:rPr/>
        <w:rPr>
          <w:rFonts w:hint="eastAsia"/>
          <w:lang w:val="en-US" w:eastAsia="zh-CN"/>
        </w:rPr>
        <w:t>·</w:t>
      </w:r>
      <w:r>
        <m:rPr/>
        <w:rPr>
          <w:rFonts w:hint="default"/>
          <w:lang w:val="en-US" w:eastAsia="zh-CN"/>
        </w:rPr>
        <w:t>带宽限制；</w:t>
      </w:r>
    </w:p>
    <w:p w14:paraId="56730CD3">
      <w:pPr>
        <m:rPr/>
        <w:rPr>
          <w:rFonts w:hint="default"/>
          <w:lang w:val="en-US" w:eastAsia="zh-CN"/>
        </w:rPr>
      </w:pPr>
      <w:r>
        <m:rPr/>
        <w:rPr>
          <w:rFonts w:hint="eastAsia"/>
          <w:lang w:val="en-US" w:eastAsia="zh-CN"/>
        </w:rPr>
        <w:t>·</w:t>
      </w:r>
      <w:r>
        <m:rPr/>
        <w:rPr>
          <w:rFonts w:hint="default"/>
          <w:lang w:val="en-US" w:eastAsia="zh-CN"/>
        </w:rPr>
        <w:t>通信延迟；</w:t>
      </w:r>
    </w:p>
    <w:p w14:paraId="06355E74">
      <w:pPr>
        <m:rPr/>
        <w:rPr>
          <w:rFonts w:hint="default"/>
          <w:lang w:val="en-US" w:eastAsia="zh-CN"/>
        </w:rPr>
      </w:pPr>
      <w:r>
        <m:rPr/>
        <w:rPr>
          <w:rFonts w:hint="eastAsia"/>
          <w:lang w:val="en-US" w:eastAsia="zh-CN"/>
        </w:rPr>
        <w:t>·</w:t>
      </w:r>
      <w:r>
        <m:rPr/>
        <w:rPr>
          <w:rFonts w:hint="default"/>
          <w:lang w:val="en-US" w:eastAsia="zh-CN"/>
        </w:rPr>
        <w:t>上行和下行速率差异。</w:t>
      </w:r>
    </w:p>
    <w:p w14:paraId="4ABDA745">
      <w:pPr>
        <m:rPr/>
        <w:rPr>
          <w:rFonts w:hint="default"/>
          <w:lang w:val="en-US" w:eastAsia="zh-CN"/>
        </w:rPr>
      </w:pPr>
      <w:r>
        <m:rPr/>
        <w:rPr>
          <w:rFonts w:hint="default"/>
          <w:lang w:val="en-US" w:eastAsia="zh-CN"/>
        </w:rPr>
        <w:t>实验也在本地计算环境中运行，并未真正模拟车联网通信。因此，目前只能说明模型参数的理论通信规模，不能代表实际道路环境中的传输时间和系统成本。</w:t>
      </w:r>
    </w:p>
    <w:p w14:paraId="56EBF406">
      <w:pPr>
        <m:rPr/>
        <w:rPr>
          <w:rFonts w:hint="default"/>
          <w:lang w:val="en-US" w:eastAsia="zh-CN"/>
        </w:rPr>
      </w:pPr>
      <w:r>
        <m:rPr/>
        <w:rPr>
          <w:rFonts w:hint="default"/>
          <w:lang w:val="en-US" w:eastAsia="zh-CN"/>
        </w:rPr>
        <w:t>未来可以研究量化、稀疏化和误差反馈等通信压缩方法，并报告：</w:t>
      </w:r>
    </w:p>
    <w:p w14:paraId="577A6EB4">
      <w:pPr>
        <m:rPr/>
        <w:rPr>
          <w:rFonts w:hint="default"/>
          <w:lang w:val="en-US" w:eastAsia="zh-CN"/>
        </w:rPr>
      </w:pPr>
      <w:r>
        <m:rPr/>
        <w:rPr>
          <w:rFonts w:hint="eastAsia"/>
          <w:lang w:val="en-US" w:eastAsia="zh-CN"/>
        </w:rPr>
        <w:t>·</w:t>
      </w:r>
      <w:r>
        <m:rPr/>
        <w:rPr>
          <w:rFonts w:hint="default"/>
          <w:lang w:val="en-US" w:eastAsia="zh-CN"/>
        </w:rPr>
        <w:t>压缩前后实际字节数；</w:t>
      </w:r>
    </w:p>
    <w:p w14:paraId="5A9BFBD8">
      <w:pPr>
        <m:rPr/>
        <w:rPr>
          <w:rFonts w:hint="default"/>
          <w:lang w:val="en-US" w:eastAsia="zh-CN"/>
        </w:rPr>
      </w:pPr>
      <w:r>
        <m:rPr/>
        <w:rPr>
          <w:rFonts w:hint="eastAsia"/>
          <w:lang w:val="en-US" w:eastAsia="zh-CN"/>
        </w:rPr>
        <w:t>·</w:t>
      </w:r>
      <w:r>
        <m:rPr/>
        <w:rPr>
          <w:rFonts w:hint="default"/>
          <w:lang w:val="en-US" w:eastAsia="zh-CN"/>
        </w:rPr>
        <w:t>压缩率；</w:t>
      </w:r>
    </w:p>
    <w:p w14:paraId="56AB5CED">
      <w:pPr>
        <m:rPr/>
        <w:rPr>
          <w:rFonts w:hint="default"/>
          <w:lang w:val="en-US" w:eastAsia="zh-CN"/>
        </w:rPr>
      </w:pPr>
      <w:r>
        <m:rPr/>
        <w:rPr>
          <w:rFonts w:hint="eastAsia"/>
          <w:lang w:val="en-US" w:eastAsia="zh-CN"/>
        </w:rPr>
        <w:t>·</w:t>
      </w:r>
      <w:r>
        <m:rPr/>
        <w:rPr>
          <w:rFonts w:hint="default"/>
          <w:lang w:val="en-US" w:eastAsia="zh-CN"/>
        </w:rPr>
        <w:t>测试准确率和 Macro Accuracy 损失；</w:t>
      </w:r>
    </w:p>
    <w:p w14:paraId="0221B5BB">
      <w:pPr>
        <m:rPr/>
        <w:rPr>
          <w:rFonts w:hint="default"/>
          <w:lang w:val="en-US" w:eastAsia="zh-CN"/>
        </w:rPr>
      </w:pPr>
      <w:r>
        <m:rPr/>
        <w:rPr>
          <w:rFonts w:hint="eastAsia"/>
          <w:lang w:val="en-US" w:eastAsia="zh-CN"/>
        </w:rPr>
        <w:t>·</w:t>
      </w:r>
      <w:r>
        <m:rPr/>
        <w:rPr>
          <w:rFonts w:hint="default"/>
          <w:lang w:val="en-US" w:eastAsia="zh-CN"/>
        </w:rPr>
        <w:t>编码与解码时间；</w:t>
      </w:r>
    </w:p>
    <w:p w14:paraId="23E2578E">
      <w:pPr>
        <m:rPr/>
        <w:rPr>
          <w:rFonts w:hint="default"/>
          <w:lang w:val="en-US" w:eastAsia="zh-CN"/>
        </w:rPr>
      </w:pPr>
      <w:r>
        <m:rPr/>
        <w:rPr>
          <w:rFonts w:hint="eastAsia"/>
          <w:lang w:val="en-US" w:eastAsia="zh-CN"/>
        </w:rPr>
        <w:t>·</w:t>
      </w:r>
      <w:r>
        <m:rPr/>
        <w:rPr>
          <w:rFonts w:hint="default"/>
          <w:lang w:val="en-US" w:eastAsia="zh-CN"/>
        </w:rPr>
        <w:t>达到目标准确率所需的累计通信量。</w:t>
      </w:r>
    </w:p>
    <w:p w14:paraId="5B3C3959">
      <w:pPr>
        <m:rPr/>
        <w:rPr>
          <w:rFonts w:hint="default"/>
          <w:lang w:val="en-US" w:eastAsia="zh-CN"/>
        </w:rPr>
      </w:pPr>
      <w:r>
        <m:rPr/>
        <w:rPr>
          <w:rFonts w:hint="default"/>
          <w:lang w:val="en-US" w:eastAsia="zh-CN"/>
        </w:rPr>
        <w:t>通信优化应选择一个已经稳定验证的算法作为基础，并作为独立实验进行，避免同时改变优化算法和通信表示而无法解释结果。</w:t>
      </w:r>
    </w:p>
    <w:p w14:paraId="3BA7F58C">
      <w:pPr>
        <w:pStyle w:val="3"/>
        <w:bidi w:val="0"/>
        <m:rPr/>
        <w:rPr>
          <w:rFonts w:hint="eastAsia"/>
          <w:lang w:val="en-US" w:eastAsia="zh-CN"/>
        </w:rPr>
      </w:pPr>
      <w:r>
        <m:rPr/>
        <w:rPr>
          <w:rFonts w:hint="eastAsia"/>
          <w:lang w:val="en-US" w:eastAsia="zh-CN"/>
        </w:rPr>
        <w:t>5.9 验证集可能比官方测试机更容易</w:t>
      </w:r>
    </w:p>
    <w:p w14:paraId="224DA0CE">
      <w:pPr>
        <m:rPr/>
        <w:rPr>
          <w:rFonts w:hint="default"/>
          <w:lang w:val="en-US" w:eastAsia="zh-CN"/>
        </w:rPr>
      </w:pPr>
      <w:r>
        <m:rPr/>
        <w:rPr>
          <w:rFonts w:hint="default"/>
          <w:lang w:val="en-US" w:eastAsia="zh-CN"/>
        </w:rPr>
        <w:t>每个客户端的本地数据按90%和10%划分为训练集和验证集，随后将所有客户端验证集合并为全局验证集。由于GTSRB数据可能包含同一真实交通标志的连续视频帧，随机划分后，训练集和验证集可能包含外观高度相似的图像。</w:t>
      </w:r>
    </w:p>
    <w:p w14:paraId="5D5BE0AF">
      <w:pPr>
        <m:rPr/>
        <w:rPr>
          <w:rFonts w:hint="default"/>
          <w:lang w:val="en-US" w:eastAsia="zh-CN"/>
        </w:rPr>
      </w:pPr>
      <w:r>
        <m:rPr/>
        <w:rPr>
          <w:rFonts w:hint="default"/>
          <w:lang w:val="en-US" w:eastAsia="zh-CN"/>
        </w:rPr>
        <w:t>这可能解释为什么部分实验的全局验证准确率接近100%，而官方测试准确率明显更低。该现象并不意味着测试结果错误，而说明内部验证集可能高估真实泛化能力。</w:t>
      </w:r>
    </w:p>
    <w:p w14:paraId="52448687">
      <w:pPr>
        <m:rPr/>
        <w:rPr>
          <w:rFonts w:hint="default"/>
          <w:lang w:val="en-US" w:eastAsia="zh-CN"/>
        </w:rPr>
      </w:pPr>
      <w:r>
        <m:rPr/>
        <w:rPr>
          <w:rFonts w:hint="default"/>
          <w:lang w:val="en-US" w:eastAsia="zh-CN"/>
        </w:rPr>
        <w:t>本研究已经通过始终单独报告官方测试结果来降低这一风险，但未来可以使用更严格的group-aware或track-aware划分，尽量保证来自同一视频序列或同一真实标志的图像不会同时进入训练集和验证集。</w:t>
      </w:r>
    </w:p>
    <w:p w14:paraId="06015238">
      <w:pPr>
        <w:pStyle w:val="3"/>
        <w:bidi w:val="0"/>
        <m:rPr/>
        <w:rPr>
          <w:rFonts w:hint="eastAsia"/>
          <w:lang w:val="en-US" w:eastAsia="zh-CN"/>
        </w:rPr>
      </w:pPr>
      <w:r>
        <m:rPr/>
        <w:rPr>
          <w:rFonts w:hint="eastAsia"/>
          <w:lang w:val="en-US" w:eastAsia="zh-CN"/>
        </w:rPr>
        <w:t>5.10 真实应用验证仍属于后续阶段</w:t>
      </w:r>
    </w:p>
    <w:p w14:paraId="4642BF8F">
      <w:pPr>
        <m:rPr/>
        <w:rPr>
          <w:rFonts w:hint="default"/>
          <w:lang w:val="en-US" w:eastAsia="zh-CN"/>
        </w:rPr>
      </w:pPr>
      <w:r>
        <m:rPr/>
        <w:rPr>
          <w:rFonts w:hint="default"/>
          <w:lang w:val="en-US" w:eastAsia="zh-CN"/>
        </w:rPr>
        <w:t>当前工作完成的是一个基于公开数据集的联邦图像分类实验平台。客户端由固定数据划分模拟，训练结果尚未部署到真实车辆、机器人或仿真小车中。</w:t>
      </w:r>
    </w:p>
    <w:p w14:paraId="776405F0">
      <w:pPr>
        <m:rPr/>
        <w:rPr>
          <w:rFonts w:hint="default"/>
          <w:lang w:val="en-US" w:eastAsia="zh-CN"/>
        </w:rPr>
      </w:pPr>
      <w:r>
        <m:rPr/>
        <w:rPr>
          <w:rFonts w:hint="default"/>
          <w:lang w:val="en-US" w:eastAsia="zh-CN"/>
        </w:rPr>
        <w:t>因此，本研究不能证明当前模型能够直接用于自动驾驶控制。交通标志识别只是感知模块的一部分，真实系统还需要考虑：</w:t>
      </w:r>
    </w:p>
    <w:p w14:paraId="011AE7BF">
      <w:pPr>
        <m:rPr/>
        <w:rPr>
          <w:rFonts w:hint="default"/>
          <w:lang w:val="en-US" w:eastAsia="zh-CN"/>
        </w:rPr>
      </w:pPr>
      <w:r>
        <m:rPr/>
        <w:rPr>
          <w:rFonts w:hint="eastAsia"/>
          <w:lang w:val="en-US" w:eastAsia="zh-CN"/>
        </w:rPr>
        <w:t>·</w:t>
      </w:r>
      <w:r>
        <m:rPr/>
        <w:rPr>
          <w:rFonts w:hint="default"/>
          <w:lang w:val="en-US" w:eastAsia="zh-CN"/>
        </w:rPr>
        <w:t>连续视频中的目标检测与跟踪；</w:t>
      </w:r>
    </w:p>
    <w:p w14:paraId="6CDC9F70">
      <w:pPr>
        <m:rPr/>
        <w:rPr>
          <w:rFonts w:hint="default"/>
          <w:lang w:val="en-US" w:eastAsia="zh-CN"/>
        </w:rPr>
      </w:pPr>
      <w:r>
        <m:rPr/>
        <w:rPr>
          <w:rFonts w:hint="eastAsia"/>
          <w:lang w:val="en-US" w:eastAsia="zh-CN"/>
        </w:rPr>
        <w:t>·</w:t>
      </w:r>
      <w:r>
        <m:rPr/>
        <w:rPr>
          <w:rFonts w:hint="default"/>
          <w:lang w:val="en-US" w:eastAsia="zh-CN"/>
        </w:rPr>
        <w:t>多次识别结果融合；</w:t>
      </w:r>
    </w:p>
    <w:p w14:paraId="2EC209CA">
      <w:pPr>
        <m:rPr/>
        <w:rPr>
          <w:rFonts w:hint="default"/>
          <w:lang w:val="en-US" w:eastAsia="zh-CN"/>
        </w:rPr>
      </w:pPr>
      <w:r>
        <m:rPr/>
        <w:rPr>
          <w:rFonts w:hint="eastAsia"/>
          <w:lang w:val="en-US" w:eastAsia="zh-CN"/>
        </w:rPr>
        <w:t>·</w:t>
      </w:r>
      <w:r>
        <m:rPr/>
        <w:rPr>
          <w:rFonts w:hint="default"/>
          <w:lang w:val="en-US" w:eastAsia="zh-CN"/>
        </w:rPr>
        <w:t>识别置信度阈值；</w:t>
      </w:r>
    </w:p>
    <w:p w14:paraId="7A0BC9EA">
      <w:pPr>
        <m:rPr/>
        <w:rPr>
          <w:rFonts w:hint="default"/>
          <w:lang w:val="en-US" w:eastAsia="zh-CN"/>
        </w:rPr>
      </w:pPr>
      <w:r>
        <m:rPr/>
        <w:rPr>
          <w:rFonts w:hint="eastAsia"/>
          <w:lang w:val="en-US" w:eastAsia="zh-CN"/>
        </w:rPr>
        <w:t>·</w:t>
      </w:r>
      <w:r>
        <m:rPr/>
        <w:rPr>
          <w:rFonts w:hint="default"/>
          <w:lang w:val="en-US" w:eastAsia="zh-CN"/>
        </w:rPr>
        <w:t>错误识别时的安全策略；</w:t>
      </w:r>
    </w:p>
    <w:p w14:paraId="1EA7FF23">
      <w:pPr>
        <m:rPr/>
        <w:rPr>
          <w:rFonts w:hint="default"/>
          <w:lang w:val="en-US" w:eastAsia="zh-CN"/>
        </w:rPr>
      </w:pPr>
      <w:r>
        <m:rPr/>
        <w:rPr>
          <w:rFonts w:hint="eastAsia"/>
          <w:lang w:val="en-US" w:eastAsia="zh-CN"/>
        </w:rPr>
        <w:t>·</w:t>
      </w:r>
      <w:r>
        <m:rPr/>
        <w:rPr>
          <w:rFonts w:hint="default"/>
          <w:lang w:val="en-US" w:eastAsia="zh-CN"/>
        </w:rPr>
        <w:t>控制延迟；</w:t>
      </w:r>
    </w:p>
    <w:p w14:paraId="79BF14B3">
      <w:pPr>
        <m:rPr/>
        <w:rPr>
          <w:rFonts w:hint="default"/>
          <w:lang w:val="en-US" w:eastAsia="zh-CN"/>
        </w:rPr>
      </w:pPr>
      <w:r>
        <m:rPr/>
        <w:rPr>
          <w:rFonts w:hint="eastAsia"/>
          <w:lang w:val="en-US" w:eastAsia="zh-CN"/>
        </w:rPr>
        <w:t>·</w:t>
      </w:r>
      <w:r>
        <m:rPr/>
        <w:rPr>
          <w:rFonts w:hint="default"/>
          <w:lang w:val="en-US" w:eastAsia="zh-CN"/>
        </w:rPr>
        <w:t>车辆动力学；</w:t>
      </w:r>
    </w:p>
    <w:p w14:paraId="35F44292">
      <w:pPr>
        <m:rPr/>
        <w:rPr>
          <w:rFonts w:hint="default"/>
          <w:lang w:val="en-US" w:eastAsia="zh-CN"/>
        </w:rPr>
      </w:pPr>
      <w:r>
        <m:rPr/>
        <w:rPr>
          <w:rFonts w:hint="eastAsia"/>
          <w:lang w:val="en-US" w:eastAsia="zh-CN"/>
        </w:rPr>
        <w:t>·</w:t>
      </w:r>
      <w:r>
        <m:rPr/>
        <w:rPr>
          <w:rFonts w:hint="default"/>
          <w:lang w:val="en-US" w:eastAsia="zh-CN"/>
        </w:rPr>
        <w:t>道路环境中的实时性。</w:t>
      </w:r>
    </w:p>
    <w:p w14:paraId="16038EB9">
      <w:pPr>
        <m:rPr/>
        <w:rPr>
          <w:rFonts w:hint="default"/>
          <w:lang w:val="en-US" w:eastAsia="zh-CN"/>
        </w:rPr>
      </w:pPr>
      <w:r>
        <m:rPr/>
        <w:rPr>
          <w:rFonts w:hint="default"/>
          <w:lang w:val="en-US" w:eastAsia="zh-CN"/>
        </w:rPr>
        <w:t>未来可以将训练得到的模型接入仿真环境，设计简单的“识别—决策—控制”规则。例如，识别到停止标志后触发减速和停车，识别到限速标志后调整目标速度。之后再逐步扩展到真实小车或更复杂的道路仿真。</w:t>
      </w:r>
    </w:p>
    <w:p w14:paraId="56DA8886">
      <w:pPr>
        <w:pStyle w:val="3"/>
        <w:numPr>
          <w:numId w:val="0"/>
        </w:numPr>
        <w:bidi w:val="0"/>
        <m:rPr/>
        <w:rPr>
          <w:rFonts w:hint="eastAsia"/>
          <w:lang w:val="en-US" w:eastAsia="zh-CN"/>
        </w:rPr>
      </w:pPr>
      <w:r>
        <m:rPr/>
        <w:rPr>
          <w:rFonts w:hint="eastAsia"/>
          <w:lang w:val="en-US" w:eastAsia="zh-CN"/>
        </w:rPr>
        <w:t>5.11 推荐后续研究路线</w:t>
      </w:r>
    </w:p>
    <w:p w14:paraId="39733BD9">
      <w:pPr>
        <m:rPr/>
        <w:rPr>
          <w:rFonts w:hint="default"/>
          <w:lang w:val="en-US" w:eastAsia="zh-CN"/>
        </w:rPr>
      </w:pPr>
      <w:r>
        <m:rPr/>
        <w:rPr>
          <w:rFonts w:hint="default"/>
          <w:lang w:val="en-US" w:eastAsia="zh-CN"/>
        </w:rPr>
        <w:t>根据当前成果和工程依赖，后续工作应按照以下顺序开展：</w:t>
      </w:r>
    </w:p>
    <w:p w14:paraId="76F4977F">
      <w:pPr>
        <m:rPr/>
        <w:rPr>
          <w:rFonts w:hint="default"/>
          <w:lang w:val="en-US" w:eastAsia="zh-CN"/>
        </w:rPr>
      </w:pPr>
      <w:r>
        <m:rPr/>
        <w:rPr>
          <w:rFonts w:hint="eastAsia"/>
          <w:lang w:val="en-US" w:eastAsia="zh-CN"/>
        </w:rPr>
        <w:t>1、</w:t>
      </w:r>
      <w:r>
        <m:rPr/>
        <w:rPr>
          <w:rFonts w:hint="default"/>
          <w:lang w:val="en-US" w:eastAsia="zh-CN"/>
        </w:rPr>
        <w:t>第一阶段：提高统计可靠性</w:t>
      </w:r>
    </w:p>
    <w:p w14:paraId="0DC04D2C">
      <w:pPr>
        <m:rPr/>
        <w:rPr>
          <w:rFonts w:hint="default"/>
          <w:lang w:val="en-US" w:eastAsia="zh-CN"/>
        </w:rPr>
      </w:pPr>
      <w:r>
        <m:rPr/>
        <w:rPr>
          <w:rFonts w:hint="default"/>
          <w:lang w:val="en-US" w:eastAsia="zh-CN"/>
        </w:rPr>
        <w:t>优先增加随机种子，并重复FedAvg和FedProx的核心实验。该步骤不需要改变现有算法代码，却能显著提高当前结论的可信度。</w:t>
      </w:r>
    </w:p>
    <w:p w14:paraId="2390180A">
      <w:pPr>
        <m:rPr/>
        <w:rPr>
          <w:rFonts w:hint="default"/>
          <w:lang w:val="en-US" w:eastAsia="zh-CN"/>
        </w:rPr>
      </w:pPr>
      <w:r>
        <m:rPr/>
        <w:rPr>
          <w:rFonts w:hint="eastAsia"/>
          <w:lang w:val="en-US" w:eastAsia="zh-CN"/>
        </w:rPr>
        <w:t>2、</w:t>
      </w:r>
      <w:r>
        <m:rPr/>
        <w:rPr>
          <w:rFonts w:hint="default"/>
          <w:lang w:val="en-US" w:eastAsia="zh-CN"/>
        </w:rPr>
        <w:t>第二阶段：增加异构和漂移压力</w:t>
      </w:r>
    </w:p>
    <w:p w14:paraId="034EAD79">
      <w:pPr>
        <m:rPr/>
        <w:rPr>
          <w:rFonts w:hint="default"/>
          <w:lang w:val="en-US" w:eastAsia="zh-CN"/>
        </w:rPr>
      </w:pPr>
      <w:r>
        <m:rPr/>
        <w:rPr>
          <w:rFonts w:hint="default"/>
          <w:lang w:val="en-US" w:eastAsia="zh-CN"/>
        </w:rPr>
        <w:t>测试更多本地epoch、部分客户端参与和客户端样本量不均衡，观察FedProx是否在更强client drift条件下体现更明显优势。</w:t>
      </w:r>
    </w:p>
    <w:p w14:paraId="5660E55B">
      <w:pPr>
        <m:rPr/>
        <w:rPr>
          <w:rFonts w:hint="default"/>
          <w:lang w:val="en-US" w:eastAsia="zh-CN"/>
        </w:rPr>
      </w:pPr>
      <w:r>
        <m:rPr/>
        <w:rPr>
          <w:rFonts w:hint="eastAsia"/>
          <w:lang w:val="en-US" w:eastAsia="zh-CN"/>
        </w:rPr>
        <w:t>3、</w:t>
      </w:r>
      <w:r>
        <m:rPr/>
        <w:rPr>
          <w:rFonts w:hint="default"/>
          <w:lang w:val="en-US" w:eastAsia="zh-CN"/>
        </w:rPr>
        <w:t>第三阶段：完成其他异构优化算法</w:t>
      </w:r>
    </w:p>
    <w:p w14:paraId="54F5F78A">
      <w:pPr>
        <m:rPr/>
        <w:rPr>
          <w:rFonts w:hint="default"/>
          <w:lang w:val="en-US" w:eastAsia="zh-CN"/>
        </w:rPr>
      </w:pPr>
      <w:r>
        <m:rPr/>
        <w:rPr>
          <w:rFonts w:hint="default"/>
          <w:lang w:val="en-US" w:eastAsia="zh-CN"/>
        </w:rPr>
        <w:t>依次实现SCAFFOLD和MOON，并在α=0.1与α=0.5的固定划分上进行严格对照。</w:t>
      </w:r>
    </w:p>
    <w:p w14:paraId="32AF5D0A">
      <w:pPr>
        <m:rPr/>
        <w:rPr>
          <w:rFonts w:hint="default"/>
          <w:lang w:val="en-US" w:eastAsia="zh-CN"/>
        </w:rPr>
      </w:pPr>
      <w:r>
        <m:rPr/>
        <w:rPr>
          <w:rFonts w:hint="eastAsia"/>
          <w:lang w:val="en-US" w:eastAsia="zh-CN"/>
        </w:rPr>
        <w:t>4、</w:t>
      </w:r>
      <w:r>
        <m:rPr/>
        <w:rPr>
          <w:rFonts w:hint="default"/>
          <w:lang w:val="en-US" w:eastAsia="zh-CN"/>
        </w:rPr>
        <w:t>第四阶段：研究特征异构与FedBN</w:t>
      </w:r>
    </w:p>
    <w:p w14:paraId="64C7062B">
      <w:pPr>
        <m:rPr/>
        <w:rPr>
          <w:rFonts w:hint="default"/>
          <w:lang w:val="en-US" w:eastAsia="zh-CN"/>
        </w:rPr>
      </w:pPr>
      <w:r>
        <m:rPr/>
        <w:rPr>
          <w:rFonts w:hint="default"/>
          <w:lang w:val="en-US" w:eastAsia="zh-CN"/>
        </w:rPr>
        <w:t>先重建正确的带BN基线，再构造客户端视觉域差异并评价FedBN。</w:t>
      </w:r>
    </w:p>
    <w:p w14:paraId="7E66CA00">
      <w:pPr>
        <m:rPr/>
        <w:rPr>
          <w:rFonts w:hint="default"/>
          <w:lang w:val="en-US" w:eastAsia="zh-CN"/>
        </w:rPr>
      </w:pPr>
      <w:r>
        <m:rPr/>
        <w:rPr>
          <w:rFonts w:hint="eastAsia"/>
          <w:lang w:val="en-US" w:eastAsia="zh-CN"/>
        </w:rPr>
        <w:t>5、</w:t>
      </w:r>
      <w:r>
        <m:rPr/>
        <w:rPr>
          <w:rFonts w:hint="default"/>
          <w:lang w:val="en-US" w:eastAsia="zh-CN"/>
        </w:rPr>
        <w:t>第五阶段：通信优化</w:t>
      </w:r>
    </w:p>
    <w:p w14:paraId="7BC3BCDB">
      <w:pPr>
        <m:rPr/>
        <w:rPr>
          <w:rFonts w:hint="default"/>
          <w:lang w:val="en-US" w:eastAsia="zh-CN"/>
        </w:rPr>
      </w:pPr>
      <w:r>
        <m:rPr/>
        <w:rPr>
          <w:rFonts w:hint="default"/>
          <w:lang w:val="en-US" w:eastAsia="zh-CN"/>
        </w:rPr>
        <w:t>在稳定算法基础上研究量化、稀疏化和累计通信效率。</w:t>
      </w:r>
    </w:p>
    <w:p w14:paraId="69F7B808">
      <w:pPr>
        <m:rPr/>
        <w:rPr>
          <w:rFonts w:hint="default"/>
          <w:lang w:val="en-US" w:eastAsia="zh-CN"/>
        </w:rPr>
      </w:pPr>
      <w:r>
        <m:rPr/>
        <w:rPr>
          <w:rFonts w:hint="eastAsia"/>
          <w:lang w:val="en-US" w:eastAsia="zh-CN"/>
        </w:rPr>
        <w:t>6、</w:t>
      </w:r>
      <w:r>
        <m:rPr/>
        <w:rPr>
          <w:rFonts w:hint="default"/>
          <w:lang w:val="en-US" w:eastAsia="zh-CN"/>
        </w:rPr>
        <w:t>第六阶段：应用与数据集扩展</w:t>
      </w:r>
    </w:p>
    <w:p w14:paraId="5803CBEF">
      <w:pPr>
        <m:rPr/>
        <w:rPr>
          <w:rFonts w:hint="default"/>
          <w:lang w:val="en-US" w:eastAsia="zh-CN"/>
        </w:rPr>
      </w:pPr>
      <w:r>
        <m:rPr/>
        <w:rPr>
          <w:rFonts w:hint="default"/>
          <w:lang w:val="en-US" w:eastAsia="zh-CN"/>
        </w:rPr>
        <w:t>将模型接入小车或仿真控制，并进一步扩展到BDD100K等更复杂道路数据集。</w:t>
      </w:r>
    </w:p>
    <w:p w14:paraId="5F077635">
      <w:pPr>
        <m:rPr/>
        <w:rPr>
          <w:rFonts w:hint="default"/>
          <w:lang w:val="en-US" w:eastAsia="zh-CN"/>
        </w:rPr>
      </w:pPr>
      <w:r>
        <m:rPr/>
        <w:rPr>
          <w:rFonts w:hint="default"/>
          <w:lang w:val="en-US" w:eastAsia="zh-CN"/>
        </w:rPr>
        <w:t>这一实施顺序与Stage 1C后续规划一致，遵循“不同研究轴分开、每个阶段形成完整可复现闭环”的原则。</w:t>
      </w:r>
    </w:p>
    <w:p w14:paraId="222C4F76">
      <w:pPr>
        <w:pStyle w:val="2"/>
        <w:bidi w:val="0"/>
        <m:rPr/>
        <w:rPr>
          <w:rFonts w:hint="eastAsia"/>
          <w:lang w:val="en-US" w:eastAsia="zh-CN"/>
        </w:rPr>
      </w:pPr>
      <w:r>
        <m:rPr/>
        <w:rPr>
          <w:rFonts w:hint="eastAsia"/>
          <w:lang w:val="en-US" w:eastAsia="zh-CN"/>
        </w:rPr>
        <w:t>6 结论</w:t>
      </w:r>
    </w:p>
    <w:p w14:paraId="091CC1D6">
      <w:pPr>
        <m:rPr/>
        <w:rPr>
          <w:rFonts w:hint="default"/>
          <w:lang w:val="en-US" w:eastAsia="zh-CN"/>
        </w:rPr>
      </w:pPr>
      <w:r>
        <m:rPr/>
        <w:rPr>
          <w:rFonts w:hint="default"/>
          <w:lang w:val="en-US" w:eastAsia="zh-CN"/>
        </w:rPr>
        <w:t>本研究以GTSRB交通标志分类任务为实验对象，构建了一个包含5个模拟客户端的可复现联邦学习流程，重点研究客户端标签分布异构对FedAvg的影响，以及FedProx能否缓解强 Non-IID条件下的性能退化。</w:t>
      </w:r>
    </w:p>
    <w:p w14:paraId="28DD952B">
      <w:pPr>
        <m:rPr/>
        <w:rPr>
          <w:rFonts w:hint="default"/>
          <w:lang w:val="en-US" w:eastAsia="zh-CN"/>
        </w:rPr>
      </w:pPr>
      <w:r>
        <m:rPr/>
        <w:rPr>
          <w:rFonts w:hint="default"/>
          <w:lang w:val="en-US" w:eastAsia="zh-CN"/>
        </w:rPr>
        <w:t>在近似IID的数据划分中，FedAvg在官方测试集上取得了92.60%的测试准确率和89.44%的宏平均类别准确率，明显优于五个客户端独立训练模型的平均结果，并达到与集中式训练相近的性能。这说明，在不集中原始图像的情况下，联邦参数聚合能够有效整合多个客户端的训练信息。</w:t>
      </w:r>
    </w:p>
    <w:p w14:paraId="0E13C9C5">
      <w:pPr>
        <m:rPr/>
        <w:rPr>
          <w:rFonts w:hint="default"/>
          <w:lang w:val="en-US" w:eastAsia="zh-CN"/>
        </w:rPr>
      </w:pPr>
      <w:r>
        <m:rPr/>
        <w:rPr>
          <w:rFonts w:hint="default"/>
          <w:lang w:val="en-US" w:eastAsia="zh-CN"/>
        </w:rPr>
        <w:t>进一步的Dirichlet实验表明，Non-IID并不会在所有情况下导致FedAvg失效。在α=10和α=1.0的轻度或中度标签偏斜下，FedAvg的测试性能基本保持稳定；在α=0.5下只出现有限下降。然而，当α降低至0.1时，测试准确率下降至71.49%，宏平均类别准确率下降至69.42%，并出现多个类别准确率为零和明显的系统性混淆。该结果说明，在当前实验条件下，FedAvg对一定程度的标签异构具有鲁棒性，但极端标签偏斜会同时破坏整体泛化能力和类别级均衡性。</w:t>
      </w:r>
    </w:p>
    <w:p w14:paraId="76EB20D8">
      <w:pPr>
        <m:rPr/>
        <w:rPr>
          <w:rFonts w:hint="default"/>
          <w:lang w:val="en-US" w:eastAsia="zh-CN"/>
        </w:rPr>
      </w:pPr>
      <w:r>
        <m:rPr/>
        <w:rPr>
          <w:rFonts w:hint="default"/>
          <w:lang w:val="en-US" w:eastAsia="zh-CN"/>
        </w:rPr>
        <w:t>在FedProx阶段，本研究使用同一训练器中的μ=0作为严格匹配控制组，从而避免将优化器、初始化或训练预算的变化误认为算法效果。在α=0.1条件下，μ=0.1将测试准确率由77.51%提高至84.52%，宏平均类别准确率由73.60%提高至80.79%；在α=0.5条件下，测试准确率由87.36% 提高至91.81%，宏平均类别准确率由82.46%提高至87.80%。两种异构程度下的测试损失也均有所降低。</w:t>
      </w:r>
    </w:p>
    <w:p w14:paraId="200B1F13">
      <w:pPr>
        <m:rPr/>
        <w:rPr>
          <w:rFonts w:hint="default"/>
          <w:lang w:val="en-US" w:eastAsia="zh-CN"/>
        </w:rPr>
      </w:pPr>
      <w:r>
        <m:rPr/>
        <w:rPr>
          <w:rFonts w:hint="default"/>
          <w:lang w:val="en-US" w:eastAsia="zh-CN"/>
        </w:rPr>
        <w:t>这些结果支持了适当近端约束能够缓解客户端更新偏离的研究假设，而且FedProx在更强标签异构条件下取得了更明显的收益。类别级分析进一步显示，提升来自多数类别，而不是仅由少数高频类别贡献。不过，FedProx并未改善所有类别，也没有完全恢复极端异构条件下的失效类别。因此，本研究的结论不是FedProx已经解决了Non-IID问题，而是它在当前设置下显著但不完全地缓解了强标签偏斜造成的性能退化。</w:t>
      </w:r>
    </w:p>
    <w:p w14:paraId="2D14DCA4">
      <w:pPr>
        <m:rPr/>
        <w:rPr>
          <w:rFonts w:hint="default"/>
          <w:lang w:val="en-US" w:eastAsia="zh-CN"/>
        </w:rPr>
      </w:pPr>
      <w:r>
        <m:rPr/>
        <w:rPr>
          <w:rFonts w:hint="default"/>
          <w:lang w:val="en-US" w:eastAsia="zh-CN"/>
        </w:rPr>
        <w:t>除最终性能外，本研究还建立了固定数据划分、统一模型结构、最佳验证模型选择、官方测试隔离、checkpoint恢复、μ=0退化测试和服务器聚合审计等工程控制。这些设计提高了实验结果的可复现性，也使观察到的性能差异具有更清晰的归因依据。</w:t>
      </w:r>
    </w:p>
    <w:p w14:paraId="410ADAD7">
      <w:pPr>
        <m:rPr/>
        <w:rPr>
          <w:rFonts w:hint="default"/>
          <w:lang w:val="en-US" w:eastAsia="zh-CN"/>
        </w:rPr>
      </w:pPr>
      <w:r>
        <m:rPr/>
        <w:rPr>
          <w:rFonts w:hint="default"/>
          <w:lang w:val="en-US" w:eastAsia="zh-CN"/>
        </w:rPr>
        <w:t>当前结论仍受单一随机种子、客户端数量较少、所有客户端全程参与、每轮仅一个本地epoch，以及主要研究标签异构等条件限制。后续研究应首先增加随机种子和压力实验，再在相同实验协议下扩展SCAFFOLD、MOON、FedBN和通信压缩，并进一步研究真实车辆场景中的特征异构、客户端掉线和部署成本。</w:t>
      </w:r>
    </w:p>
    <w:p w14:paraId="1C0FD5FE">
      <w:pPr>
        <m:rPr/>
        <w:rPr>
          <w:rFonts w:hint="default"/>
          <w:lang w:val="en-US" w:eastAsia="zh-CN"/>
        </w:rPr>
      </w:pPr>
      <w:r>
        <m:rPr/>
        <w:rPr>
          <w:rFonts w:hint="default"/>
          <w:lang w:val="en-US" w:eastAsia="zh-CN"/>
        </w:rPr>
        <w:t>总体而言，本研究完成了从可靠IID基线、可控Non-IID压力测试，到FedProx严格配对验证的完整实验链路。研究结果表明，联邦交通标志识别的关键并不是简单判断一种算法是否“有效”，而是明确它在何种数据异构程度、何种训练条件和何种评价指标下有效。建立这种具有控制、审计和边界意识的实验框架，为后续研究更复杂的联邦优化方法和真实智能交通应用提供了可信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B5EF8E"/>
    <w:multiLevelType w:val="multilevel"/>
    <w:tmpl w:val="9CB5EF8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E3BBD97"/>
    <w:multiLevelType w:val="singleLevel"/>
    <w:tmpl w:val="FE3BBD97"/>
    <w:lvl w:ilvl="0" w:tentative="0">
      <w:start w:val="1"/>
      <w:numFmt w:val="decimal"/>
      <w:suff w:val="nothing"/>
      <w:lvlText w:val="%1、"/>
      <w:lvlJc w:val="left"/>
    </w:lvl>
  </w:abstractNum>
  <w:abstractNum w:abstractNumId="2">
    <w:nsid w:val="0DDD00BD"/>
    <w:multiLevelType w:val="singleLevel"/>
    <w:tmpl w:val="0DDD00BD"/>
    <w:lvl w:ilvl="0" w:tentative="0">
      <w:start w:val="1"/>
      <w:numFmt w:val="decimal"/>
      <w:suff w:val="nothing"/>
      <w:lvlText w:val="%1、"/>
      <w:lvlJc w:val="left"/>
    </w:lvl>
  </w:abstractNum>
  <w:abstractNum w:abstractNumId="3">
    <w:nsid w:val="3170BFE6"/>
    <w:multiLevelType w:val="singleLevel"/>
    <w:tmpl w:val="3170BFE6"/>
    <w:lvl w:ilvl="0" w:tentative="0">
      <w:start w:val="1"/>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112C5"/>
    <w:rsid w:val="0FE0277A"/>
    <w:rsid w:val="13000730"/>
    <w:rsid w:val="1A7D635E"/>
    <w:rsid w:val="1DE27252"/>
    <w:rsid w:val="26CF51C4"/>
    <w:rsid w:val="3FDC63D9"/>
    <w:rsid w:val="435A2C8A"/>
    <w:rsid w:val="4A1C75EF"/>
    <w:rsid w:val="50237A7E"/>
    <w:rsid w:val="58CA147A"/>
    <w:rsid w:val="618B54B6"/>
    <w:rsid w:val="6EEE7087"/>
    <w:rsid w:val="7BD22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271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2026-07-27T02:11:36Z</dcterms:created>
  <dc:creator>HeMa</dc:creator>
  <cp:lastModifiedBy>淘金者</cp:lastModifiedBy>
  <dcterms:modified xsi:type="dcterms:W3CDTF">2026-07-27T13:32:30Z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eyJoZGlkIjoiYjI5MTQ3ZDJjMjJkMzEwMTgwMGFiYWJhOWY0YmUyZTYiLCJ1c2VySWQiOiIxMzg3MDc2MzIxIn0=</vt:lpwstr>
  </property>
  <property fmtid="{D5CDD505-2E9C-101B-9397-08002B2CF9AE}" pid="4" name="ICV">
    <vt:lpwstr>52DD93F9D490404DB61A64812A6F33C7_12</vt:lpwstr>
  </property>
</Properties>
</file>