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080"/>
        <w:jc w:val="center"/>
      </w:pPr>
      <w:r>
        <w:rPr>
          <w:rFonts w:ascii="Noto Sans CJK SC" w:hAnsi="Noto Sans CJK SC" w:eastAsia="Noto Sans CJK SC"/>
          <w:b/>
          <w:i w:val="0"/>
          <w:color w:val="17365D"/>
          <w:sz w:val="48"/>
        </w:rPr>
        <w:t>以论文发表为目标的</w:t>
      </w:r>
    </w:p>
    <w:p>
      <w:pPr>
        <w:jc w:val="center"/>
      </w:pPr>
      <w:r>
        <w:rPr>
          <w:rFonts w:ascii="Noto Sans CJK SC" w:hAnsi="Noto Sans CJK SC" w:eastAsia="Noto Sans CJK SC"/>
          <w:b/>
          <w:i w:val="0"/>
          <w:color w:val="17365D"/>
          <w:sz w:val="52"/>
        </w:rPr>
        <w:t>GTSRB 联邦学习后续研究与投稿规划</w:t>
      </w:r>
    </w:p>
    <w:p>
      <w:pPr>
        <w:spacing w:before="240"/>
        <w:jc w:val="center"/>
      </w:pPr>
      <w:r>
        <w:rPr>
          <w:rFonts w:ascii="Noto Sans CJK SC" w:hAnsi="Noto Sans CJK SC" w:eastAsia="Noto Sans CJK SC"/>
          <w:b w:val="0"/>
          <w:i/>
          <w:color w:val="415569"/>
          <w:sz w:val="26"/>
        </w:rPr>
        <w:t>From a Reproducible FedProx Baseline to a Publication-Ready Study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0F6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0"/>
              </w:rPr>
              <w:t>项目</w:t>
            </w:r>
          </w:p>
        </w:tc>
        <w:tc>
          <w:tcPr>
            <w:tcW w:type="dxa" w:w="6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Vehicle-to-Cloud Federated Learning for Traffic Sign Recognition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0F6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0"/>
              </w:rPr>
              <w:t>研究基础</w:t>
            </w:r>
          </w:p>
        </w:tc>
        <w:tc>
          <w:tcPr>
            <w:tcW w:type="dxa" w:w="6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Stage 1A / 1B 已完成；Stage 1C-A1 FedProx 已关闭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0F6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0"/>
              </w:rPr>
              <w:t>规划目标</w:t>
            </w:r>
          </w:p>
        </w:tc>
        <w:tc>
          <w:tcPr>
            <w:tcW w:type="dxa" w:w="6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补足统计稳健性、系统压力测试与算法对比，形成可投稿论文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0F6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0"/>
              </w:rPr>
              <w:t>作者</w:t>
            </w:r>
          </w:p>
        </w:tc>
        <w:tc>
          <w:tcPr>
            <w:tcW w:type="dxa" w:w="6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Ma He</w:t>
            </w:r>
          </w:p>
        </w:tc>
      </w:tr>
      <w:tr>
        <w:tc>
          <w:tcPr>
            <w:tcW w:type="dxa" w:w="198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AF0F6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7365D"/>
                <w:sz w:val="20"/>
              </w:rPr>
              <w:t>版本日期</w:t>
            </w:r>
          </w:p>
        </w:tc>
        <w:tc>
          <w:tcPr>
            <w:tcW w:type="dxa" w:w="69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v1.0 · 2026-08-04</w:t>
            </w:r>
          </w:p>
        </w:tc>
      </w:tr>
    </w:tbl>
    <w:p>
      <w:pPr>
        <w:spacing w:before="480"/>
        <w:jc w:val="center"/>
      </w:pPr>
      <w:r>
        <w:rPr>
          <w:rFonts w:ascii="Noto Sans CJK SC" w:hAnsi="Noto Sans CJK SC" w:eastAsia="Noto Sans CJK SC"/>
          <w:b/>
          <w:i w:val="0"/>
          <w:color w:val="265A6E"/>
          <w:sz w:val="23"/>
        </w:rPr>
        <w:t>文档定位：技术执行计划 + 论文写作路线 + 导师沟通与投稿建议</w:t>
      </w:r>
    </w:p>
    <w:p>
      <w:pPr>
        <w:jc w:val="center"/>
      </w:pPr>
      <w:r>
        <w:rPr>
          <w:rFonts w:ascii="Noto Sans CJK SC" w:hAnsi="Noto Sans CJK SC" w:eastAsia="Noto Sans CJK SC"/>
          <w:b w:val="0"/>
          <w:i w:val="0"/>
          <w:color w:val="555F69"/>
          <w:sz w:val="19"/>
        </w:rPr>
        <w:t>本规划以现有正式输出为事实边界；“已完成”与“建议开展”严格分开。</w:t>
      </w:r>
    </w:p>
    <w:p>
      <w:r>
        <w:br w:type="page"/>
      </w:r>
    </w:p>
    <w:p>
      <w:pPr>
        <w:pStyle w:val="Heading1"/>
      </w:pPr>
      <w:r>
        <w:t>0. 执行摘要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9F3E5"/>
            <w:tcBorders>
              <w:top w:val="single" w:sz="10" w:color="7F9E68"/>
              <w:left w:val="single" w:sz="20" w:color="7F9E68"/>
              <w:bottom w:val="single" w:sz="10" w:color="7F9E68"/>
              <w:right w:val="single" w:sz="10" w:color="7F9E68"/>
            </w:tcBorders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E462D"/>
                <w:sz w:val="21"/>
              </w:rPr>
              <w:t>核心判断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当前工作已经形成一条清晰、可复现的研究主线，但尚不适合直接冲击高门槛期刊。论文优先路线应当先补多随机种子与压力实验，再实现一个机制不同的强对照算法（优先 SCAFFOLD），最后形成统一统计、类别级分析和可复现材料。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rHeight w:hRule="atLeast"/>
          <w:tblHeader w:val="true"/>
        </w:trPr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优先级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任务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目标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是否必需</w:t>
            </w:r>
          </w:p>
        </w:tc>
      </w:tr>
      <w:tr>
        <w:trPr>
          <w:trHeight w:hRule="atLeast"/>
        </w:trPr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冻结 Stage 1C-A1 正式资产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保证已有结论可追溯、不可覆盖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必须</w:t>
            </w:r>
          </w:p>
        </w:tc>
      </w:tr>
      <w:tr>
        <w:trPr>
          <w:trHeight w:hRule="atLeast"/>
        </w:trPr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多训练随机种子严格配对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估计均值、方差和配对提升稳定性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必须</w:t>
            </w:r>
          </w:p>
        </w:tc>
      </w:tr>
      <w:tr>
        <w:trPr>
          <w:trHeight w:hRule="atLeast"/>
        </w:trPr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P2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一个压力实验轴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验证更强 client drift 下的结论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必须</w:t>
            </w:r>
          </w:p>
        </w:tc>
      </w:tr>
      <w:tr>
        <w:trPr>
          <w:trHeight w:hRule="atLeast"/>
        </w:trPr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P3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SCAFFOLD 实现与配对比较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增加机制不同的算法对照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强烈建议</w:t>
            </w:r>
          </w:p>
        </w:tc>
      </w:tr>
      <w:tr>
        <w:trPr>
          <w:trHeight w:hRule="atLeast"/>
        </w:trPr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P4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统一统计、写作与复现包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形成论文主表、主图、代码与审计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必须</w:t>
            </w:r>
          </w:p>
        </w:tc>
      </w:tr>
      <w:tr>
        <w:trPr>
          <w:trHeight w:hRule="atLeast"/>
        </w:trPr>
        <w:tc>
          <w:tcPr>
            <w:tcW w:type="dxa" w:w="7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P5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MOON / FedBN / 通信压缩</w:t>
            </w:r>
          </w:p>
        </w:tc>
        <w:tc>
          <w:tcPr>
            <w:tcW w:type="dxa" w:w="430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扩展研究轴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投稿前非必需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7F2F7"/>
            <w:tcBorders>
              <w:top w:val="single" w:sz="10" w:color="2B7A8B"/>
              <w:left w:val="single" w:sz="20" w:color="2B7A8B"/>
              <w:bottom w:val="single" w:sz="10" w:color="2B7A8B"/>
              <w:right w:val="single" w:sz="10" w:color="2B7A8B"/>
            </w:tcBorders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E462D"/>
                <w:sz w:val="21"/>
              </w:rPr>
              <w:t>建议的最小论文故事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“FedAvg 在轻中度 label skew 下稳定、在极端 skew 下出现总体与类别级退化；FedProx 在严格配对中提供部分缓解；该效果在多训练 seed 和更强本地漂移下是否稳定，并与 SCAFFOLD 的方向校正机制如何比较。”</w:t>
            </w:r>
          </w:p>
        </w:tc>
      </w:tr>
    </w:tbl>
    <w:p>
      <w:pPr>
        <w:spacing w:after="0"/>
      </w:pPr>
    </w:p>
    <w:p>
      <w:pPr>
        <w:pStyle w:val="Heading2"/>
      </w:pPr>
      <w:r>
        <w:t>0.1 论文成熟度的诚实评估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优点：数据划分固定、控制变量清晰、官方测试集隔离、正式输出和审计完整。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当前缺口：单一 seed、5 客户端全参与、local_epochs=1、单数据集、仅完成 FedProx，尚无统计不确定性。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结论：目前更像一项高质量、可复现的研究项目；补足稳健性和算法对照后，才更接近论文。</w:t>
      </w:r>
    </w:p>
    <w:p>
      <w:r>
        <w:br w:type="page"/>
      </w:r>
    </w:p>
    <w:p>
      <w:pPr>
        <w:pStyle w:val="Heading1"/>
      </w:pPr>
      <w:r>
        <w:t>1. 当前研究基础与事实边界</w:t>
      </w:r>
    </w:p>
    <w:p>
      <w:pPr>
        <w:pStyle w:val="Heading2"/>
      </w:pPr>
      <w:r>
        <w:t>1.1 已完成且应冻结的资产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hRule="atLeast"/>
          <w:tblHeader w:val="true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资产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冻结内容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处理规则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固定数据划分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alpha01=0.1、alpha05=0.5；5 clients；partition seed=20260720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不得重新生成或覆盖；只读复用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统一模型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无 BatchNorm CNN：Conv32→Pool→Conv64→Pool→Conv128→GAP→Dropout→Dense43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算法主对比保持一致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严格控制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同一 Stage 1C 训练器；SGD lr=0.1；μ=0 vs μ=0.1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历史 Adam FedAvg 仅作背景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正式预算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160 rounds；local_epochs=1；batch_size=64；5/5 clients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作为主基线冻结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评估原则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validation 用于选择；官方 Test.csv 只在参数冻结后评价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禁止测试集调参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审计资产</w:t>
            </w:r>
          </w:p>
        </w:tc>
        <w:tc>
          <w:tcPr>
            <w:tcW w:type="dxa" w:w="476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config、metrics、run_state、checkpoint、per-class、confusion、SHA-256 manifest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新增研究不得修改 A1 正式目录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DE9E7"/>
            <w:tcBorders>
              <w:top w:val="single" w:sz="10" w:color="C84A3A"/>
              <w:left w:val="single" w:sz="20" w:color="C84A3A"/>
              <w:bottom w:val="single" w:sz="10" w:color="C84A3A"/>
              <w:right w:val="single" w:sz="10" w:color="C84A3A"/>
            </w:tcBorders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E462D"/>
                <w:sz w:val="21"/>
              </w:rPr>
              <w:t>禁止事项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不要继续在现有正式目录中反复调 μ；不要把历史 Stage 1B Adam FedAvg 与 Stage 1C SGD FedProx 的差异全部解释为近端项；不要同时叠加新算法、FedBN 和通信压缩。</w:t>
            </w:r>
          </w:p>
        </w:tc>
      </w:tr>
    </w:tbl>
    <w:p>
      <w:pPr>
        <w:spacing w:after="0"/>
      </w:pPr>
    </w:p>
    <w:p>
      <w:pPr>
        <w:pStyle w:val="Heading2"/>
      </w:pPr>
      <w:r>
        <w:t>1.2 现有可报告结论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α=0.1：μ=0.1 相对 μ=0，Test Accuracy +7.0150 pp，Macro Class Accuracy +7.1865 pp。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α=0.5：μ=0.1 相对 μ=0，Test Accuracy +4.4576 pp，Macro Class Accuracy +5.3464 pp。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解释边界：这是当前固定模型、固定 partition、单 seed、全参与和 local_epochs=1 下的配对证据。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负面结果必须保留：α=0.1 下仍有若干类别下降，FedProx 是部分缓解，不是完全解决。</w:t>
      </w:r>
    </w:p>
    <w:p>
      <w:pPr>
        <w:pStyle w:val="Heading1"/>
      </w:pPr>
      <w:r>
        <w:t>2. 论文定位、研究问题与贡献设计</w:t>
      </w:r>
    </w:p>
    <w:p>
      <w:pPr>
        <w:pStyle w:val="Heading2"/>
      </w:pPr>
      <w:r>
        <w:t>2.1 建议的暂定题目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DF4FB"/>
            <w:tcBorders>
              <w:top w:val="single" w:sz="10" w:color="3B6D9A"/>
              <w:left w:val="single" w:sz="20" w:color="3B6D9A"/>
              <w:bottom w:val="single" w:sz="10" w:color="3B6D9A"/>
              <w:right w:val="single" w:sz="10" w:color="3B6D9A"/>
            </w:tcBorders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E462D"/>
                <w:sz w:val="21"/>
              </w:rPr>
              <w:t>英文题目（工作标题）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Robust Federated Traffic Sign Recognition under Non-IID Label Skew: A Reproducible Study of FedAvg, FedProx, and SCAFFOLD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DF4FB"/>
            <w:tcBorders>
              <w:top w:val="single" w:sz="10" w:color="3B6D9A"/>
              <w:left w:val="single" w:sz="20" w:color="3B6D9A"/>
              <w:bottom w:val="single" w:sz="10" w:color="3B6D9A"/>
              <w:right w:val="single" w:sz="10" w:color="3B6D9A"/>
            </w:tcBorders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E462D"/>
                <w:sz w:val="21"/>
              </w:rPr>
              <w:t>中文题目（工作标题）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Non-IID 标签偏斜下的稳健联邦交通标志识别：FedAvg、FedProx 与 SCAFFOLD 的可复现实证研究</w:t>
            </w:r>
          </w:p>
        </w:tc>
      </w:tr>
    </w:tbl>
    <w:p>
      <w:pPr>
        <w:spacing w:after="0"/>
      </w:pPr>
    </w:p>
    <w:p>
      <w:pPr>
        <w:pStyle w:val="Heading2"/>
      </w:pPr>
      <w:r>
        <w:t>2.2 论文核心研究问题</w:t>
      </w:r>
    </w:p>
    <w:p>
      <w:pPr>
        <w:spacing w:after="40" w:line="269" w:lineRule="auto"/>
        <w:ind w:left="312" w:hanging="255"/>
      </w:pPr>
      <w:r>
        <w:rPr>
          <w:rFonts w:ascii="Noto Sans CJK SC" w:hAnsi="Noto Sans CJK SC" w:eastAsia="Noto Sans CJK SC"/>
          <w:b/>
          <w:i w:val="0"/>
          <w:color w:val="17365D"/>
          <w:sz w:val="21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RQ1：FedAvg 在不同 label skew 强度下的总体性能、类别公平性和失效边界是什么？</w:t>
      </w:r>
    </w:p>
    <w:p>
      <w:pPr>
        <w:spacing w:after="40" w:line="269" w:lineRule="auto"/>
        <w:ind w:left="312" w:hanging="255"/>
      </w:pPr>
      <w:r>
        <w:rPr>
          <w:rFonts w:ascii="Noto Sans CJK SC" w:hAnsi="Noto Sans CJK SC" w:eastAsia="Noto Sans CJK SC"/>
          <w:b/>
          <w:i w:val="0"/>
          <w:color w:val="17365D"/>
          <w:sz w:val="21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RQ2：在严格配对条件下，FedProx 的近端约束能否稳定改善强异构性能？</w:t>
      </w:r>
    </w:p>
    <w:p>
      <w:pPr>
        <w:spacing w:after="40" w:line="269" w:lineRule="auto"/>
        <w:ind w:left="312" w:hanging="255"/>
      </w:pPr>
      <w:r>
        <w:rPr>
          <w:rFonts w:ascii="Noto Sans CJK SC" w:hAnsi="Noto Sans CJK SC" w:eastAsia="Noto Sans CJK SC"/>
          <w:b/>
          <w:i w:val="0"/>
          <w:color w:val="17365D"/>
          <w:sz w:val="21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RQ3：该提升是否在多个训练 seed 和更强 client drift 条件下保持一致？</w:t>
      </w:r>
    </w:p>
    <w:p>
      <w:pPr>
        <w:spacing w:after="40" w:line="269" w:lineRule="auto"/>
        <w:ind w:left="312" w:hanging="255"/>
      </w:pPr>
      <w:r>
        <w:rPr>
          <w:rFonts w:ascii="Noto Sans CJK SC" w:hAnsi="Noto Sans CJK SC" w:eastAsia="Noto Sans CJK SC"/>
          <w:b/>
          <w:i w:val="0"/>
          <w:color w:val="17365D"/>
          <w:sz w:val="21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RQ4：FedProx 与 SCAFFOLD 的收益、机制证据、状态成本和计算代价有何差异？</w:t>
      </w:r>
    </w:p>
    <w:p>
      <w:pPr>
        <w:pStyle w:val="Heading2"/>
      </w:pPr>
      <w:r>
        <w:t>2.3 可主张的贡献（完成后）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构建并公开一个可审计的 GTSRB 5-client Non-IID 联邦实验基线。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系统刻画轻度、中度、明显与极端标签偏斜下的总体和类别级退化。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通过同初始化、同 partition、同优化器、同预算的严格配对，隔离 FedProx 近端项效应。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使用多 seed、压力实验和 SCAFFOLD 对照检验结论稳健性，而不是仅报告单次最高准确率。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提供 checkpoint 连续性、状态审计、类别级结果和通信/计算成本，强调可复现性。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4D6"/>
            <w:tcBorders>
              <w:top w:val="single" w:sz="10" w:color="D39A17"/>
              <w:left w:val="single" w:sz="20" w:color="D39A17"/>
              <w:bottom w:val="single" w:sz="10" w:color="D39A17"/>
              <w:right w:val="single" w:sz="10" w:color="D39A17"/>
            </w:tcBorders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E462D"/>
                <w:sz w:val="21"/>
              </w:rPr>
              <w:t>创新性边界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论文贡献应定位为“严谨、可复现、机制清楚的实证研究与系统比较”，而不是宣称提出了新的联邦学习算法。若目标是 T-ITS / T-IV 等高门槛期刊，通常还需要更现实的数据与更强的方法创新。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3. 总体技术路线与阶段门槛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rHeight w:hRule="atLeast"/>
          <w:tblHeader w:val="true"/>
        </w:trPr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阶段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主要任务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输入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关闭条件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WP0 资产冻结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归档代码、环境、正式输出和 seed registry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Stage 1C-A1 全部资产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manifest 通过；目录只读；Git tag 完成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WP1 多 seed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复跑 μ=0 / 0.1 严格配对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α=0.1、0.5 固定 partition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至少3 seed，建议5 seed；统计表完整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WP2 压力实验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放大 client drift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优先 local_epochs=5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配对结果与机制指标完整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WP3 SCAFFOLD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实现控制变量和完整 checkpoint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固定无 BN CNN 和 partition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退化、resume、状态审计全部通过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WP4 统一分析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跨算法、跨 seed、类别、公平性、成本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WP1–WP3 输出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主表主图可一键生成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WP5 论文与投稿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写作、内部审阅、选刊、提交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冻结后的完整结果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所有作者批准最终稿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9F3E5"/>
            <w:tcBorders>
              <w:top w:val="single" w:sz="10" w:color="729E57"/>
              <w:left w:val="single" w:sz="20" w:color="729E57"/>
              <w:bottom w:val="single" w:sz="10" w:color="729E57"/>
              <w:right w:val="single" w:sz="10" w:color="729E57"/>
            </w:tcBorders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E462D"/>
                <w:sz w:val="21"/>
              </w:rPr>
              <w:t>统一实验闭环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退化测试 → 小轮次正确性 → validation-only 筛选 → 正式配对 → 官方测试 → 类别与机制分析 → 可比性/完整性审计 → 技术报告 → 阶段关闭。</w:t>
            </w:r>
          </w:p>
        </w:tc>
      </w:tr>
    </w:tbl>
    <w:p>
      <w:pPr>
        <w:spacing w:after="0"/>
      </w:pPr>
    </w:p>
    <w:p>
      <w:pPr>
        <w:pStyle w:val="Heading1"/>
      </w:pPr>
      <w:r>
        <w:t>4. WP0：论文路线启动与资产冻结</w:t>
      </w:r>
    </w:p>
    <w:p>
      <w:pPr>
        <w:pStyle w:val="Heading2"/>
      </w:pPr>
      <w:r>
        <w:t>4.1 新增目录建议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7"/>
            <w:tcBorders>
              <w:top w:val="single" w:sz="6" w:color="C8D0D8"/>
              <w:left w:val="single" w:sz="6" w:color="C8D0D8"/>
              <w:bottom w:val="single" w:sz="6" w:color="C8D0D8"/>
              <w:right w:val="single" w:sz="6" w:color="C8D0D8"/>
            </w:tcBorders>
          </w:tcPr>
          <w:p>
            <w:pPr>
              <w:spacing w:after="0" w:line="240" w:lineRule="auto"/>
            </w:pPr>
            <w:r/>
            <w:r>
              <w:rPr>
                <w:rFonts w:ascii="DejaVu Sans Mono" w:hAnsi="DejaVu Sans Mono" w:eastAsia="DejaVu Sans Mono"/>
                <w:b w:val="0"/>
                <w:i w:val="0"/>
                <w:color w:val="232D37"/>
                <w:sz w:val="17"/>
              </w:rPr>
              <w:t>paper_track/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32D37"/>
                <w:sz w:val="17"/>
              </w:rPr>
              <w:t>├── protocol/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32D37"/>
                <w:sz w:val="17"/>
              </w:rPr>
              <w:t>│   ├── paper_experiment_protocol_v1.0.md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32D37"/>
                <w:sz w:val="17"/>
              </w:rPr>
              <w:t>│   ├── seed_registry.json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32D37"/>
                <w:sz w:val="17"/>
              </w:rPr>
              <w:t>│   ├── frozen_asset_manifest.json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32D37"/>
                <w:sz w:val="17"/>
              </w:rPr>
              <w:t>│   └── decision_log.md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32D37"/>
                <w:sz w:val="17"/>
              </w:rPr>
              <w:t>├── experiments/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32D37"/>
                <w:sz w:val="17"/>
              </w:rPr>
              <w:t>│   ├── multiseed/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32D37"/>
                <w:sz w:val="17"/>
              </w:rPr>
              <w:t>│   ├── stress_localepochs5/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32D37"/>
                <w:sz w:val="17"/>
              </w:rPr>
              <w:t>│   └── scaffold/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32D37"/>
                <w:sz w:val="17"/>
              </w:rPr>
              <w:t>├── analysis/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32D37"/>
                <w:sz w:val="17"/>
              </w:rPr>
              <w:t>├── manuscript/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32D37"/>
                <w:sz w:val="17"/>
              </w:rPr>
              <w:t>└── communication/</w:t>
            </w:r>
          </w:p>
        </w:tc>
      </w:tr>
    </w:tbl>
    <w:p>
      <w:pPr>
        <w:spacing w:after="0"/>
      </w:pPr>
    </w:p>
    <w:p>
      <w:pPr>
        <w:pStyle w:val="Heading2"/>
      </w:pPr>
      <w:r>
        <w:t>4.2 启动检查清单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为现有仓库创建 Git tag，例如 stage1ca1-closed-20260725；记录 commit hash。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将 outputs/stage1c/fedprox_formal/ 设为逻辑只读，不作为后续脚本输出目录。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生成 frozen_asset_manifest.json，记录文件路径、大小和 SHA-256。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固定 Python / TensorFlow / TFF / CUDA（如有）版本并导出环境文件。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在 seed_registry.json 中一次性登记全部训练 seed，后续不因结果好坏增删。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写明主要终点：Test Accuracy、Macro Accuracy；次要终点：Test Loss、worst class、zero-class count。</w:t>
      </w:r>
    </w:p>
    <w:p>
      <w:pPr>
        <w:pStyle w:val="Heading1"/>
      </w:pPr>
      <w:r>
        <w:t>5. WP1：多随机种子统计稳健性</w:t>
      </w:r>
    </w:p>
    <w:p>
      <w:pPr>
        <w:pStyle w:val="Heading2"/>
      </w:pPr>
      <w:r>
        <w:t>5.1 主设计：固定 partition，只改变训练随机性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rPr>
          <w:trHeight w:hRule="atLeast"/>
          <w:tblHeader w:val="true"/>
        </w:trP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Partition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算法控制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正式 seed 数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轮数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用途</w:t>
            </w:r>
          </w:p>
        </w:tc>
      </w:tr>
      <w:tr>
        <w:trPr>
          <w:trHeight w:hRule="atLeast"/>
        </w:trP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α=0.1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μ=0 与 μ=0.1 配对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至少3，建议5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极端异构主结论</w:t>
            </w:r>
          </w:p>
        </w:tc>
      </w:tr>
      <w:tr>
        <w:trPr>
          <w:trHeight w:hRule="atLeast"/>
        </w:trP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α=0.5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μ=0 与 μ=0.1 配对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至少3，建议5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160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中间异构对照</w:t>
            </w:r>
          </w:p>
        </w:tc>
      </w:tr>
    </w:tbl>
    <w:p>
      <w:pPr>
        <w:spacing w:after="0"/>
      </w:pP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每个 seed 必须共享同一 Round-0 初始化：同一 seed 下 μ=0 和 μ=0.1 的初始权重 hash 一致。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同一 seed 下客户端顺序、batch seed、数据预处理和服务器设置保持一致。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正式 seed 列表由脚本一次性生成并冻结；不得只保留“好看的”运行。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官方测试仅在每个正式运行完成后执行，不用于选择 seed 或参数。</w:t>
      </w:r>
    </w:p>
    <w:p>
      <w:pPr>
        <w:pStyle w:val="Heading2"/>
      </w:pPr>
      <w:r>
        <w:t>5.2 统计报告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hRule="atLeast"/>
          <w:tblHeader w:val="true"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指标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报告方式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说明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Test Accuracy / Macro Accuracy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每算法 mean ± SD；每 seed 原始点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主结果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配对提升 Δ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同一 seed 的 μ=0.1 − μ=0；报告均值、SD、95% CI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最重要的因果证据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Test Loss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mean ± SD 与配对差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辅助稳定性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类别级指标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improved/declined classes、worst class、zero-class count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避免只看总体准确率</w:t>
            </w:r>
          </w:p>
        </w:tc>
      </w:tr>
      <w:tr>
        <w:trPr>
          <w:trHeight w:hRule="atLeast"/>
        </w:trPr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稳定性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non-finite count、best round、last-5 mean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识别发散和偶然峰值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4D6"/>
            <w:tcBorders>
              <w:top w:val="single" w:sz="10" w:color="D39A17"/>
              <w:left w:val="single" w:sz="20" w:color="D39A17"/>
              <w:bottom w:val="single" w:sz="10" w:color="D39A17"/>
              <w:right w:val="single" w:sz="10" w:color="D39A17"/>
            </w:tcBorders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E462D"/>
                <w:sz w:val="21"/>
              </w:rPr>
              <w:t>统计解释建议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当 n=3–5 时，不要把重点放在“显著性 p 值”。更可靠的呈现是：每个 seed 的配对散点、配对差、均值、标准差和置信区间，并明确样本量有限。</w:t>
            </w:r>
          </w:p>
        </w:tc>
      </w:tr>
    </w:tbl>
    <w:p>
      <w:pPr>
        <w:spacing w:after="0"/>
      </w:pPr>
    </w:p>
    <w:p>
      <w:pPr>
        <w:pStyle w:val="Heading2"/>
      </w:pPr>
      <w:r>
        <w:t>5.3 可选扩展：partition seed 稳健性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主论文先固定 partition，回答“优化随机性”问题。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计算预算允许时，在 α=0.1 额外生成 3 个 partition seed，先审计分布强度，再做 μ=0 / 0.1 配对。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训练 seed 与 partition seed 必须分开命名，避免混淆两个随机性来源。</w:t>
      </w:r>
    </w:p>
    <w:p>
      <w:r>
        <w:br w:type="page"/>
      </w:r>
    </w:p>
    <w:p>
      <w:pPr>
        <w:pStyle w:val="Heading1"/>
      </w:pPr>
      <w:r>
        <w:t>6. WP2：压力实验——放大客户端漂移</w:t>
      </w:r>
    </w:p>
    <w:p>
      <w:pPr>
        <w:pStyle w:val="Heading2"/>
      </w:pPr>
      <w:r>
        <w:t>6.1 推荐优先选择 local_epochs=5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9F3E5"/>
            <w:tcBorders>
              <w:top w:val="single" w:sz="10" w:color="7F9E68"/>
              <w:left w:val="single" w:sz="20" w:color="7F9E68"/>
              <w:bottom w:val="single" w:sz="10" w:color="7F9E68"/>
              <w:right w:val="single" w:sz="10" w:color="7F9E68"/>
            </w:tcBorders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E462D"/>
                <w:sz w:val="21"/>
              </w:rPr>
              <w:t>为什么优先 local_epochs=5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它直接增加每轮本地更新步数，能够放大 client drift；实现改动较小，仍可保持 5/5 全参与，便于把变化主要归因于本地训练强度。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rHeight w:hRule="atLeast"/>
          <w:tblHeader w:val="true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设置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主基线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压力设置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保持不变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Local epochs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1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5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partition、模型、SGD、batch size、server lr、160 rounds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算法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μ=0 / μ=0.1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μ=0 / μ=0.1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同 seed 严格配对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Partition</w:t>
            </w:r>
          </w:p>
        </w:tc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α=0.1、0.5</w:t>
            </w:r>
          </w:p>
        </w:tc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优先 α=0.1；预算允许再做 α=0.5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固定 CSV</w:t>
            </w:r>
          </w:p>
        </w:tc>
      </w:tr>
    </w:tbl>
    <w:p>
      <w:pPr>
        <w:spacing w:after="0"/>
      </w:pP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先做 3–5 轮冒烟测试，检查 non-finite、训练时间和 checkpoint。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再做 30 轮 validation-only 确认原 μ=0.1 是否仍稳定；若必须重新筛选，测试集继续隔离。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正式比较至少 3 个 seed；主报告不能把 local_epochs=5 与 local_epochs=1 混在同一因果对比中。</w:t>
      </w:r>
    </w:p>
    <w:p>
      <w:pPr>
        <w:pStyle w:val="Heading2"/>
      </w:pPr>
      <w:r>
        <w:t>6.2 第二压力轴（后续可选）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部分客户端参与：每轮 3/5 clients，预先固定每轮采样表；增加 sampling noise。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更多客户端：10 或 20 clients；需要重新生成并审计 partition，属于更大扩展。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不建议第一轮同时改变 local_epochs、参与率和客户端数。</w:t>
      </w:r>
    </w:p>
    <w:p>
      <w:pPr>
        <w:pStyle w:val="Heading1"/>
      </w:pPr>
      <w:r>
        <w:t>7. WP3：SCAFFOLD 实现与正式比较</w:t>
      </w:r>
    </w:p>
    <w:p>
      <w:pPr>
        <w:pStyle w:val="Heading2"/>
      </w:pPr>
      <w:r>
        <w:t>7.1 研究作用</w:t>
      </w:r>
    </w:p>
    <w:p>
      <w:r>
        <w:rPr>
          <w:rFonts w:ascii="Noto Sans CJK SC" w:hAnsi="Noto Sans CJK SC" w:eastAsia="Noto Sans CJK SC"/>
          <w:b/>
          <w:i w:val="0"/>
          <w:color w:val="17365D"/>
          <w:sz w:val="21"/>
        </w:rPr>
        <w:t xml:space="preserve">FedProx </w:t>
      </w:r>
      <w:r>
        <w:rPr>
          <w:rFonts w:ascii="Noto Sans CJK SC" w:hAnsi="Noto Sans CJK SC" w:eastAsia="Noto Sans CJK SC"/>
          <w:b w:val="0"/>
          <w:i w:val="0"/>
          <w:sz w:val="21"/>
        </w:rPr>
        <w:t>通过近端正则限制本地模型偏移；</w:t>
      </w:r>
      <w:r>
        <w:rPr>
          <w:rFonts w:ascii="Noto Sans CJK SC" w:hAnsi="Noto Sans CJK SC" w:eastAsia="Noto Sans CJK SC"/>
          <w:b/>
          <w:i w:val="0"/>
          <w:color w:val="17365D"/>
          <w:sz w:val="21"/>
        </w:rPr>
        <w:t xml:space="preserve">SCAFFOLD </w:t>
      </w:r>
      <w:r>
        <w:rPr>
          <w:rFonts w:ascii="Noto Sans CJK SC" w:hAnsi="Noto Sans CJK SC" w:eastAsia="Noto Sans CJK SC"/>
          <w:b w:val="0"/>
          <w:i w:val="0"/>
          <w:sz w:val="21"/>
        </w:rPr>
        <w:t>通过服务器控制变量 c 和客户端控制变量 cᵢ 修正本地更新方向。二者机制不同，适合构成有解释力的对照。</w:t>
      </w:r>
    </w:p>
    <w:p>
      <w:pPr>
        <w:pStyle w:val="Heading2"/>
      </w:pPr>
      <w:r>
        <w:t>7.2 推荐代码结构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7"/>
            <w:tcBorders>
              <w:top w:val="single" w:sz="6" w:color="C8D0D8"/>
              <w:left w:val="single" w:sz="6" w:color="C8D0D8"/>
              <w:bottom w:val="single" w:sz="6" w:color="C8D0D8"/>
              <w:right w:val="single" w:sz="6" w:color="C8D0D8"/>
            </w:tcBorders>
          </w:tcPr>
          <w:p>
            <w:pPr>
              <w:spacing w:after="0" w:line="240" w:lineRule="auto"/>
            </w:pPr>
            <w:r/>
            <w:r>
              <w:rPr>
                <w:rFonts w:ascii="DejaVu Sans Mono" w:hAnsi="DejaVu Sans Mono" w:eastAsia="DejaVu Sans Mono"/>
                <w:b w:val="0"/>
                <w:i w:val="0"/>
                <w:color w:val="232D37"/>
                <w:sz w:val="17"/>
              </w:rPr>
              <w:t>src/gtsrb_1c/scaffold/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32D37"/>
                <w:sz w:val="17"/>
              </w:rPr>
              <w:t>├── scaffold_state.py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32D37"/>
                <w:sz w:val="17"/>
              </w:rPr>
              <w:t>├── scaffold_client_work.py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32D37"/>
                <w:sz w:val="17"/>
              </w:rPr>
              <w:t>├── scaffold_aggregation.py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32D37"/>
                <w:sz w:val="17"/>
              </w:rPr>
              <w:t>├── scaffold_checkpoint.py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32D37"/>
                <w:sz w:val="17"/>
              </w:rPr>
              <w:t>└── train_scaffold_stage1c.py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32D37"/>
                <w:sz w:val="17"/>
              </w:rPr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32D37"/>
                <w:sz w:val="17"/>
              </w:rPr>
              <w:t>tools/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32D37"/>
                <w:sz w:val="17"/>
              </w:rPr>
              <w:t>├── audit_scaffold_state.py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32D37"/>
                <w:sz w:val="17"/>
              </w:rPr>
              <w:t>├── audit_scaffold_equivalence.py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32D37"/>
                <w:sz w:val="17"/>
              </w:rPr>
              <w:t>├── analyze_scaffold_pair.py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32D37"/>
                <w:sz w:val="17"/>
              </w:rPr>
              <w:t>└── finalize_stage1ca2_scaffold.py</w:t>
            </w:r>
          </w:p>
        </w:tc>
      </w:tr>
    </w:tbl>
    <w:p>
      <w:pPr>
        <w:spacing w:after="0"/>
      </w:pPr>
    </w:p>
    <w:p>
      <w:pPr>
        <w:pStyle w:val="Heading2"/>
      </w:pPr>
      <w:r>
        <w:t>7.3 不可跳过的正确性门槛</w:t>
      </w:r>
    </w:p>
    <w:p>
      <w:pPr>
        <w:spacing w:after="40" w:line="269" w:lineRule="auto"/>
        <w:ind w:left="312" w:hanging="255"/>
      </w:pPr>
      <w:r>
        <w:rPr>
          <w:rFonts w:ascii="Noto Sans CJK SC" w:hAnsi="Noto Sans CJK SC" w:eastAsia="Noto Sans CJK SC"/>
          <w:b/>
          <w:i w:val="0"/>
          <w:color w:val="17365D"/>
          <w:sz w:val="21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状态形状：c 和每个 cᵢ 的 tensor 数量、shape、dtype 与 trainable weights 对齐。</w:t>
      </w:r>
    </w:p>
    <w:p>
      <w:pPr>
        <w:spacing w:after="40" w:line="269" w:lineRule="auto"/>
        <w:ind w:left="312" w:hanging="255"/>
      </w:pPr>
      <w:r>
        <w:rPr>
          <w:rFonts w:ascii="Noto Sans CJK SC" w:hAnsi="Noto Sans CJK SC" w:eastAsia="Noto Sans CJK SC"/>
          <w:b/>
          <w:i w:val="0"/>
          <w:color w:val="17365D"/>
          <w:sz w:val="21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零状态：第1轮所有控制变量从0开始，更新可解释。</w:t>
      </w:r>
    </w:p>
    <w:p>
      <w:pPr>
        <w:spacing w:after="40" w:line="269" w:lineRule="auto"/>
        <w:ind w:left="312" w:hanging="255"/>
      </w:pPr>
      <w:r>
        <w:rPr>
          <w:rFonts w:ascii="Noto Sans CJK SC" w:hAnsi="Noto Sans CJK SC" w:eastAsia="Noto Sans CJK SC"/>
          <w:b/>
          <w:i w:val="0"/>
          <w:color w:val="17365D"/>
          <w:sz w:val="21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退化测试：关闭 correction 或 scale=0，应回到同一 plain SGD 控制。</w:t>
      </w:r>
    </w:p>
    <w:p>
      <w:pPr>
        <w:spacing w:after="40" w:line="269" w:lineRule="auto"/>
        <w:ind w:left="312" w:hanging="255"/>
      </w:pPr>
      <w:r>
        <w:rPr>
          <w:rFonts w:ascii="Noto Sans CJK SC" w:hAnsi="Noto Sans CJK SC" w:eastAsia="Noto Sans CJK SC"/>
          <w:b/>
          <w:i w:val="0"/>
          <w:color w:val="17365D"/>
          <w:sz w:val="21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客户端 ID：client_0 的 c₀ 在下一轮不得分配给其他客户端。</w:t>
      </w:r>
    </w:p>
    <w:p>
      <w:pPr>
        <w:spacing w:after="40" w:line="269" w:lineRule="auto"/>
        <w:ind w:left="312" w:hanging="255"/>
      </w:pPr>
      <w:r>
        <w:rPr>
          <w:rFonts w:ascii="Noto Sans CJK SC" w:hAnsi="Noto Sans CJK SC" w:eastAsia="Noto Sans CJK SC"/>
          <w:b/>
          <w:i w:val="0"/>
          <w:color w:val="17365D"/>
          <w:sz w:val="21"/>
        </w:rPr>
        <w:t xml:space="preserve">5. </w:t>
      </w:r>
      <w:r>
        <w:rPr>
          <w:rFonts w:ascii="Noto Sans CJK SC" w:hAnsi="Noto Sans CJK SC" w:eastAsia="Noto Sans CJK SC"/>
          <w:b w:val="0"/>
          <w:i w:val="0"/>
          <w:sz w:val="21"/>
        </w:rPr>
        <w:t>未参与客户端：即使主实验全参与，也要单元测试未参与时 cᵢ 不变。</w:t>
      </w:r>
    </w:p>
    <w:p>
      <w:pPr>
        <w:spacing w:after="40" w:line="269" w:lineRule="auto"/>
        <w:ind w:left="312" w:hanging="255"/>
      </w:pPr>
      <w:r>
        <w:rPr>
          <w:rFonts w:ascii="Noto Sans CJK SC" w:hAnsi="Noto Sans CJK SC" w:eastAsia="Noto Sans CJK SC"/>
          <w:b/>
          <w:i w:val="0"/>
          <w:color w:val="17365D"/>
          <w:sz w:val="21"/>
        </w:rPr>
        <w:t xml:space="preserve">6. </w:t>
      </w:r>
      <w:r>
        <w:rPr>
          <w:rFonts w:ascii="Noto Sans CJK SC" w:hAnsi="Noto Sans CJK SC" w:eastAsia="Noto Sans CJK SC"/>
          <w:b w:val="0"/>
          <w:i w:val="0"/>
          <w:sz w:val="21"/>
        </w:rPr>
        <w:t>恢复连续性：连续6轮与3+resume+3轮的模型、c、cᵢ 和指标 allclose。</w:t>
      </w:r>
    </w:p>
    <w:p>
      <w:pPr>
        <w:spacing w:after="40" w:line="269" w:lineRule="auto"/>
        <w:ind w:left="312" w:hanging="255"/>
      </w:pPr>
      <w:r>
        <w:rPr>
          <w:rFonts w:ascii="Noto Sans CJK SC" w:hAnsi="Noto Sans CJK SC" w:eastAsia="Noto Sans CJK SC"/>
          <w:b/>
          <w:i w:val="0"/>
          <w:color w:val="17365D"/>
          <w:sz w:val="21"/>
        </w:rPr>
        <w:t xml:space="preserve">7. </w:t>
      </w:r>
      <w:r>
        <w:rPr>
          <w:rFonts w:ascii="Noto Sans CJK SC" w:hAnsi="Noto Sans CJK SC" w:eastAsia="Noto Sans CJK SC"/>
          <w:b w:val="0"/>
          <w:i w:val="0"/>
          <w:sz w:val="21"/>
        </w:rPr>
        <w:t>完整 checkpoint：全局模型、c、全部 cᵢ、round、tensor manifest 和校验和。</w:t>
      </w:r>
    </w:p>
    <w:p>
      <w:pPr>
        <w:pStyle w:val="Heading2"/>
      </w:pPr>
      <w:r>
        <w:t>7.4 筛选与正式矩阵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rPr>
          <w:trHeight w:hRule="atLeast"/>
          <w:tblHeader w:val="true"/>
        </w:trPr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阶段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Partition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候选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轮数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测试集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关闭条件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冒烟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α=0.5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correction off/on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2–3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跳过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状态和退化正确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学习率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α=0.5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0.05 / 0.1（必要时0.2）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10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跳过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finite 且学习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强度筛选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α=0.5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0.25 / 0.5 / 1.0（若有 scale）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30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跳过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validation-only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跨 α 确认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α=0.1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Top 2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30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跳过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避免只适配 α=0.5</w:t>
            </w:r>
          </w:p>
        </w:tc>
      </w:tr>
      <w:tr>
        <w:trPr>
          <w:trHeight w:hRule="atLeast"/>
        </w:trPr>
        <w:tc>
          <w:tcPr>
            <w:tcW w:type="dxa" w:w="136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正式配对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α=0.1、0.5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plain SGD / SCAFFOLD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160</w:t>
            </w:r>
          </w:p>
        </w:tc>
        <w:tc>
          <w:tcPr>
            <w:tcW w:type="dxa" w:w="11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最终一次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多 seed + 审计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DE9E7"/>
            <w:tcBorders>
              <w:top w:val="single" w:sz="10" w:color="C84A3A"/>
              <w:left w:val="single" w:sz="20" w:color="C84A3A"/>
              <w:bottom w:val="single" w:sz="10" w:color="C84A3A"/>
              <w:right w:val="single" w:sz="10" w:color="C84A3A"/>
            </w:tcBorders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E462D"/>
                <w:sz w:val="21"/>
              </w:rPr>
              <w:t>SCAFFOLD 关闭条件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只有状态保存与恢复连续性通过、正式配对完成、官方测试和类别分析生成、配置与初始模型一致，才能进入跨算法论文分析。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8. 统一指标、统计与机制分析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rHeight w:hRule="atLeast"/>
          <w:tblHeader w:val="true"/>
        </w:trP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维度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FedAvg / μ=0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FedProx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SCAFFOLD</w:t>
            </w:r>
          </w:p>
        </w:tc>
      </w:tr>
      <w:tr>
        <w:trPr>
          <w:trHeight w:hRule="atLeast"/>
        </w:trP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总体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Test Acc、Macro Acc、Loss、Best round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同左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同左</w:t>
            </w:r>
          </w:p>
        </w:tc>
      </w:tr>
      <w:tr>
        <w:trPr>
          <w:trHeight w:hRule="atLeast"/>
        </w:trP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类别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per-class、worst、zero-class、confusion pairs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恢复/下降类别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恢复/下降类别</w:t>
            </w:r>
          </w:p>
        </w:tc>
      </w:tr>
      <w:tr>
        <w:trPr>
          <w:trHeight w:hRule="atLeast"/>
        </w:trP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客户端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val mean、SD、worst client、gap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同左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同左</w:t>
            </w:r>
          </w:p>
        </w:tc>
      </w:tr>
      <w:tr>
        <w:trPr>
          <w:trHeight w:hRule="atLeast"/>
        </w:trP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机制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model delta norm、cosine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proximal loss、distance、delta norm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||c||、||cᵢ||、Δc、方向余弦</w:t>
            </w:r>
          </w:p>
        </w:tc>
      </w:tr>
      <w:tr>
        <w:trPr>
          <w:trHeight w:hRule="atLeast"/>
        </w:trP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系统成本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时间、模型字节、checkpoint 大小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近端计算开销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控制变量状态与额外通信</w:t>
            </w:r>
          </w:p>
        </w:tc>
      </w:tr>
      <w:tr>
        <w:trPr>
          <w:trHeight w:hRule="atLeast"/>
        </w:trPr>
        <w:tc>
          <w:tcPr>
            <w:tcW w:type="dxa" w:w="147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可复现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seed、hash、resume</w:t>
            </w:r>
          </w:p>
        </w:tc>
        <w:tc>
          <w:tcPr>
            <w:tcW w:type="dxa" w:w="238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同左</w:t>
            </w:r>
          </w:p>
        </w:tc>
        <w:tc>
          <w:tcPr>
            <w:tcW w:type="dxa" w:w="249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完整状态 resume</w:t>
            </w:r>
          </w:p>
        </w:tc>
      </w:tr>
    </w:tbl>
    <w:p>
      <w:pPr>
        <w:spacing w:after="0"/>
      </w:pPr>
    </w:p>
    <w:p>
      <w:pPr>
        <w:pStyle w:val="Heading2"/>
      </w:pPr>
      <w:r>
        <w:t>8.1 论文主表建议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6"/>
        <w:gridCol w:w="1246"/>
        <w:gridCol w:w="1246"/>
        <w:gridCol w:w="1246"/>
        <w:gridCol w:w="1246"/>
        <w:gridCol w:w="1246"/>
        <w:gridCol w:w="1246"/>
        <w:gridCol w:w="1246"/>
      </w:tblGrid>
      <w:tr>
        <w:trPr>
          <w:trHeight w:hRule="atLeast"/>
          <w:tblHeader w:val="true"/>
        </w:trPr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Algorithm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Partition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Stress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Seeds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Test Acc (mean±SD)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Macro Acc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Worst Class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5"/>
              </w:rPr>
              <w:t>Cost</w:t>
            </w:r>
          </w:p>
        </w:tc>
      </w:tr>
      <w:tr>
        <w:trPr>
          <w:trHeight w:hRule="atLeast"/>
        </w:trPr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μ=0 control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α=0.1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LE=1 / LE=5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3–5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待填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待填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待填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待填</w:t>
            </w:r>
          </w:p>
        </w:tc>
      </w:tr>
      <w:tr>
        <w:trPr>
          <w:trHeight w:hRule="atLeast"/>
        </w:trPr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FedProx μ=0.1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α=0.1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LE=1 / LE=5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3–5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待填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待填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待填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待填</w:t>
            </w:r>
          </w:p>
        </w:tc>
      </w:tr>
      <w:tr>
        <w:trPr>
          <w:trHeight w:hRule="atLeast"/>
        </w:trPr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SCAFFOLD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α=0.1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LE=1 / LE=5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3–5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待填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待填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待填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待填</w:t>
            </w:r>
          </w:p>
        </w:tc>
      </w:tr>
      <w:tr>
        <w:trPr>
          <w:trHeight w:hRule="atLeast"/>
        </w:trPr>
        <w:tc>
          <w:tcPr>
            <w:tcW w:type="dxa" w:w="153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同上三算法</w:t>
            </w:r>
          </w:p>
        </w:tc>
        <w:tc>
          <w:tcPr>
            <w:tcW w:type="dxa" w:w="113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α=0.5</w:t>
            </w:r>
          </w:p>
        </w:tc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LE=1（主）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3–5</w:t>
            </w:r>
          </w:p>
        </w:tc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待填</w:t>
            </w:r>
          </w:p>
        </w:tc>
        <w:tc>
          <w:tcPr>
            <w:tcW w:type="dxa" w:w="130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待填</w:t>
            </w:r>
          </w:p>
        </w:tc>
        <w:tc>
          <w:tcPr>
            <w:tcW w:type="dxa" w:w="124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待填</w:t>
            </w:r>
          </w:p>
        </w:tc>
        <w:tc>
          <w:tcPr>
            <w:tcW w:type="dxa" w:w="96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5"/>
              </w:rPr>
              <w:t>待填</w:t>
            </w:r>
          </w:p>
        </w:tc>
      </w:tr>
    </w:tbl>
    <w:p>
      <w:pPr>
        <w:spacing w:after="0"/>
      </w:pPr>
    </w:p>
    <w:p>
      <w:pPr>
        <w:pStyle w:val="Heading2"/>
      </w:pPr>
      <w:r>
        <w:t>8.2 论文主图建议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Figure 1：完整联邦学习与实验设计流程图（复用现有图，简化）。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Figure 2：α=10 与 α=0.1 客户端类别比例热力图。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Figure 3：FedAvg 在 IID→α=0.1 下的性能退化。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Figure 4：多 seed 下 μ=0 vs FedProx 的配对散点/连线图。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Figure 5：local_epochs=1 vs 5 的算法增益对比。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Figure 6：FedProx / SCAFFOLD 类别级恢复与代价对比。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9F3E5"/>
            <w:tcBorders>
              <w:top w:val="single" w:sz="10" w:color="7F9E68"/>
              <w:left w:val="single" w:sz="20" w:color="7F9E68"/>
              <w:bottom w:val="single" w:sz="10" w:color="7F9E68"/>
              <w:right w:val="single" w:sz="10" w:color="7F9E68"/>
            </w:tcBorders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E462D"/>
                <w:sz w:val="21"/>
              </w:rPr>
              <w:t>图表原则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图表应回答研究问题，不要把所有日志都放进正文。完整训练曲线、混淆矩阵和状态审计放附录或补充材料。</w:t>
            </w:r>
          </w:p>
        </w:tc>
      </w:tr>
    </w:tbl>
    <w:p>
      <w:pPr>
        <w:spacing w:after="0"/>
      </w:pPr>
    </w:p>
    <w:p>
      <w:pPr>
        <w:pStyle w:val="Heading1"/>
      </w:pPr>
      <w:r>
        <w:t>9. 工程稳定性与可复现性规范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tLeast"/>
          <w:tblHeader w:val="true"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对象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强制内容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配置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config.json 写入所有 CLI 参数、版本、Git commit、partition hash、seed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checkpoint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模型和算法状态完整；每轮或固定间隔；resume 连续性测试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输出命名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algorithm/partition/stress/seed/hyperparameter/rounds，禁止含糊目录名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清单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artifact_manifest.json：path、size、SHA-256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日志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metrics.csv、run_summary.json、training_time、finite audit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分析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脚本只读正式输出；一键生成主表、主图、统计和报告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失败记录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发散、异常退出和排除规则保留，不删除负面运行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代码发布</w:t>
            </w:r>
          </w:p>
        </w:tc>
        <w:tc>
          <w:tcPr>
            <w:tcW w:type="dxa" w:w="6803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README、环境文件、运行命令、数据准备说明、许可证和匿名化检查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7"/>
            <w:tcBorders>
              <w:top w:val="single" w:sz="6" w:color="C8D0D8"/>
              <w:left w:val="single" w:sz="6" w:color="C8D0D8"/>
              <w:bottom w:val="single" w:sz="6" w:color="C8D0D8"/>
              <w:right w:val="single" w:sz="6" w:color="C8D0D8"/>
            </w:tcBorders>
          </w:tcPr>
          <w:p>
            <w:pPr>
              <w:spacing w:after="0" w:line="240" w:lineRule="auto"/>
            </w:pPr>
            <w:r/>
            <w:r>
              <w:rPr>
                <w:rFonts w:ascii="DejaVu Sans Mono" w:hAnsi="DejaVu Sans Mono" w:eastAsia="DejaVu Sans Mono"/>
                <w:b w:val="0"/>
                <w:i w:val="0"/>
                <w:color w:val="232D37"/>
                <w:sz w:val="17"/>
              </w:rPr>
              <w:t>outputs/paper_track/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32D37"/>
                <w:sz w:val="17"/>
              </w:rPr>
              <w:t>├── multiseed/{alpha}/{algorithm}/{seed}/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32D37"/>
                <w:sz w:val="17"/>
              </w:rPr>
              <w:t>├── stress_localepochs5/{alpha}/{algorithm}/{seed}/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32D37"/>
                <w:sz w:val="17"/>
              </w:rPr>
              <w:t>├── scaffold/{alpha}/{config}/{seed}/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32D37"/>
                <w:sz w:val="17"/>
              </w:rPr>
              <w:t>└── analysis/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32D37"/>
                <w:sz w:val="17"/>
              </w:rPr>
              <w:t xml:space="preserve">    ├── paper_main_table.csv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32D37"/>
                <w:sz w:val="17"/>
              </w:rPr>
              <w:t xml:space="preserve">    ├── paired_seed_summary.csv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32D37"/>
                <w:sz w:val="17"/>
              </w:rPr>
              <w:t xml:space="preserve">    ├── figures/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32D37"/>
                <w:sz w:val="17"/>
              </w:rPr>
              <w:t xml:space="preserve">    ├── artifact_manifest.json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32D37"/>
                <w:sz w:val="17"/>
              </w:rPr>
              <w:t xml:space="preserve">    └── paper_analysis_report.md</w:t>
            </w:r>
          </w:p>
        </w:tc>
      </w:tr>
    </w:tbl>
    <w:p>
      <w:pPr>
        <w:spacing w:after="0"/>
      </w:pPr>
    </w:p>
    <w:p>
      <w:pPr>
        <w:pStyle w:val="Heading1"/>
      </w:pPr>
      <w:r>
        <w:t>10. 建议时间表（16–20 周）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hRule="atLeast"/>
          <w:tblHeader w:val="true"/>
        </w:trPr>
        <w:tc>
          <w:tcPr>
            <w:tcW w:type="dxa" w:w="1247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周次</w:t>
            </w:r>
          </w:p>
        </w:tc>
        <w:tc>
          <w:tcPr>
            <w:tcW w:type="dxa" w:w="4082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主要任务</w:t>
            </w:r>
          </w:p>
        </w:tc>
        <w:tc>
          <w:tcPr>
            <w:tcW w:type="dxa" w:w="3402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  <w:shd w:fill="17365D"/>
          </w:tcPr>
          <w:p>
            <w:pPr>
              <w:spacing w:after="0" w:before="0" w:line="240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里程碑交付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第1周</w:t>
            </w:r>
          </w:p>
        </w:tc>
        <w:tc>
          <w:tcPr>
            <w:tcW w:type="dxa" w:w="4082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与老师确认论文方向；冻结资产；建立 paper_track</w:t>
            </w:r>
          </w:p>
        </w:tc>
        <w:tc>
          <w:tcPr>
            <w:tcW w:type="dxa" w:w="3402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2页 concept note + protocol v1.0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  <w:shd w:fill="EEF3F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第2–4周</w:t>
            </w:r>
          </w:p>
        </w:tc>
        <w:tc>
          <w:tcPr>
            <w:tcW w:type="dxa" w:w="4082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  <w:shd w:fill="EEF3F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完成 FedProx 多 seed 正式配对</w:t>
            </w:r>
          </w:p>
        </w:tc>
        <w:tc>
          <w:tcPr>
            <w:tcW w:type="dxa" w:w="3402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  <w:shd w:fill="EEF3F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多 seed 主表、配对图、审计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第5–6周</w:t>
            </w:r>
          </w:p>
        </w:tc>
        <w:tc>
          <w:tcPr>
            <w:tcW w:type="dxa" w:w="4082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local_epochs=5 压力实验</w:t>
            </w:r>
          </w:p>
        </w:tc>
        <w:tc>
          <w:tcPr>
            <w:tcW w:type="dxa" w:w="3402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压力实验报告与是否继续决策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  <w:shd w:fill="EEF3F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第7–10周</w:t>
            </w:r>
          </w:p>
        </w:tc>
        <w:tc>
          <w:tcPr>
            <w:tcW w:type="dxa" w:w="4082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  <w:shd w:fill="EEF3F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SCAFFOLD 实现、退化、状态和 resume 测试</w:t>
            </w:r>
          </w:p>
        </w:tc>
        <w:tc>
          <w:tcPr>
            <w:tcW w:type="dxa" w:w="3402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  <w:shd w:fill="EEF3F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SCAFFOLD correctness package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第11–13周</w:t>
            </w:r>
          </w:p>
        </w:tc>
        <w:tc>
          <w:tcPr>
            <w:tcW w:type="dxa" w:w="4082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SCAFFOLD 多 seed 正式实验</w:t>
            </w:r>
          </w:p>
        </w:tc>
        <w:tc>
          <w:tcPr>
            <w:tcW w:type="dxa" w:w="3402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跨算法正式输出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  <w:shd w:fill="EEF3F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第14周</w:t>
            </w:r>
          </w:p>
        </w:tc>
        <w:tc>
          <w:tcPr>
            <w:tcW w:type="dxa" w:w="4082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  <w:shd w:fill="EEF3F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统一统计、类别和成本分析</w:t>
            </w:r>
          </w:p>
        </w:tc>
        <w:tc>
          <w:tcPr>
            <w:tcW w:type="dxa" w:w="3402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  <w:shd w:fill="EEF3F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论文主图主表冻结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第15–16周</w:t>
            </w:r>
          </w:p>
        </w:tc>
        <w:tc>
          <w:tcPr>
            <w:tcW w:type="dxa" w:w="4082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写作第一稿；内部自检</w:t>
            </w:r>
          </w:p>
        </w:tc>
        <w:tc>
          <w:tcPr>
            <w:tcW w:type="dxa" w:w="3402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完整 manuscript v0.1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  <w:shd w:fill="EEF3F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第17周</w:t>
            </w:r>
          </w:p>
        </w:tc>
        <w:tc>
          <w:tcPr>
            <w:tcW w:type="dxa" w:w="4082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  <w:shd w:fill="EEF3F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老师反馈与修改</w:t>
            </w:r>
          </w:p>
        </w:tc>
        <w:tc>
          <w:tcPr>
            <w:tcW w:type="dxa" w:w="3402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  <w:shd w:fill="EEF3F8"/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manuscript v0.2 + response log</w:t>
            </w:r>
          </w:p>
        </w:tc>
      </w:tr>
      <w:tr>
        <w:trPr>
          <w:trHeight w:hRule="atLeast"/>
        </w:trPr>
        <w:tc>
          <w:tcPr>
            <w:tcW w:type="dxa" w:w="1247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第18–20周</w:t>
            </w:r>
          </w:p>
        </w:tc>
        <w:tc>
          <w:tcPr>
            <w:tcW w:type="dxa" w:w="4082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选刊、格式、伦理检查、提交</w:t>
            </w:r>
          </w:p>
        </w:tc>
        <w:tc>
          <w:tcPr>
            <w:tcW w:type="dxa" w:w="3402"/>
            <w:vAlign w:val="center"/>
            <w:tcMar>
              <w:top w:w="35" w:type="dxa"/>
              <w:start w:w="70" w:type="dxa"/>
              <w:bottom w:w="35" w:type="dxa"/>
              <w:end w:w="70" w:type="dxa"/>
            </w:tcMar>
          </w:tcPr>
          <w:p>
            <w:pPr>
              <w:spacing w:after="0" w:before="0" w:line="240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最终稿、cover letter、supplement</w:t>
            </w:r>
          </w:p>
        </w:tc>
      </w:tr>
    </w:tbl>
    <w:p>
      <w:pPr>
        <w:spacing w:after="0"/>
      </w:pPr>
    </w:p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FF4D6"/>
            <w:tcBorders>
              <w:top w:val="single" w:sz="10" w:color="D39A17"/>
              <w:left w:val="single" w:sz="20" w:color="D39A17"/>
              <w:bottom w:val="single" w:sz="10" w:color="D39A17"/>
              <w:right w:val="single" w:sz="10" w:color="D39A17"/>
            </w:tcBorders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E462D"/>
                <w:sz w:val="21"/>
              </w:rPr>
              <w:t>现实安排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若计算资源或学业时间有限，先完成 WP0 + WP1 + WP2，写成一份完整研究稿，再根据老师意见决定是否必须加入 SCAFFOLD。不要为了赶进度牺牲多 seed 和审计。</w:t>
            </w:r>
          </w:p>
        </w:tc>
      </w:tr>
    </w:tbl>
    <w:p>
      <w:pPr>
        <w:spacing w:after="0"/>
      </w:pPr>
    </w:p>
    <w:p>
      <w:pPr>
        <w:pStyle w:val="Heading1"/>
      </w:pPr>
      <w:r>
        <w:t>11. 论文结构与写作任务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hRule="atLeast"/>
          <w:tblHeader w:val="true"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章节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核心内容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主要证据</w:t>
            </w:r>
          </w:p>
        </w:tc>
      </w:tr>
      <w:tr>
        <w:trPr>
          <w:trHeight w:hRule="atLeast"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Abstract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问题、方法、最重要数字、结论边界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多 seed + 压力 + SCAFFOLD</w:t>
            </w:r>
          </w:p>
        </w:tc>
      </w:tr>
      <w:tr>
        <w:trPr>
          <w:trHeight w:hRule="atLeast"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1 Introduction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车端数据分散、Non-IID、研究缺口、贡献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不夸大隐私；强调实证和复现</w:t>
            </w:r>
          </w:p>
        </w:tc>
      </w:tr>
      <w:tr>
        <w:trPr>
          <w:trHeight w:hRule="atLeast"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2 Related Work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FedAvg、FedProx、SCAFFOLD、交通标志/车辆 FL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系统比较而非文献堆砌</w:t>
            </w:r>
          </w:p>
        </w:tc>
      </w:tr>
      <w:tr>
        <w:trPr>
          <w:trHeight w:hRule="atLeast"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3 Methodology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数据、partition、模型、算法、配对、统计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公式和实验协议</w:t>
            </w:r>
          </w:p>
        </w:tc>
      </w:tr>
      <w:tr>
        <w:trPr>
          <w:trHeight w:hRule="atLeast"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4 Experimental Setup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环境、预算、seed、指标、测试隔离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完整配置表</w:t>
            </w:r>
          </w:p>
        </w:tc>
      </w:tr>
      <w:tr>
        <w:trPr>
          <w:trHeight w:hRule="atLeast"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5 Results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基线、异构退化、多 seed、压力、算法比较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主表主图</w:t>
            </w:r>
          </w:p>
        </w:tc>
      </w:tr>
      <w:tr>
        <w:trPr>
          <w:trHeight w:hRule="atLeast"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6 Analysis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类别、公平性、机制、成本、失败案例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per-class、norm、cosine</w:t>
            </w:r>
          </w:p>
        </w:tc>
      </w:tr>
      <w:tr>
        <w:trPr>
          <w:trHeight w:hRule="atLeast"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7 Limitations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单数据集、模拟客户端、统计范围、现实差距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明确不可外推内容</w:t>
            </w:r>
          </w:p>
        </w:tc>
      </w:tr>
      <w:tr>
        <w:trPr>
          <w:trHeight w:hRule="atLeast"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8 Conclusion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回答 RQ，不引入新结论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精确表述 partial mitigation</w:t>
            </w:r>
          </w:p>
        </w:tc>
      </w:tr>
      <w:tr>
        <w:trPr>
          <w:trHeight w:hRule="atLeast"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Supplement</w:t>
            </w:r>
          </w:p>
        </w:tc>
        <w:tc>
          <w:tcPr>
            <w:tcW w:type="dxa" w:w="3969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全曲线、混淆矩阵、配置、审计、复现命令</w:t>
            </w:r>
          </w:p>
        </w:tc>
        <w:tc>
          <w:tcPr>
            <w:tcW w:type="dxa" w:w="294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完整性材料</w:t>
            </w:r>
          </w:p>
        </w:tc>
      </w:tr>
    </w:tbl>
    <w:p>
      <w:pPr>
        <w:spacing w:after="0"/>
      </w:pPr>
    </w:p>
    <w:p>
      <w:pPr>
        <w:pStyle w:val="Heading2"/>
      </w:pPr>
      <w:r>
        <w:t>11.1 写作纪律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先写图表和结果，再写摘要；不要从摘要开始猜结论。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所有数字从分析脚本导出，避免手工复制错误。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区分 historical Adam FedAvg 与 strict SGD μ=0 control。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“robust / improved / significant”等词必须与证据匹配；小样本不轻易写 statistically significant。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讨论失败类别、负面结果和计算成本，避免只展示最好结果。</w:t>
      </w:r>
    </w:p>
    <w:p>
      <w:pPr>
        <w:pStyle w:val="Heading1"/>
      </w:pPr>
      <w:r>
        <w:t>12. 与带教老师沟通与长期关系维护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7F2F7"/>
            <w:tcBorders>
              <w:top w:val="single" w:sz="10" w:color="2B7A8B"/>
              <w:left w:val="single" w:sz="20" w:color="2B7A8B"/>
              <w:bottom w:val="single" w:sz="10" w:color="2B7A8B"/>
              <w:right w:val="single" w:sz="10" w:color="2B7A8B"/>
            </w:tcBorders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E462D"/>
                <w:sz w:val="21"/>
              </w:rPr>
              <w:t>基本心态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不要把老师只当作“人脉资源”，而应把关系建立在真实的研究进展、尊重时间、可靠执行和双向价值上。最好的维护方式不是频繁寒暄，而是阶段性拿出有质量的成果。</w:t>
            </w:r>
          </w:p>
        </w:tc>
      </w:tr>
    </w:tbl>
    <w:p>
      <w:pPr>
        <w:spacing w:after="0"/>
      </w:pPr>
    </w:p>
    <w:p>
      <w:pPr>
        <w:pStyle w:val="Heading2"/>
      </w:pPr>
      <w:r>
        <w:t>12.1 第一次确认论文方向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7"/>
            <w:tcBorders>
              <w:top w:val="single" w:sz="6" w:color="C8D0D8"/>
              <w:left w:val="single" w:sz="6" w:color="C8D0D8"/>
              <w:bottom w:val="single" w:sz="6" w:color="C8D0D8"/>
              <w:right w:val="single" w:sz="6" w:color="C8D0D8"/>
            </w:tcBorders>
          </w:tcPr>
          <w:p>
            <w:pPr>
              <w:spacing w:after="0" w:line="240" w:lineRule="auto"/>
            </w:pPr>
            <w:r/>
            <w:r>
              <w:rPr>
                <w:rFonts w:ascii="DejaVu Sans Mono" w:hAnsi="DejaVu Sans Mono" w:eastAsia="DejaVu Sans Mono"/>
                <w:b w:val="0"/>
                <w:i w:val="0"/>
                <w:color w:val="232D37"/>
                <w:sz w:val="17"/>
              </w:rPr>
              <w:t>老师您好，非常感谢您提到可以考虑在当前工作的基础上尝试发表论文。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32D37"/>
                <w:sz w:val="17"/>
              </w:rPr>
              <w:t>我根据现有 FedAvg 和 FedProx 结果整理了一份后续计划，准备先补充多随机种子和更强本地训练条件下的稳健性实验，再按严格控制实现 SCAFFOLD 作为进一步对比。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32D37"/>
                <w:sz w:val="17"/>
              </w:rPr>
              <w:t>我想先请您帮我判断一下这条主线是否合适，以及更适合按会议论文还是期刊论文来准备。您方便时我可以发一份两页的简要计划，不会占用您太多时间。</w:t>
            </w:r>
          </w:p>
        </w:tc>
      </w:tr>
    </w:tbl>
    <w:p>
      <w:pPr>
        <w:spacing w:after="0"/>
      </w:pP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先发 1–2 页概念说明，不要一上来发几十页文档或整个代码压缩包。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把问题问具体：研究主线是否成立、还缺什么证据、会议还是期刊，而不是只问“老师您觉得怎么样”。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若老师愿意继续指导，再询问合适的汇报频率；默认以关键里程碑为单位，不频繁打扰。</w:t>
      </w:r>
    </w:p>
    <w:p>
      <w:pPr>
        <w:pStyle w:val="Heading2"/>
      </w:pPr>
      <w:r>
        <w:t>12.2 推荐的更新频率和格式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hRule="atLeast"/>
          <w:tblHeader w:val="true"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场景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建议频率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发送内容</w:t>
            </w:r>
          </w:p>
        </w:tc>
      </w:tr>
      <w:tr>
        <w:trPr>
          <w:trHeight w:hRule="atLeast"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研究执行期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每3–4周或完成一个里程碑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1页进展：完成事项、1张主图、问题、下一步、1个明确请求</w:t>
            </w:r>
          </w:p>
        </w:tc>
      </w:tr>
      <w:tr>
        <w:trPr>
          <w:trHeight w:hRule="atLeast"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出现关键技术阻塞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先自行排查并整理证据后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最小复现、错误、已尝试方案、需要老师判断的选择</w:t>
            </w:r>
          </w:p>
        </w:tc>
      </w:tr>
      <w:tr>
        <w:trPr>
          <w:trHeight w:hRule="atLeast"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论文写作期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初稿、主要修改、投稿前三个节点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带修改说明的稿件，不连续发送小版本</w:t>
            </w:r>
          </w:p>
        </w:tc>
      </w:tr>
      <w:tr>
        <w:trPr>
          <w:trHeight w:hRule="atLeast"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投稿后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收到决定或完成大修时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简洁同步结果，并说明下一步</w:t>
            </w:r>
          </w:p>
        </w:tc>
      </w:tr>
      <w:tr>
        <w:trPr>
          <w:trHeight w:hRule="atLeast"/>
        </w:trPr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项目间歇期</w:t>
            </w:r>
          </w:p>
        </w:tc>
        <w:tc>
          <w:tcPr>
            <w:tcW w:type="dxa" w:w="226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约每2–3个月一次有内容的更新</w:t>
            </w:r>
          </w:p>
        </w:tc>
        <w:tc>
          <w:tcPr>
            <w:tcW w:type="dxa" w:w="442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新成果、录用、竞赛/研究进展；避免纯粹刷存在感</w:t>
            </w:r>
          </w:p>
        </w:tc>
      </w:tr>
    </w:tbl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7"/>
            <w:tcBorders>
              <w:top w:val="single" w:sz="6" w:color="C8D0D8"/>
              <w:left w:val="single" w:sz="6" w:color="C8D0D8"/>
              <w:bottom w:val="single" w:sz="6" w:color="C8D0D8"/>
              <w:right w:val="single" w:sz="6" w:color="C8D0D8"/>
            </w:tcBorders>
          </w:tcPr>
          <w:p>
            <w:pPr>
              <w:spacing w:after="0" w:line="240" w:lineRule="auto"/>
            </w:pPr>
            <w:r/>
            <w:r>
              <w:rPr>
                <w:rFonts w:ascii="DejaVu Sans Mono" w:hAnsi="DejaVu Sans Mono" w:eastAsia="DejaVu Sans Mono"/>
                <w:b w:val="0"/>
                <w:i w:val="0"/>
                <w:color w:val="232D37"/>
                <w:sz w:val="17"/>
              </w:rPr>
              <w:t>阶段更新模板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32D37"/>
                <w:sz w:val="17"/>
              </w:rPr>
              <w:t>老师您好，向您简要汇报一下目前进展：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32D37"/>
                <w:sz w:val="17"/>
              </w:rPr>
              <w:t>1. 已完成：……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32D37"/>
                <w:sz w:val="17"/>
              </w:rPr>
              <w:t>2. 主要结果：……（附一张图或一个表）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32D37"/>
                <w:sz w:val="17"/>
              </w:rPr>
              <w:t>3. 当前判断：……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32D37"/>
                <w:sz w:val="17"/>
              </w:rPr>
              <w:t>4. 下一步：……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32D37"/>
                <w:sz w:val="17"/>
              </w:rPr>
              <w:t>5. 想请教您的一个问题：……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32D37"/>
                <w:sz w:val="17"/>
              </w:rPr>
              <w:t>感谢您抽空指导。</w:t>
            </w:r>
          </w:p>
        </w:tc>
      </w:tr>
    </w:tbl>
    <w:p>
      <w:pPr>
        <w:spacing w:after="0"/>
      </w:pPr>
    </w:p>
    <w:p>
      <w:pPr>
        <w:pStyle w:val="Heading2"/>
      </w:pPr>
      <w:r>
        <w:t>12.3 作者身份与合作边界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尽早、坦诚讨论作者贡献，但不要在工作尚未明确时直接要求老师“挂名”。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若老师继续参与研究设计、结果解释、论文实质性修改并批准最终稿，通常具备共同作者的合理基础；若仅提供少量一般建议，更适合在致谢中感谢。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你若承担主要实验、分析和初稿，第一作者通常有合理依据；通讯作者、单位署名和作者顺序必须由所有贡献者协商，并遵守学校规定。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任何投稿前，所有作者都必须看到并同意最终版本；不要未经老师确认写入作者名单或单位。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3F5F7"/>
            <w:tcBorders>
              <w:top w:val="single" w:sz="6" w:color="C8D0D8"/>
              <w:left w:val="single" w:sz="6" w:color="C8D0D8"/>
              <w:bottom w:val="single" w:sz="6" w:color="C8D0D8"/>
              <w:right w:val="single" w:sz="6" w:color="C8D0D8"/>
            </w:tcBorders>
          </w:tcPr>
          <w:p>
            <w:pPr>
              <w:spacing w:after="0" w:line="240" w:lineRule="auto"/>
            </w:pPr>
            <w:r/>
            <w:r>
              <w:rPr>
                <w:rFonts w:ascii="DejaVu Sans Mono" w:hAnsi="DejaVu Sans Mono" w:eastAsia="DejaVu Sans Mono"/>
                <w:b w:val="0"/>
                <w:i w:val="0"/>
                <w:color w:val="232D37"/>
                <w:sz w:val="17"/>
              </w:rPr>
              <w:t>作者合作讨论示例（研究已有实质进展后）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32D37"/>
                <w:sz w:val="17"/>
              </w:rPr>
              <w:t>老师您好，目前多随机种子和压力实验已经完成，我正在整理论文初稿。</w:t>
            </w:r>
          </w:p>
          <w:p>
            <w:pPr>
              <w:spacing w:after="0" w:line="240" w:lineRule="auto"/>
            </w:pPr>
            <w:r>
              <w:rPr>
                <w:rFonts w:ascii="DejaVu Sans Mono" w:hAnsi="DejaVu Sans Mono" w:eastAsia="DejaVu Sans Mono"/>
                <w:b w:val="0"/>
                <w:i w:val="0"/>
                <w:color w:val="232D37"/>
                <w:sz w:val="17"/>
              </w:rPr>
              <w:t>如果您愿意继续在研究定位、结果解释和论文修改上指导，我希望能与您共同推进这篇论文。作者顺序、通讯作者和单位信息我都会按照实际贡献和您的建议来确定。您觉得是否合适？</w:t>
            </w:r>
          </w:p>
        </w:tc>
      </w:tr>
    </w:tbl>
    <w:p>
      <w:pPr>
        <w:spacing w:after="0"/>
      </w:pPr>
    </w:p>
    <w:p>
      <w:pPr>
        <w:pStyle w:val="Heading2"/>
      </w:pPr>
      <w:r>
        <w:t>12.4 长期维护关系的具体做法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按承诺交付：说一周给结果，就尽量按时；延迟时提前说明原因和新时间。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反馈闭环：老师给建议后，下次明确说明“我采纳了什么、结果怎样”。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减少老师成本：先整理好图、表、结论和具体问题，不让老师从原始日志中替你找重点。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重要节点感谢：项目结束、投稿、录用或毕业节点可简短致谢；不需要频繁节日群发式问候。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未来提供价值：可分享可复现代码、实验报告、相关文献或协助后续学生交接，而不只是索取推荐和机会。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保持专业边界：不要把老师的积极评价理解为已经承诺投稿、共同作者或持续带项目。每一步都要确认。</w:t>
      </w:r>
    </w:p>
    <w:p>
      <w:pPr>
        <w:pStyle w:val="Heading1"/>
      </w:pPr>
      <w:r>
        <w:t>13. 投稿策略与期刊/会议选择建议</w:t>
      </w:r>
    </w:p>
    <w:p>
      <w:pPr>
        <w:pStyle w:val="Heading2"/>
      </w:pPr>
      <w:r>
        <w:t>13.1 先决定论文类型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rPr>
          <w:trHeight w:hRule="atLeast"/>
          <w:tblHeader w:val="true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路线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适合条件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优点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风险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会议 / Workshop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结果主线清楚，但实验规模有限；希望较快获得反馈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时间边界清楚；篇幅促使聚焦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受固定 deadline 约束；可能需要较强新颖性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应用型期刊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完成多 seed、压力和算法对照；材料较完整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篇幅充分；可呈现复现与负面结果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周期长；通常需要更全面实验</w:t>
            </w:r>
          </w:p>
        </w:tc>
      </w:tr>
      <w:tr>
        <w:trPr>
          <w:trHeight w:hRule="atLeast"/>
        </w:trPr>
        <w:tc>
          <w:tcPr>
            <w:tcW w:type="dxa" w:w="170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高门槛 ITS 期刊</w:t>
            </w:r>
          </w:p>
        </w:tc>
        <w:tc>
          <w:tcPr>
            <w:tcW w:type="dxa" w:w="2835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加入真实车辆/多域数据、系统性实验或方法创新</w:t>
            </w:r>
          </w:p>
        </w:tc>
        <w:tc>
          <w:tcPr>
            <w:tcW w:type="dxa" w:w="204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领域匹配度高</w:t>
            </w:r>
          </w:p>
        </w:tc>
        <w:tc>
          <w:tcPr>
            <w:tcW w:type="dxa" w:w="260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当前版本不够成熟，直接投稿风险高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9F3E5"/>
            <w:tcBorders>
              <w:top w:val="single" w:sz="10" w:color="729E57"/>
              <w:left w:val="single" w:sz="20" w:color="729E57"/>
              <w:bottom w:val="single" w:sz="10" w:color="729E57"/>
              <w:right w:val="single" w:sz="10" w:color="729E57"/>
            </w:tcBorders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E462D"/>
                <w:sz w:val="21"/>
              </w:rPr>
              <w:t>当前建议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先按“期刊质量”的完整度做实验和写作，但不要现在就锁定期刊。完成多 seed 与至少一个压力轴后，拿 2 页摘要和主结果请老师判断：投 ITSC/相关 Workshop，还是继续补到 OJ-ITS / IEEE Access 等期刊。</w:t>
            </w:r>
          </w:p>
        </w:tc>
      </w:tr>
    </w:tbl>
    <w:p>
      <w:pPr>
        <w:spacing w:after="0"/>
      </w:pPr>
    </w:p>
    <w:p>
      <w:pPr>
        <w:pStyle w:val="Heading2"/>
      </w:pPr>
      <w:r>
        <w:t>13.2 候选方向（按成熟度，而非简单排名）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hRule="atLeast"/>
          <w:tblHeader w:val="true"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候选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官方定位与匹配点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对当前工作的要求判断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IEEE ITSC / 相关 Workshop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ITS Society 的年度旗舰会议，关注智能车辆与车路协同研究及应用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需要突出交通系统意义；补多 seed、压力与清晰贡献后再评估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IEEE Open Journal of ITS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ITS 领域开放获取期刊，覆盖交通系统、车辆通信与相关技术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若形成完整实证、开源复现和更强车辆场景，可考虑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IEEE Access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跨 IEEE 领域、应用和跨学科、连续投稿；开放获取并收取 APC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不是“容易发表”；需要技术正确、实验充分、清晰且有实际价值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IEEE T-ITS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覆盖 ITS 的感知、通信、控制、建模、实验和评价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高门槛；建议增加真实/多域车辆数据和更强创新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IEEE T-IV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面向智能车辆的创新概念、理论和应用案例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高门槛；当前 GTSRB 模拟研究单独支撑不足</w:t>
            </w:r>
          </w:p>
        </w:tc>
      </w:tr>
      <w:tr>
        <w:trPr>
          <w:trHeight w:hRule="atLeast"/>
        </w:trPr>
        <w:tc>
          <w:tcPr>
            <w:tcW w:type="dxa" w:w="1814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IEEE IoT Journal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IoT 架构、边缘/传感数据、服务与应用</w:t>
            </w:r>
          </w:p>
        </w:tc>
        <w:tc>
          <w:tcPr>
            <w:tcW w:type="dxa" w:w="340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只有当论文强调车联网/边缘系统而不只是分类算法时更匹配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FDE9E7"/>
            <w:tcBorders>
              <w:top w:val="single" w:sz="10" w:color="C84A3A"/>
              <w:left w:val="single" w:sz="20" w:color="C84A3A"/>
              <w:bottom w:val="single" w:sz="10" w:color="C84A3A"/>
              <w:right w:val="single" w:sz="10" w:color="C84A3A"/>
            </w:tcBorders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E462D"/>
                <w:sz w:val="21"/>
              </w:rPr>
              <w:t>不建议的做法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不要因为“审稿快”就默认 IEEE Access 最容易；不要为了追高影响力直接投 T-ITS/T-IV；不要只看中科院分区或影响因子而忽略 scope、创新性和实验成熟度。</w:t>
            </w:r>
          </w:p>
        </w:tc>
      </w:tr>
    </w:tbl>
    <w:p>
      <w:pPr>
        <w:spacing w:after="0"/>
      </w:pPr>
    </w:p>
    <w:p>
      <w:pPr>
        <w:pStyle w:val="Heading2"/>
      </w:pPr>
      <w:r>
        <w:t>13.3 投稿伦理和流程检查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同一篇稿件同一时间只能投一个会议或期刊，禁止一稿多投。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会议论文扩展为期刊时，必须检查目标期刊政策，明确引用会议版本，并提供实质性新增内容。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预印本需经全部作者同意，并核对目标 venue 政策；投稿时按要求披露。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IEEE 当前要求披露文章中使用的 AI 生成内容；仅用于语言编辑通常不在强制披露核心范围内，但官方建议透明说明。最终内容由人类作者负责核验。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投稿前完成作者顺序、单位、通讯作者、利益冲突、数据/代码可用性和致谢确认。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检查 APC 或注册费用，提前与老师确认经费来源；开放获取不等于免费。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保存 cover letter、投稿版本、审稿意见和回复信，形成版本记录。</w:t>
      </w:r>
    </w:p>
    <w:p>
      <w:pPr>
        <w:pStyle w:val="Heading1"/>
      </w:pPr>
      <w:r>
        <w:t>14. 投稿前 Go / No-Go 门槛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hRule="atLeast"/>
          <w:tblHeader w:val="true"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检查项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Go 条件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7"/>
              </w:rPr>
              <w:t>No-Go 表现</w:t>
            </w:r>
          </w:p>
        </w:tc>
      </w:tr>
      <w:tr>
        <w:trPr>
          <w:trHeight w:hRule="atLeast"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统计覆盖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≥3 seed，最好5；主要提升方向一致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只有单次最好结果</w:t>
            </w:r>
          </w:p>
        </w:tc>
      </w:tr>
      <w:tr>
        <w:trPr>
          <w:trHeight w:hRule="atLeast"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公平比较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同 seed、同初始化、同 partition、同预算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优化器或数据同时变化却归因于算法</w:t>
            </w:r>
          </w:p>
        </w:tc>
      </w:tr>
      <w:tr>
        <w:trPr>
          <w:trHeight w:hRule="atLeast"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压力验证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至少一个独立压力轴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只在低漂移设置成立</w:t>
            </w:r>
          </w:p>
        </w:tc>
      </w:tr>
      <w:tr>
        <w:trPr>
          <w:trHeight w:hRule="atLeast"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算法对照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FedProx + SCAFFOLD 或有充分理由只做 FedProx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只比较历史不匹配 baseline</w:t>
            </w:r>
          </w:p>
        </w:tc>
      </w:tr>
      <w:tr>
        <w:trPr>
          <w:trHeight w:hRule="atLeast"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类别分析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Macro、worst、zero-class、下降类别完整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只报告 overall accuracy</w:t>
            </w:r>
          </w:p>
        </w:tc>
      </w:tr>
      <w:tr>
        <w:trPr>
          <w:trHeight w:hRule="atLeast"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复现材料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代码、配置、seed、manifest、resume 审计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目录混乱、无法复算</w:t>
            </w:r>
          </w:p>
        </w:tc>
      </w:tr>
      <w:tr>
        <w:trPr>
          <w:trHeight w:hRule="atLeast"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论文贡献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可用1–2句话清楚说明新知识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只是“把算法跑了一遍”</w:t>
            </w:r>
          </w:p>
        </w:tc>
      </w:tr>
      <w:tr>
        <w:trPr>
          <w:trHeight w:hRule="atLeast"/>
        </w:trPr>
        <w:tc>
          <w:tcPr>
            <w:tcW w:type="dxa" w:w="175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老师意见</w:t>
            </w:r>
          </w:p>
        </w:tc>
        <w:tc>
          <w:tcPr>
            <w:tcW w:type="dxa" w:w="362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合作角色和投稿 venue 已确认</w:t>
            </w:r>
          </w:p>
        </w:tc>
        <w:tc>
          <w:tcPr>
            <w:tcW w:type="dxa" w:w="3458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7"/>
              </w:rPr>
              <w:t>未与老师沟通就直接投稿</w:t>
            </w:r>
          </w:p>
        </w:tc>
      </w:tr>
    </w:tbl>
    <w:p>
      <w:pPr>
        <w:spacing w:after="0"/>
      </w:pPr>
    </w:p>
    <w:p>
      <w:pPr>
        <w:pStyle w:val="Heading1"/>
      </w:pPr>
      <w:r>
        <w:t>15. 风险登记与应对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rPr>
          <w:trHeight w:hRule="atLeast"/>
          <w:tblHeader w:val="true"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风险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信号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6"/>
              </w:rPr>
              <w:t>应对</w:t>
            </w:r>
          </w:p>
        </w:tc>
      </w:tr>
      <w:tr>
        <w:trPr>
          <w:trHeight w:hRule="atLeast"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计算量过大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多 seed + 160轮耗时不可控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先3 seed；优先α=0.1；使用阶段性 go/no-go</w:t>
            </w:r>
          </w:p>
        </w:tc>
      </w:tr>
      <w:tr>
        <w:trPr>
          <w:trHeight w:hRule="atLeast"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FedProx 多 seed 不稳定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部分 seed 无提升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如实报告；分析条件依赖，不挑 seed</w:t>
            </w:r>
          </w:p>
        </w:tc>
      </w:tr>
      <w:tr>
        <w:trPr>
          <w:trHeight w:hRule="atLeast"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SCAFFOLD 状态错误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resume 不连续、c/cᵢ错配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停止正式训练，先通过全部状态审计</w:t>
            </w:r>
          </w:p>
        </w:tc>
      </w:tr>
      <w:tr>
        <w:trPr>
          <w:trHeight w:hRule="atLeast"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论文创新不足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结果只是已知结论复现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强化交通场景、类别失效、成本和压力分析；必要时加入真实域数据</w:t>
            </w:r>
          </w:p>
        </w:tc>
      </w:tr>
      <w:tr>
        <w:trPr>
          <w:trHeight w:hRule="atLeast"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与老师沟通中断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长期无回复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减少频率，发简短、具体、可回答的问题；不要连续催促</w:t>
            </w:r>
          </w:p>
        </w:tc>
      </w:tr>
      <w:tr>
        <w:trPr>
          <w:trHeight w:hRule="atLeast"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作者贡献不清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临投稿才讨论署名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在初稿前进行一次明确、书面的贡献沟通</w:t>
            </w:r>
          </w:p>
        </w:tc>
      </w:tr>
      <w:tr>
        <w:trPr>
          <w:trHeight w:hRule="atLeast"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投稿 venue 不匹配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编辑初筛退稿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用摘要对照 scope；请老师或领域研究者预判</w:t>
            </w:r>
          </w:p>
        </w:tc>
      </w:tr>
      <w:tr>
        <w:trPr>
          <w:trHeight w:hRule="atLeast"/>
        </w:trPr>
        <w:tc>
          <w:tcPr>
            <w:tcW w:type="dxa" w:w="187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AI/写作合规</w:t>
            </w:r>
          </w:p>
        </w:tc>
        <w:tc>
          <w:tcPr>
            <w:tcW w:type="dxa" w:w="2891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文本或代码大量由AI生成未说明</w:t>
            </w:r>
          </w:p>
        </w:tc>
        <w:tc>
          <w:tcPr>
            <w:tcW w:type="dxa" w:w="4082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6"/>
              </w:rPr>
              <w:t>保留人类核验记录，按 venue 政策披露</w:t>
            </w:r>
          </w:p>
        </w:tc>
      </w:tr>
    </w:tbl>
    <w:p>
      <w:pPr>
        <w:spacing w:after="0"/>
      </w:pPr>
    </w:p>
    <w:p>
      <w:pPr>
        <w:pStyle w:val="Heading1"/>
      </w:pPr>
      <w:r>
        <w:t>16. 接下来两周的具体行动</w:t>
      </w:r>
    </w:p>
    <w:p>
      <w:pPr>
        <w:spacing w:after="40" w:line="269" w:lineRule="auto"/>
        <w:ind w:left="312" w:hanging="255"/>
      </w:pPr>
      <w:r>
        <w:rPr>
          <w:rFonts w:ascii="Noto Sans CJK SC" w:hAnsi="Noto Sans CJK SC" w:eastAsia="Noto Sans CJK SC"/>
          <w:b/>
          <w:i w:val="0"/>
          <w:color w:val="17365D"/>
          <w:sz w:val="21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第1天：复制本规划到项目目录；建立 paper_track/protocol；冻结 A1 manifest。</w:t>
      </w:r>
    </w:p>
    <w:p>
      <w:pPr>
        <w:spacing w:after="40" w:line="269" w:lineRule="auto"/>
        <w:ind w:left="312" w:hanging="255"/>
      </w:pPr>
      <w:r>
        <w:rPr>
          <w:rFonts w:ascii="Noto Sans CJK SC" w:hAnsi="Noto Sans CJK SC" w:eastAsia="Noto Sans CJK SC"/>
          <w:b/>
          <w:i w:val="0"/>
          <w:color w:val="17365D"/>
          <w:sz w:val="21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第2–3天：写 2 页 concept note，包括题目、4个RQ、现有结果、缺口和16周路线。</w:t>
      </w:r>
    </w:p>
    <w:p>
      <w:pPr>
        <w:spacing w:after="40" w:line="269" w:lineRule="auto"/>
        <w:ind w:left="312" w:hanging="255"/>
      </w:pPr>
      <w:r>
        <w:rPr>
          <w:rFonts w:ascii="Noto Sans CJK SC" w:hAnsi="Noto Sans CJK SC" w:eastAsia="Noto Sans CJK SC"/>
          <w:b/>
          <w:i w:val="0"/>
          <w:color w:val="17365D"/>
          <w:sz w:val="21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第3天：向带教老师发送简短微信，询问方向和论文类型建议。</w:t>
      </w:r>
    </w:p>
    <w:p>
      <w:pPr>
        <w:spacing w:after="40" w:line="269" w:lineRule="auto"/>
        <w:ind w:left="312" w:hanging="255"/>
      </w:pPr>
      <w:r>
        <w:rPr>
          <w:rFonts w:ascii="Noto Sans CJK SC" w:hAnsi="Noto Sans CJK SC" w:eastAsia="Noto Sans CJK SC"/>
          <w:b/>
          <w:i w:val="0"/>
          <w:color w:val="17365D"/>
          <w:sz w:val="21"/>
        </w:rPr>
        <w:t xml:space="preserve">4. </w:t>
      </w:r>
      <w:r>
        <w:rPr>
          <w:rFonts w:ascii="Noto Sans CJK SC" w:hAnsi="Noto Sans CJK SC" w:eastAsia="Noto Sans CJK SC"/>
          <w:b w:val="0"/>
          <w:i w:val="0"/>
          <w:sz w:val="21"/>
        </w:rPr>
        <w:t>第4–5天：设计 seed_registry 和多 seed 输出命名；先运行一个 3 轮验证。</w:t>
      </w:r>
    </w:p>
    <w:p>
      <w:pPr>
        <w:spacing w:after="40" w:line="269" w:lineRule="auto"/>
        <w:ind w:left="312" w:hanging="255"/>
      </w:pPr>
      <w:r>
        <w:rPr>
          <w:rFonts w:ascii="Noto Sans CJK SC" w:hAnsi="Noto Sans CJK SC" w:eastAsia="Noto Sans CJK SC"/>
          <w:b/>
          <w:i w:val="0"/>
          <w:color w:val="17365D"/>
          <w:sz w:val="21"/>
        </w:rPr>
        <w:t xml:space="preserve">5. </w:t>
      </w:r>
      <w:r>
        <w:rPr>
          <w:rFonts w:ascii="Noto Sans CJK SC" w:hAnsi="Noto Sans CJK SC" w:eastAsia="Noto Sans CJK SC"/>
          <w:b w:val="0"/>
          <w:i w:val="0"/>
          <w:sz w:val="21"/>
        </w:rPr>
        <w:t>第1周末：完成 α=0.1 的第2个 seed（μ=0 / 0.1）并验证配对。</w:t>
      </w:r>
    </w:p>
    <w:p>
      <w:pPr>
        <w:spacing w:after="40" w:line="269" w:lineRule="auto"/>
        <w:ind w:left="312" w:hanging="255"/>
      </w:pPr>
      <w:r>
        <w:rPr>
          <w:rFonts w:ascii="Noto Sans CJK SC" w:hAnsi="Noto Sans CJK SC" w:eastAsia="Noto Sans CJK SC"/>
          <w:b/>
          <w:i w:val="0"/>
          <w:color w:val="17365D"/>
          <w:sz w:val="21"/>
        </w:rPr>
        <w:t xml:space="preserve">6. </w:t>
      </w:r>
      <w:r>
        <w:rPr>
          <w:rFonts w:ascii="Noto Sans CJK SC" w:hAnsi="Noto Sans CJK SC" w:eastAsia="Noto Sans CJK SC"/>
          <w:b w:val="0"/>
          <w:i w:val="0"/>
          <w:sz w:val="21"/>
        </w:rPr>
        <w:t>第2周：并行完成 α=0.1 其余 seed；生成第一张配对 seed 图和一页进展报告。</w:t>
      </w:r>
    </w:p>
    <w:p>
      <w:pPr>
        <w:spacing w:after="40" w:line="269" w:lineRule="auto"/>
        <w:ind w:left="312" w:hanging="255"/>
      </w:pPr>
      <w:r>
        <w:rPr>
          <w:rFonts w:ascii="Noto Sans CJK SC" w:hAnsi="Noto Sans CJK SC" w:eastAsia="Noto Sans CJK SC"/>
          <w:b/>
          <w:i w:val="0"/>
          <w:color w:val="17365D"/>
          <w:sz w:val="21"/>
        </w:rPr>
        <w:t xml:space="preserve">7. </w:t>
      </w:r>
      <w:r>
        <w:rPr>
          <w:rFonts w:ascii="Noto Sans CJK SC" w:hAnsi="Noto Sans CJK SC" w:eastAsia="Noto Sans CJK SC"/>
          <w:b w:val="0"/>
          <w:i w:val="0"/>
          <w:sz w:val="21"/>
        </w:rPr>
        <w:t>第2周末：根据计算速度和结果稳定性，决定扩展到5 seed还是先完成α=0.5。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9F3E5"/>
            <w:tcBorders>
              <w:top w:val="single" w:sz="10" w:color="7F9E68"/>
              <w:left w:val="single" w:sz="20" w:color="7F9E68"/>
              <w:bottom w:val="single" w:sz="10" w:color="7F9E68"/>
              <w:right w:val="single" w:sz="10" w:color="7F9E68"/>
            </w:tcBorders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E462D"/>
                <w:sz w:val="21"/>
              </w:rPr>
              <w:t>第一条对老师有价值的更新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不是“我又跑了很多实验”，而是：“在固定 partition 的第二个训练 seed 中，FedProx 的提升方向是否与原结果一致；配对配置和初始权重审计是否通过。”</w:t>
            </w:r>
          </w:p>
        </w:tc>
      </w:tr>
    </w:tbl>
    <w:p>
      <w:pPr>
        <w:spacing w:after="0"/>
      </w:pPr>
    </w:p>
    <w:p>
      <w:pPr>
        <w:pStyle w:val="Heading1"/>
      </w:pPr>
      <w:r>
        <w:t>附录 A：本规划依据与政策核对</w:t>
      </w:r>
    </w:p>
    <w:p>
      <w:r>
        <w:rPr>
          <w:rFonts w:ascii="Noto Sans CJK SC" w:hAnsi="Noto Sans CJK SC" w:eastAsia="Noto Sans CJK SC"/>
          <w:b/>
          <w:i w:val="0"/>
          <w:color w:val="17365D"/>
          <w:sz w:val="21"/>
        </w:rPr>
        <w:t>项目内部依据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[P1] Stage 1C-A1 FedProx 实施与交接指南 v1.0：正式结论、冻结资产、结果边界和后续接手规则。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[P2] Stage 1C 后续路线与执行计划 v1.0：SCAFFOLD / MOON / FedBN / 通信优化及统一验收门槛。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[P3] Final Report：多 seed、部分参与、更多 local epochs 和算法对比的优先级建议。</w:t>
      </w:r>
    </w:p>
    <w:p>
      <w:r>
        <w:rPr>
          <w:rFonts w:ascii="Noto Sans CJK SC" w:hAnsi="Noto Sans CJK SC" w:eastAsia="Noto Sans CJK SC"/>
          <w:b/>
          <w:i w:val="0"/>
          <w:color w:val="17365D"/>
          <w:sz w:val="21"/>
        </w:rPr>
        <w:t>官方投稿与出版政策（访问日期：2026-08-04）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[O1] IEEE ITSS：Transactions on Intelligent Transportation Systems — Scope。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[O2] IEEE ITSS：Transactions on Intelligent Vehicles — Scope。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[O3] IEEE ITSS：Open Journal of Intelligent Transportation Systems — Aims &amp; Scope。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[O4] IEEE ITSS：International Conference on Intelligent Transportation Systems — Conference description。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[O5] IEEE Access：About、Preparing Your Article、Submission Guidelines。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[O6] IEEE Internet of Things Journal：Purpose and Scope、Guidelines for Authors。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[O7] IEEE Author Center：Submission and Peer Review Policies（AI-generated content disclosure）。</w:t>
      </w:r>
    </w:p>
    <w:p>
      <w:pPr>
        <w:pStyle w:val="ListBullet"/>
        <w:spacing w:after="40" w:line="269" w:lineRule="auto"/>
      </w:pPr>
      <w:r>
        <w:rPr>
          <w:rFonts w:ascii="Noto Sans CJK SC" w:hAnsi="Noto Sans CJK SC" w:eastAsia="Noto Sans CJK SC"/>
          <w:b w:val="0"/>
          <w:i w:val="0"/>
          <w:sz w:val="21"/>
        </w:rPr>
        <w:t>[O8] 通行出版伦理原则：作者贡献与问责、禁止同时向多个期刊提交同一稿件。</w:t>
      </w:r>
    </w:p>
    <w:p>
      <w:pPr>
        <w:spacing w:before="200"/>
      </w:pPr>
      <w:r>
        <w:rPr>
          <w:rFonts w:ascii="Noto Sans CJK SC" w:hAnsi="Noto Sans CJK SC" w:eastAsia="Noto Sans CJK SC"/>
          <w:b/>
          <w:i w:val="0"/>
          <w:color w:val="17365D"/>
          <w:sz w:val="21"/>
        </w:rPr>
        <w:t>说明：</w:t>
      </w:r>
      <w:r>
        <w:rPr>
          <w:rFonts w:ascii="Noto Sans CJK SC" w:hAnsi="Noto Sans CJK SC" w:eastAsia="Noto Sans CJK SC"/>
          <w:b w:val="0"/>
          <w:i w:val="0"/>
          <w:sz w:val="21"/>
        </w:rPr>
        <w:t>投稿 scope、费用、模板、截止日期和 AI 政策可能变化。真正投稿前必须重新核对目标 venue 的最新官方页面，并由全部作者确认。</w:t>
      </w:r>
    </w:p>
    <w:p>
      <w:pPr>
        <w:pStyle w:val="Heading1"/>
      </w:pPr>
      <w:r>
        <w:t>附录 B：两页 Concept Note 建议结构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86"/>
        <w:gridCol w:w="4986"/>
      </w:tblGrid>
      <w:tr>
        <w:trPr>
          <w:trHeight w:hRule="atLeast"/>
          <w:tblHeader w:val="true"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页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17365D"/>
          </w:tcPr>
          <w:p>
            <w:pPr>
              <w:spacing w:after="0" w:before="0" w:line="252" w:lineRule="auto"/>
              <w:jc w:val="center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FFFFFF"/>
                <w:sz w:val="18"/>
              </w:rPr>
              <w:t>内容</w:t>
            </w:r>
          </w:p>
        </w:tc>
      </w:tr>
      <w:tr>
        <w:trPr>
          <w:trHeight w:hRule="atLeast"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第1页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题目；研究问题；现有 Stage 1A/1B/A1 结果；为什么还不足以投稿；拟补证据。</w:t>
            </w:r>
          </w:p>
        </w:tc>
      </w:tr>
      <w:tr>
        <w:trPr>
          <w:trHeight w:hRule="atLeast"/>
        </w:trPr>
        <w:tc>
          <w:tcPr>
            <w:tcW w:type="dxa" w:w="1417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第2页</w:t>
            </w:r>
          </w:p>
        </w:tc>
        <w:tc>
          <w:tcPr>
            <w:tcW w:type="dxa" w:w="7370"/>
            <w:vAlign w:val="center"/>
            <w:tcMar>
              <w:top w:w="80" w:type="dxa"/>
              <w:start w:w="90" w:type="dxa"/>
              <w:bottom w:w="80" w:type="dxa"/>
              <w:end w:w="90" w:type="dxa"/>
            </w:tcMar>
            <w:shd w:fill="EEF3F8"/>
          </w:tcPr>
          <w:p>
            <w:pPr>
              <w:spacing w:after="0" w:before="0" w:line="252" w:lineRule="auto"/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i w:val="0"/>
                <w:sz w:val="18"/>
              </w:rPr>
              <w:t>多 seed + local_epochs=5 + SCAFFOLD 的实验矩阵；16周时间表；希望老师回答的3个问题。</w:t>
            </w:r>
          </w:p>
        </w:tc>
      </w:tr>
    </w:tbl>
    <w:p>
      <w:pPr>
        <w:spacing w:after="0"/>
      </w:pPr>
    </w:p>
    <w:p>
      <w:pPr>
        <w:pStyle w:val="Heading1"/>
      </w:pPr>
      <w:r>
        <w:t>附录 C：向老师请教的三个问题</w:t>
      </w:r>
    </w:p>
    <w:p>
      <w:pPr>
        <w:spacing w:after="40" w:line="269" w:lineRule="auto"/>
        <w:ind w:left="312" w:hanging="255"/>
      </w:pPr>
      <w:r>
        <w:rPr>
          <w:rFonts w:ascii="Noto Sans CJK SC" w:hAnsi="Noto Sans CJK SC" w:eastAsia="Noto Sans CJK SC"/>
          <w:b/>
          <w:i w:val="0"/>
          <w:color w:val="17365D"/>
          <w:sz w:val="21"/>
        </w:rPr>
        <w:t xml:space="preserve">1. </w:t>
      </w:r>
      <w:r>
        <w:rPr>
          <w:rFonts w:ascii="Noto Sans CJK SC" w:hAnsi="Noto Sans CJK SC" w:eastAsia="Noto Sans CJK SC"/>
          <w:b w:val="0"/>
          <w:i w:val="0"/>
          <w:sz w:val="21"/>
        </w:rPr>
        <w:t>您认为论文主线应更强调“Non-IID 算法鲁棒性”，还是“智能交通场景中的可复现联邦学习评估”？</w:t>
      </w:r>
    </w:p>
    <w:p>
      <w:pPr>
        <w:spacing w:after="40" w:line="269" w:lineRule="auto"/>
        <w:ind w:left="312" w:hanging="255"/>
      </w:pPr>
      <w:r>
        <w:rPr>
          <w:rFonts w:ascii="Noto Sans CJK SC" w:hAnsi="Noto Sans CJK SC" w:eastAsia="Noto Sans CJK SC"/>
          <w:b/>
          <w:i w:val="0"/>
          <w:color w:val="17365D"/>
          <w:sz w:val="21"/>
        </w:rPr>
        <w:t xml:space="preserve">2. </w:t>
      </w:r>
      <w:r>
        <w:rPr>
          <w:rFonts w:ascii="Noto Sans CJK SC" w:hAnsi="Noto Sans CJK SC" w:eastAsia="Noto Sans CJK SC"/>
          <w:b w:val="0"/>
          <w:i w:val="0"/>
          <w:sz w:val="21"/>
        </w:rPr>
        <w:t>在补多 seed 和压力实验后，是否需要 SCAFFOLD 才足以形成论文，还是应优先加入更真实的特征/场景异构？</w:t>
      </w:r>
    </w:p>
    <w:p>
      <w:pPr>
        <w:spacing w:after="40" w:line="269" w:lineRule="auto"/>
        <w:ind w:left="312" w:hanging="255"/>
      </w:pPr>
      <w:r>
        <w:rPr>
          <w:rFonts w:ascii="Noto Sans CJK SC" w:hAnsi="Noto Sans CJK SC" w:eastAsia="Noto Sans CJK SC"/>
          <w:b/>
          <w:i w:val="0"/>
          <w:color w:val="17365D"/>
          <w:sz w:val="21"/>
        </w:rPr>
        <w:t xml:space="preserve">3. </w:t>
      </w:r>
      <w:r>
        <w:rPr>
          <w:rFonts w:ascii="Noto Sans CJK SC" w:hAnsi="Noto Sans CJK SC" w:eastAsia="Noto Sans CJK SC"/>
          <w:b w:val="0"/>
          <w:i w:val="0"/>
          <w:sz w:val="21"/>
        </w:rPr>
        <w:t>从工作量和成熟度看，您建议先准备会议论文，还是直接按期刊完整度推进？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72"/>
      </w:tblGrid>
      <w:tr>
        <w:tc>
          <w:tcPr>
            <w:tcW w:type="dxa" w:w="9972"/>
            <w:shd w:fill="E9F3E5"/>
            <w:tcBorders>
              <w:top w:val="single" w:sz="10" w:color="729E57"/>
              <w:left w:val="single" w:sz="20" w:color="729E57"/>
              <w:bottom w:val="single" w:sz="10" w:color="729E57"/>
              <w:right w:val="single" w:sz="10" w:color="729E57"/>
            </w:tcBorders>
          </w:tcPr>
          <w:p>
            <w:pPr>
              <w:spacing w:after="60"/>
            </w:pPr>
            <w:r/>
            <w:r>
              <w:rPr>
                <w:rFonts w:ascii="Noto Sans CJK SC" w:hAnsi="Noto Sans CJK SC" w:eastAsia="Noto Sans CJK SC"/>
                <w:b/>
                <w:i w:val="0"/>
                <w:color w:val="1E462D"/>
                <w:sz w:val="21"/>
              </w:rPr>
              <w:t>最终原则</w:t>
            </w:r>
          </w:p>
          <w:p>
            <w:pPr>
              <w:spacing w:after="0" w:line="269" w:lineRule="auto"/>
            </w:pPr>
            <w:r>
              <w:rPr>
                <w:rFonts w:ascii="Noto Sans CJK SC" w:hAnsi="Noto Sans CJK SC" w:eastAsia="Noto Sans CJK SC"/>
                <w:b w:val="0"/>
                <w:i w:val="0"/>
                <w:sz w:val="20"/>
              </w:rPr>
              <w:t>先把一个研究问题做深、做稳、做可复现，再考虑扩展更多算法和场景。论文的价值来自可信的证据与清楚的边界，而不是实验数量本身。</w:t>
            </w:r>
          </w:p>
        </w:tc>
      </w:tr>
    </w:tbl>
    <w:p>
      <w:pPr>
        <w:spacing w:after="0"/>
      </w:pPr>
    </w:p>
    <w:sectPr w:rsidR="00FC693F" w:rsidRPr="0006063C" w:rsidSect="00034616">
      <w:footerReference w:type="default" r:id="rId9"/>
      <w:pgSz w:w="12240" w:h="15840"/>
      <w:pgMar w:top="1020" w:right="1134" w:bottom="964" w:left="1134" w:header="397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b w:val="0"/>
        <w:i w:val="0"/>
        <w:color w:val="5A646E"/>
        <w:sz w:val="17"/>
      </w:rPr>
      <w:t xml:space="preserve">GTSRB 联邦学习论文路线规划 v1.0  |  </w:t>
    </w:r>
    <w:r>
      <w:rPr>
        <w:rFonts w:ascii="Noto Sans CJK SC" w:hAnsi="Noto Sans CJK SC" w:eastAsia="Noto Sans CJK SC"/>
        <w:b w:val="0"/>
        <w:i w:val="0"/>
        <w:color w:val="5A646E"/>
        <w:sz w:val="17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80"/>
    </w:pPr>
    <w:rPr>
      <w:rFonts w:ascii="Noto Sans CJK SC" w:hAnsi="Noto Sans CJK SC" w:eastAsia="Noto Sans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65A6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2465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以论文发表为目标的GTSRB联邦学习后续研究与投稿规划 v1.0</dc:title>
  <dc:subject>Federated Learning paper roadmap, communication and submission strategy</dc:subject>
  <dc:creator>Ma He</dc:creator>
  <cp:keywords>Federated Learning, GTSRB, FedAvg, FedProx, SCAFFOLD, Non-IID, publication roadmap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