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Noto Sans CJK SC" w:hAnsi="Noto Sans CJK SC" w:eastAsia="Noto Sans CJK SC"/>
          <w:b/>
          <w:color w:val="1F7A8C"/>
          <w:sz w:val="36"/>
        </w:rPr>
        <w:t>Vehicle-to-Cloud Federated Learning</w:t>
      </w:r>
    </w:p>
    <w:p>
      <w:pPr>
        <w:spacing w:after="160"/>
        <w:jc w:val="center"/>
      </w:pPr>
      <w:r>
        <w:rPr>
          <w:rFonts w:ascii="Noto Serif CJK SC" w:hAnsi="Noto Serif CJK SC" w:eastAsia="Noto Serif CJK SC"/>
          <w:b/>
          <w:color w:val="17365D"/>
          <w:sz w:val="50"/>
        </w:rPr>
        <w:t>阶段 1C：多联邦算法、FedBN 场景异构与通信优化</w:t>
      </w:r>
    </w:p>
    <w:p>
      <w:pPr>
        <w:spacing w:after="520"/>
        <w:jc w:val="center"/>
      </w:pPr>
      <w:r>
        <w:rPr>
          <w:rFonts w:ascii="Noto Sans CJK SC" w:hAnsi="Noto Sans CJK SC" w:eastAsia="Noto Sans CJK SC"/>
          <w:color w:val="2F5597"/>
          <w:sz w:val="30"/>
        </w:rPr>
        <w:t>实施规划、实验设计与项目交接文档</w:t>
      </w:r>
    </w:p>
    <w:tbl>
      <w:tblPr>
        <w:tblW w:type="auto" w:w="0"/>
        <w:jc w:val="center"/>
        <w:tblLayout w:type="fixed"/>
        <w:tblLook w:firstColumn="1" w:firstRow="1" w:lastColumn="0" w:lastRow="0" w:noHBand="0" w:noVBand="1" w:val="04A0"/>
      </w:tblPr>
      <w:tblGrid>
        <w:gridCol w:w="3213"/>
        <w:gridCol w:w="3213"/>
        <w:gridCol w:w="3213"/>
      </w:tblGrid>
      <w:tr>
        <w:tc>
          <w:tcPr>
            <w:tcW w:type="dxa" w:w="2154"/>
            <w:shd w:fill="2F5597"/>
            <w:tcMar>
              <w:top w:w="25" w:type="dxa"/>
              <w:start w:w="0" w:type="dxa"/>
              <w:bottom w:w="25" w:type="dxa"/>
              <w:end w:w="0" w:type="dxa"/>
            </w:tcMar>
            <w:tcBorders>
              <w:top w:val="nil"/>
              <w:left w:val="nil"/>
              <w:bottom w:val="nil"/>
              <w:right w:val="nil"/>
            </w:tcBorders>
          </w:tcPr>
          <w:p/>
        </w:tc>
        <w:tc>
          <w:tcPr>
            <w:tcW w:type="dxa" w:w="4252"/>
            <w:shd w:fill="1F7A8C"/>
            <w:tcMar>
              <w:top w:w="25" w:type="dxa"/>
              <w:start w:w="0" w:type="dxa"/>
              <w:bottom w:w="25" w:type="dxa"/>
              <w:end w:w="0" w:type="dxa"/>
            </w:tcMar>
            <w:tcBorders>
              <w:top w:val="nil"/>
              <w:left w:val="nil"/>
              <w:bottom w:val="nil"/>
              <w:right w:val="nil"/>
            </w:tcBorders>
          </w:tcPr>
          <w:p/>
        </w:tc>
        <w:tc>
          <w:tcPr>
            <w:tcW w:type="dxa" w:w="2154"/>
            <w:shd w:fill="2F5597"/>
            <w:tcMar>
              <w:top w:w="25" w:type="dxa"/>
              <w:start w:w="0" w:type="dxa"/>
              <w:bottom w:w="25" w:type="dxa"/>
              <w:end w:w="0" w:type="dxa"/>
            </w:tcMar>
            <w:tcBorders>
              <w:top w:val="nil"/>
              <w:left w:val="nil"/>
              <w:bottom w:val="nil"/>
              <w:right w:val="nil"/>
            </w:tcBorders>
          </w:tcPr>
          <w:p/>
        </w:tc>
      </w:tr>
    </w:tbl>
    <w:p>
      <w:pPr>
        <w:spacing w:after="280"/>
      </w:pPr>
    </w:p>
    <w:tbl>
      <w:tblPr>
        <w:tblW w:type="auto" w:w="0"/>
        <w:jc w:val="center"/>
        <w:tblLook w:firstColumn="1" w:firstRow="1" w:lastColumn="0" w:lastRow="0" w:noHBand="0" w:noVBand="1" w:val="04A0"/>
      </w:tblPr>
      <w:tblGrid>
        <w:gridCol w:w="9638"/>
      </w:tblGrid>
      <w:tr>
        <w:tc>
          <w:tcPr>
            <w:tcW w:type="dxa" w:w="9638"/>
            <w:shd w:fill="DDEFEF"/>
            <w:tcBorders>
              <w:top w:sz="4" w:val="single" w:color="1F7A8C"/>
              <w:left w:sz="14" w:val="single" w:color="1F7A8C"/>
              <w:bottom w:sz="4" w:val="single" w:color="1F7A8C"/>
              <w:right w:sz="4" w:val="single" w:color="1F7A8C"/>
            </w:tcBorders>
            <w:tcMar>
              <w:top w:w="110" w:type="dxa"/>
              <w:start w:w="130" w:type="dxa"/>
              <w:bottom w:w="110" w:type="dxa"/>
              <w:end w:w="130" w:type="dxa"/>
            </w:tcMar>
          </w:tcPr>
          <w:p>
            <w:pPr>
              <w:spacing w:after="80"/>
            </w:pPr>
            <w:r>
              <w:rPr>
                <w:rFonts w:ascii="Noto Sans CJK SC" w:hAnsi="Noto Sans CJK SC" w:eastAsia="Noto Sans CJK SC"/>
                <w:b/>
                <w:color w:val="1F7A8C"/>
                <w:sz w:val="20"/>
              </w:rPr>
              <w:t>文档定位</w:t>
            </w:r>
          </w:p>
          <w:p>
            <w:pPr>
              <w:spacing w:after="0" w:line="276" w:lineRule="auto"/>
            </w:pPr>
            <w:r>
              <w:rPr>
                <w:rFonts w:ascii="Noto Sans CJK SC" w:hAnsi="Noto Sans CJK SC" w:eastAsia="Noto Sans CJK SC"/>
                <w:color w:val="253246"/>
                <w:sz w:val="19"/>
              </w:rPr>
              <w:t>本文件用于让新的 AI、开发人员或研究人员在不重新梳理全部历史对话的情况下，理解 Stage 1C 为什么这样设计、哪些内容已经完成、哪些内容尚未实现，以及下一步应按什么顺序继续工作。</w:t>
            </w:r>
          </w:p>
        </w:tc>
      </w:tr>
    </w:tbl>
    <w:p>
      <w:pPr>
        <w:spacing w:after="0"/>
      </w:pP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项目</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内容</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文档版本</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v1.0</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编制日期</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2026-07-23</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当前状态</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Stage 1C 规划完成，尚未开始正式算法实现</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基础数据集</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GTSRB，43 类交通标志分类</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联邦框架</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TensorFlow Federated（沿用 Stage 1A / 1B 环境）</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基线客户端</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5 个客户端，每轮全部参与</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D9EAF7"/>
          </w:tcPr>
          <w:p>
            <w:pPr>
              <w:spacing w:after="0" w:before="0" w:line="240" w:lineRule="auto"/>
            </w:pPr>
            <w:r>
              <w:rPr>
                <w:rFonts w:ascii="Noto Sans CJK SC" w:hAnsi="Noto Sans CJK SC" w:eastAsia="Noto Sans CJK SC"/>
                <w:b/>
                <w:color w:val="17365D"/>
                <w:sz w:val="18"/>
              </w:rPr>
              <w:t>主要研究轴</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标签异构算法｜特征/场景异构 FedBN｜通信压缩</w:t>
            </w:r>
          </w:p>
        </w:tc>
      </w:tr>
    </w:tbl>
    <w:p>
      <w:pPr>
        <w:spacing w:after="0"/>
      </w:pPr>
    </w:p>
    <w:p>
      <w:pPr>
        <w:pStyle w:val="SmallNote"/>
        <w:spacing w:after="100" w:line="293" w:lineRule="auto"/>
        <w:jc w:val="center"/>
      </w:pPr>
      <w:r>
        <w:rPr>
          <w:rFonts w:ascii="Noto Sans CJK SC" w:hAnsi="Noto Sans CJK SC" w:eastAsia="Noto Sans CJK SC"/>
          <w:i w:val="0"/>
        </w:rPr>
        <w:t>依据文件：Stage 1A 工作说明、Stage 1B Dirichlet Non-IID 技术报告、两份前期思路文档及相关文献清单。</w:t>
      </w:r>
    </w:p>
    <w:p>
      <w:r>
        <w:br w:type="page"/>
      </w:r>
    </w:p>
    <w:p>
      <w:pPr>
        <w:pStyle w:val="Heading1"/>
        <w:keepNext/>
      </w:pPr>
      <w:r>
        <w:rPr>
          <w:rFonts w:ascii="Noto Sans CJK SC" w:hAnsi="Noto Sans CJK SC" w:eastAsia="Noto Sans CJK SC"/>
        </w:rPr>
        <w:t>文档目录</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20"/>
              </w:rPr>
              <w:t>编号</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20"/>
              </w:rPr>
              <w:t>章节</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1</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背景、已完成工作与 Stage 1C 定位</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jc w:val="center"/>
            </w:pPr>
            <w:r>
              <w:rPr>
                <w:rFonts w:ascii="Noto Sans CJK SC" w:hAnsi="Noto Sans CJK SC" w:eastAsia="Noto Sans CJK SC"/>
                <w:sz w:val="20"/>
              </w:rPr>
              <w:t>2</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20"/>
              </w:rPr>
              <w:t>关键概念修正与统一决策</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3</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Stage 1C 总体架构与实施顺序</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jc w:val="center"/>
            </w:pPr>
            <w:r>
              <w:rPr>
                <w:rFonts w:ascii="Noto Sans CJK SC" w:hAnsi="Noto Sans CJK SC" w:eastAsia="Noto Sans CJK SC"/>
                <w:sz w:val="20"/>
              </w:rPr>
              <w:t>4</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20"/>
              </w:rPr>
              <w:t>统一实验基础与控制变量</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5</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Stage 1C-A：标签异构下的联邦算法比较</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jc w:val="center"/>
            </w:pPr>
            <w:r>
              <w:rPr>
                <w:rFonts w:ascii="Noto Sans CJK SC" w:hAnsi="Noto Sans CJK SC" w:eastAsia="Noto Sans CJK SC"/>
                <w:sz w:val="20"/>
              </w:rPr>
              <w:t>6</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20"/>
              </w:rPr>
              <w:t>Stage 1C-B：FedBN 与场景/特征异构</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7</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Stage 1C-C：通信压缩与通信效率</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jc w:val="center"/>
            </w:pPr>
            <w:r>
              <w:rPr>
                <w:rFonts w:ascii="Noto Sans CJK SC" w:hAnsi="Noto Sans CJK SC" w:eastAsia="Noto Sans CJK SC"/>
                <w:sz w:val="20"/>
              </w:rPr>
              <w:t>8</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20"/>
              </w:rPr>
              <w:t>统一工程结构、配置、日志与 checkpoint</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9</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统一评价指标、图表与论文分析框架</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jc w:val="center"/>
            </w:pPr>
            <w:r>
              <w:rPr>
                <w:rFonts w:ascii="Noto Sans CJK SC" w:hAnsi="Noto Sans CJK SC" w:eastAsia="Noto Sans CJK SC"/>
                <w:sz w:val="20"/>
              </w:rPr>
              <w:t>10</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20"/>
              </w:rPr>
              <w:t>执行计划、里程碑与验收标准</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11</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风险、常见错误与禁止事项</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jc w:val="center"/>
            </w:pPr>
            <w:r>
              <w:rPr>
                <w:rFonts w:ascii="Noto Sans CJK SC" w:hAnsi="Noto Sans CJK SC" w:eastAsia="Noto Sans CJK SC"/>
                <w:sz w:val="20"/>
              </w:rPr>
              <w:t>12</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20"/>
              </w:rPr>
              <w:t>Decision Log 与 AI 交接清单</w:t>
            </w:r>
          </w:p>
        </w:tc>
      </w:tr>
      <w:tr>
        <w:trPr>
          <w:cantSplit/>
        </w:trPr>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jc w:val="center"/>
            </w:pPr>
            <w:r>
              <w:rPr>
                <w:rFonts w:ascii="Noto Sans CJK SC" w:hAnsi="Noto Sans CJK SC" w:eastAsia="Noto Sans CJK SC"/>
                <w:sz w:val="20"/>
              </w:rPr>
              <w:t>附录</w:t>
            </w:r>
          </w:p>
        </w:tc>
        <w:tc>
          <w:tcPr>
            <w:tcW w:type="dxa" w:w="782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20"/>
              </w:rPr>
              <w:t>命令模板、结果表模板与资料来源</w:t>
            </w:r>
          </w:p>
        </w:tc>
      </w:tr>
    </w:tbl>
    <w:p>
      <w:pPr>
        <w:spacing w:after="0"/>
      </w:pPr>
    </w:p>
    <w:tbl>
      <w:tblPr>
        <w:tblW w:type="auto" w:w="0"/>
        <w:jc w:val="center"/>
        <w:tblLook w:firstColumn="1" w:firstRow="1" w:lastColumn="0" w:lastRow="0" w:noHBand="0" w:noVBand="1" w:val="04A0"/>
      </w:tblPr>
      <w:tblGrid>
        <w:gridCol w:w="9638"/>
      </w:tblGrid>
      <w:tr>
        <w:tc>
          <w:tcPr>
            <w:tcW w:type="dxa" w:w="9638"/>
            <w:shd w:fill="EEF5FB"/>
            <w:tcBorders>
              <w:top w:sz="4" w:val="single" w:color="2F5597"/>
              <w:left w:sz="14" w:val="single" w:color="2F5597"/>
              <w:bottom w:sz="4" w:val="single" w:color="2F5597"/>
              <w:right w:sz="4" w:val="single" w:color="2F5597"/>
            </w:tcBorders>
            <w:tcMar>
              <w:top w:w="110" w:type="dxa"/>
              <w:start w:w="130" w:type="dxa"/>
              <w:bottom w:w="110" w:type="dxa"/>
              <w:end w:w="130" w:type="dxa"/>
            </w:tcMar>
          </w:tcPr>
          <w:p>
            <w:pPr>
              <w:spacing w:after="80"/>
            </w:pPr>
            <w:r>
              <w:rPr>
                <w:rFonts w:ascii="Noto Sans CJK SC" w:hAnsi="Noto Sans CJK SC" w:eastAsia="Noto Sans CJK SC"/>
                <w:b/>
                <w:color w:val="2F5597"/>
                <w:sz w:val="20"/>
              </w:rPr>
              <w:t>阅读建议</w:t>
            </w:r>
          </w:p>
          <w:p>
            <w:pPr>
              <w:spacing w:after="0" w:line="276" w:lineRule="auto"/>
            </w:pPr>
            <w:r>
              <w:rPr>
                <w:rFonts w:ascii="Noto Sans CJK SC" w:hAnsi="Noto Sans CJK SC" w:eastAsia="Noto Sans CJK SC"/>
                <w:color w:val="253246"/>
                <w:sz w:val="19"/>
              </w:rPr>
              <w:t>第一次接手项目时，优先阅读第 1～4 章和第 12 章；开始写代码前阅读对应子阶段章节；准备论文或报告时重点阅读第 9 章。</w:t>
            </w:r>
          </w:p>
        </w:tc>
      </w:tr>
    </w:tbl>
    <w:p>
      <w:pPr>
        <w:spacing w:after="0"/>
      </w:pPr>
    </w:p>
    <w:p>
      <w:r>
        <w:br w:type="page"/>
      </w:r>
    </w:p>
    <w:p>
      <w:pPr>
        <w:pStyle w:val="Heading1"/>
        <w:keepNext/>
      </w:pPr>
      <w:r>
        <w:rPr>
          <w:rFonts w:ascii="Noto Sans CJK SC" w:hAnsi="Noto Sans CJK SC" w:eastAsia="Noto Sans CJK SC"/>
        </w:rPr>
        <w:t>1. 背景、已完成工作与 Stage 1C 定位</w:t>
      </w:r>
    </w:p>
    <w:p>
      <w:pPr>
        <w:pStyle w:val="Heading2"/>
        <w:keepNext/>
      </w:pPr>
      <w:r>
        <w:rPr>
          <w:rFonts w:ascii="Noto Sans CJK SC" w:hAnsi="Noto Sans CJK SC" w:eastAsia="Noto Sans CJK SC"/>
        </w:rPr>
        <w:t>1.1 项目总目标</w:t>
      </w:r>
    </w:p>
    <w:p>
      <w:pPr>
        <w:spacing w:after="100" w:line="293" w:lineRule="auto"/>
      </w:pPr>
      <w:r>
        <w:rPr>
          <w:rFonts w:ascii="Noto Sans CJK SC" w:hAnsi="Noto Sans CJK SC" w:eastAsia="Noto Sans CJK SC"/>
          <w:i w:val="0"/>
        </w:rPr>
        <w:t>项目总体方向是构建一个面向车端/云端交通标志识别的联邦学习实验链路：各客户端在不上传原始图片的情况下完成本地训练，只向服务器上传模型参数或参数更新；服务器聚合后形成新的共享模型，再下发给客户端继续训练。前期规划已经明确，第一阶段聚焦 GTSRB，后续再扩展到仿真和 BDD100K。</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总体技术链路</w:t>
            </w:r>
          </w:p>
          <w:p>
            <w:pPr>
              <w:spacing w:after="0" w:before="0" w:line="240" w:lineRule="auto"/>
            </w:pPr>
            <w:r>
              <w:rPr>
                <w:rFonts w:ascii="Noto Sans Mono CJK SC" w:hAnsi="Noto Sans Mono CJK SC" w:eastAsia="Noto Sans Mono CJK SC"/>
                <w:color w:val="1F2937"/>
                <w:sz w:val="16"/>
              </w:rPr>
              <w:t>GTSRB 数据与客户端划分</w:t>
            </w:r>
          </w:p>
          <w:p>
            <w:pPr>
              <w:spacing w:after="0" w:before="0" w:line="240" w:lineRule="auto"/>
            </w:pPr>
            <w:r>
              <w:rPr>
                <w:rFonts w:ascii="Noto Sans Mono CJK SC" w:hAnsi="Noto Sans Mono CJK SC" w:eastAsia="Noto Sans Mono CJK SC"/>
                <w:color w:val="1F2937"/>
                <w:sz w:val="16"/>
              </w:rPr>
              <w:t>→ 本地训练</w:t>
            </w:r>
          </w:p>
          <w:p>
            <w:pPr>
              <w:spacing w:after="0" w:before="0" w:line="240" w:lineRule="auto"/>
            </w:pPr>
            <w:r>
              <w:rPr>
                <w:rFonts w:ascii="Noto Sans Mono CJK SC" w:hAnsi="Noto Sans Mono CJK SC" w:eastAsia="Noto Sans Mono CJK SC"/>
                <w:color w:val="1F2937"/>
                <w:sz w:val="16"/>
              </w:rPr>
              <w:t>→ 上传模型更新</w:t>
            </w:r>
          </w:p>
          <w:p>
            <w:pPr>
              <w:spacing w:after="0" w:before="0" w:line="240" w:lineRule="auto"/>
            </w:pPr>
            <w:r>
              <w:rPr>
                <w:rFonts w:ascii="Noto Sans Mono CJK SC" w:hAnsi="Noto Sans Mono CJK SC" w:eastAsia="Noto Sans Mono CJK SC"/>
                <w:color w:val="1F2937"/>
                <w:sz w:val="16"/>
              </w:rPr>
              <w:t>→ 服务器聚合</w:t>
            </w:r>
          </w:p>
          <w:p>
            <w:pPr>
              <w:spacing w:after="0" w:before="0" w:line="240" w:lineRule="auto"/>
            </w:pPr>
            <w:r>
              <w:rPr>
                <w:rFonts w:ascii="Noto Sans Mono CJK SC" w:hAnsi="Noto Sans Mono CJK SC" w:eastAsia="Noto Sans Mono CJK SC"/>
                <w:color w:val="1F2937"/>
                <w:sz w:val="16"/>
              </w:rPr>
              <w:t>→ 下发全局模型</w:t>
            </w:r>
          </w:p>
          <w:p>
            <w:pPr>
              <w:spacing w:after="0" w:before="0" w:line="240" w:lineRule="auto"/>
            </w:pPr>
            <w:r>
              <w:rPr>
                <w:rFonts w:ascii="Noto Sans Mono CJK SC" w:hAnsi="Noto Sans Mono CJK SC" w:eastAsia="Noto Sans Mono CJK SC"/>
                <w:color w:val="1F2937"/>
                <w:sz w:val="16"/>
              </w:rPr>
              <w:t>→ 多轮通信</w:t>
            </w:r>
          </w:p>
          <w:p>
            <w:pPr>
              <w:spacing w:after="0" w:before="0" w:line="240" w:lineRule="auto"/>
            </w:pPr>
            <w:r>
              <w:rPr>
                <w:rFonts w:ascii="Noto Sans Mono CJK SC" w:hAnsi="Noto Sans Mono CJK SC" w:eastAsia="Noto Sans Mono CJK SC"/>
                <w:color w:val="1F2937"/>
                <w:sz w:val="16"/>
              </w:rPr>
              <w:t>→ 官方测试集评价</w:t>
            </w:r>
          </w:p>
          <w:p>
            <w:pPr>
              <w:spacing w:after="0" w:before="0" w:line="240" w:lineRule="auto"/>
            </w:pPr>
            <w:r>
              <w:rPr>
                <w:rFonts w:ascii="Noto Sans Mono CJK SC" w:hAnsi="Noto Sans Mono CJK SC" w:eastAsia="Noto Sans Mono CJK SC"/>
                <w:color w:val="1F2937"/>
                <w:sz w:val="16"/>
              </w:rPr>
              <w:t>→ 后续识别结果驱动小车规则/仿真</w:t>
            </w:r>
          </w:p>
        </w:tc>
      </w:tr>
    </w:tbl>
    <w:p>
      <w:pPr>
        <w:spacing w:after="0"/>
      </w:pPr>
    </w:p>
    <w:p>
      <w:pPr>
        <w:pStyle w:val="Heading2"/>
        <w:keepNext/>
      </w:pPr>
      <w:r>
        <w:rPr>
          <w:rFonts w:ascii="Noto Sans CJK SC" w:hAnsi="Noto Sans CJK SC" w:eastAsia="Noto Sans CJK SC"/>
        </w:rPr>
        <w:t>1.2 Stage 1A 已完成内容</w:t>
      </w:r>
    </w:p>
    <w:p>
      <w:pPr>
        <w:spacing w:after="100" w:line="293" w:lineRule="auto"/>
      </w:pPr>
      <w:r>
        <w:rPr>
          <w:rFonts w:ascii="Noto Sans CJK SC" w:hAnsi="Noto Sans CJK SC" w:eastAsia="Noto Sans CJK SC"/>
          <w:i w:val="0"/>
        </w:rPr>
        <w:t>Stage 1A 已完成 GTSRB 上的完整 TFF 联邦学习基线，主要用于验证工程链路，而不是追求复杂算法创新。最终采用统一的无 Batch Normalization CNN，并完成 Centralized、Local-only 和 Weighted FedAvg 三组实验。</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项目</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Stage 1A 状态</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数据集</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GTSRB：39,209 张训练图像、12,630 张官方测试图像、43 类</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客户端</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5 个客户端，按类别分层近似 IID 划分</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模型</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32×32×3 输入的无 BN CNN，输出 43 个 logits</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FedAvg</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160 轮，5 个客户端每轮全部参与，local_epochs=1</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结果</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FedAvg Test Accuracy 92.6049%，Macro Class Accuracy 89.4405%</w:t>
            </w:r>
          </w:p>
        </w:tc>
      </w:tr>
      <w:tr>
        <w:trPr>
          <w:cantSplit/>
        </w:trPr>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工程能力</w:t>
            </w:r>
          </w:p>
        </w:tc>
        <w:tc>
          <w:tcPr>
            <w:tcW w:type="dxa" w:w="669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日志、通信量估算、模型导出、NPZ checkpoint 与恢复</w:t>
            </w:r>
          </w:p>
        </w:tc>
      </w:tr>
    </w:tbl>
    <w:p>
      <w:pPr>
        <w:spacing w:after="0"/>
      </w:pPr>
    </w:p>
    <w:tbl>
      <w:tblPr>
        <w:tblW w:type="auto" w:w="0"/>
        <w:jc w:val="center"/>
        <w:tblLook w:firstColumn="1" w:firstRow="1" w:lastColumn="0" w:lastRow="0" w:noHBand="0" w:noVBand="1" w:val="04A0"/>
      </w:tblPr>
      <w:tblGrid>
        <w:gridCol w:w="9638"/>
      </w:tblGrid>
      <w:tr>
        <w:tc>
          <w:tcPr>
            <w:tcW w:type="dxa" w:w="9638"/>
            <w:shd w:fill="FCE4D6"/>
            <w:tcBorders>
              <w:top w:sz="4" w:val="single" w:color="C65911"/>
              <w:left w:sz="14" w:val="single" w:color="C65911"/>
              <w:bottom w:sz="4" w:val="single" w:color="C65911"/>
              <w:right w:sz="4" w:val="single" w:color="C65911"/>
            </w:tcBorders>
            <w:tcMar>
              <w:top w:w="110" w:type="dxa"/>
              <w:start w:w="130" w:type="dxa"/>
              <w:bottom w:w="110" w:type="dxa"/>
              <w:end w:w="130" w:type="dxa"/>
            </w:tcMar>
          </w:tcPr>
          <w:p>
            <w:pPr>
              <w:spacing w:after="80"/>
            </w:pPr>
            <w:r>
              <w:rPr>
                <w:rFonts w:ascii="Noto Sans CJK SC" w:hAnsi="Noto Sans CJK SC" w:eastAsia="Noto Sans CJK SC"/>
                <w:b/>
                <w:color w:val="C65911"/>
                <w:sz w:val="20"/>
              </w:rPr>
              <w:t>重要历史问题：为什么最终模型不含 BN</w:t>
            </w:r>
          </w:p>
          <w:p>
            <w:pPr>
              <w:spacing w:after="0" w:line="276" w:lineRule="auto"/>
            </w:pPr>
            <w:r>
              <w:rPr>
                <w:rFonts w:ascii="Noto Sans CJK SC" w:hAnsi="Noto Sans CJK SC" w:eastAsia="Noto Sans CJK SC"/>
                <w:color w:val="253246"/>
                <w:sz w:val="19"/>
              </w:rPr>
              <w:t>最初的带 BN CNN 在当前 TFF FedAvg 状态处理下出现“客户端训练准确率很高，但全局验证与官方测试接近随机”的现象。诊断指向 BN moving_mean / moving_variance 等 non-trainable statistics 没有被正确维护、聚合或导出。因此 Stage 1A 为建立可靠基线而统一删除 BN。</w:t>
            </w:r>
          </w:p>
        </w:tc>
      </w:tr>
    </w:tbl>
    <w:p>
      <w:pPr>
        <w:spacing w:after="0"/>
      </w:pPr>
    </w:p>
    <w:p>
      <w:pPr>
        <w:pStyle w:val="Heading2"/>
        <w:keepNext/>
      </w:pPr>
      <w:r>
        <w:rPr>
          <w:rFonts w:ascii="Noto Sans CJK SC" w:hAnsi="Noto Sans CJK SC" w:eastAsia="Noto Sans CJK SC"/>
        </w:rPr>
        <w:t>1.3 Stage 1B 已完成内容与问题发现</w:t>
      </w:r>
    </w:p>
    <w:p>
      <w:pPr>
        <w:spacing w:after="100" w:line="293" w:lineRule="auto"/>
      </w:pPr>
      <w:r>
        <w:rPr>
          <w:rFonts w:ascii="Noto Sans CJK SC" w:hAnsi="Noto Sans CJK SC" w:eastAsia="Noto Sans CJK SC"/>
          <w:i w:val="0"/>
        </w:rPr>
        <w:t>Stage 1B 在完全冻结 Stage 1A 模型和训练配置的前提下，只改变客户端训练数据划分，构造 Dirichlet Label Skew。四种 α 值形成从近 IID 到极端 Non-IID 的连续梯度，并固定保存为可复用的客户端 CSV。</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划分</w:t>
            </w:r>
          </w:p>
        </w:tc>
        <w:tc>
          <w:tcPr>
            <w:tcW w:type="dxa" w:w="85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α</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Mean JS</w:t>
            </w:r>
          </w:p>
        </w:tc>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Test Acc</w:t>
            </w:r>
          </w:p>
        </w:tc>
        <w:tc>
          <w:tcPr>
            <w:tcW w:type="dxa" w:w="153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Macro Acc</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Best Round</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IID</w:t>
            </w:r>
          </w:p>
        </w:tc>
        <w:tc>
          <w:tcPr>
            <w:tcW w:type="dxa" w:w="85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0.000000</w:t>
            </w:r>
          </w:p>
        </w:tc>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92.6049%</w:t>
            </w:r>
          </w:p>
        </w:tc>
        <w:tc>
          <w:tcPr>
            <w:tcW w:type="dxa" w:w="153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89.4405%</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152</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Dirichlet</w:t>
            </w:r>
          </w:p>
        </w:tc>
        <w:tc>
          <w:tcPr>
            <w:tcW w:type="dxa" w:w="85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10</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0.008460</w:t>
            </w:r>
          </w:p>
        </w:tc>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92.3911%</w:t>
            </w:r>
          </w:p>
        </w:tc>
        <w:tc>
          <w:tcPr>
            <w:tcW w:type="dxa" w:w="153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89.3823%</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157</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Dirichlet</w:t>
            </w:r>
          </w:p>
        </w:tc>
        <w:tc>
          <w:tcPr>
            <w:tcW w:type="dxa" w:w="85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1.0</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0.088009</w:t>
            </w:r>
          </w:p>
        </w:tc>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92.6049%</w:t>
            </w:r>
          </w:p>
        </w:tc>
        <w:tc>
          <w:tcPr>
            <w:tcW w:type="dxa" w:w="153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89.4907%</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160</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Dirichlet</w:t>
            </w:r>
          </w:p>
        </w:tc>
        <w:tc>
          <w:tcPr>
            <w:tcW w:type="dxa" w:w="85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0.5</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0.133792</w:t>
            </w:r>
          </w:p>
        </w:tc>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91.7736%</w:t>
            </w:r>
          </w:p>
        </w:tc>
        <w:tc>
          <w:tcPr>
            <w:tcW w:type="dxa" w:w="153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87.2721%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158</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Dirichlet</w:t>
            </w:r>
          </w:p>
        </w:tc>
        <w:tc>
          <w:tcPr>
            <w:tcW w:type="dxa" w:w="85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0.1</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0.314775</w:t>
            </w:r>
          </w:p>
        </w:tc>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71.4885%</w:t>
            </w:r>
          </w:p>
        </w:tc>
        <w:tc>
          <w:tcPr>
            <w:tcW w:type="dxa" w:w="153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69.4158%</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156</w:t>
            </w:r>
          </w:p>
        </w:tc>
      </w:tr>
    </w:tbl>
    <w:p>
      <w:pPr>
        <w:spacing w:after="0"/>
      </w:pPr>
    </w:p>
    <w:p>
      <w:pPr>
        <w:spacing w:after="100" w:line="293" w:lineRule="auto"/>
      </w:pPr>
      <w:r>
        <w:rPr>
          <w:rFonts w:ascii="Noto Sans CJK SC" w:hAnsi="Noto Sans CJK SC" w:eastAsia="Noto Sans CJK SC"/>
          <w:i w:val="0"/>
        </w:rPr>
        <w:t>Stage 1B 的关键发现不是“所有 Non-IID 都会让 FedAvg 变差”，而是：在当前 5 客户端、全参与、local epoch=1 的条件下，FedAvg 对轻中度标签偏斜较鲁棒；当 α=0.1 时出现断崖式退化，并伴随多个类别准确率为 0 和系统性类别混淆。</w:t>
      </w:r>
    </w:p>
    <w:p>
      <w:pPr>
        <w:pStyle w:val="Heading2"/>
        <w:keepNext/>
      </w:pPr>
      <w:r>
        <w:rPr>
          <w:rFonts w:ascii="Noto Sans CJK SC" w:hAnsi="Noto Sans CJK SC" w:eastAsia="Noto Sans CJK SC"/>
        </w:rPr>
        <w:t>1.4 Stage 1C 的研究定位</w:t>
      </w:r>
    </w:p>
    <w:tbl>
      <w:tblPr>
        <w:tblW w:type="auto" w:w="0"/>
        <w:jc w:val="center"/>
        <w:tblLook w:firstColumn="1" w:firstRow="1" w:lastColumn="0" w:lastRow="0" w:noHBand="0" w:noVBand="1" w:val="04A0"/>
      </w:tblPr>
      <w:tblGrid>
        <w:gridCol w:w="9638"/>
      </w:tblGrid>
      <w:tr>
        <w:tc>
          <w:tcPr>
            <w:tcW w:type="dxa" w:w="9638"/>
            <w:shd w:fill="DDEFEF"/>
            <w:tcBorders>
              <w:top w:sz="4" w:val="single" w:color="1F7A8C"/>
              <w:left w:sz="14" w:val="single" w:color="1F7A8C"/>
              <w:bottom w:sz="4" w:val="single" w:color="1F7A8C"/>
              <w:right w:sz="4" w:val="single" w:color="1F7A8C"/>
            </w:tcBorders>
            <w:tcMar>
              <w:top w:w="110" w:type="dxa"/>
              <w:start w:w="130" w:type="dxa"/>
              <w:bottom w:w="110" w:type="dxa"/>
              <w:end w:w="130" w:type="dxa"/>
            </w:tcMar>
          </w:tcPr>
          <w:p>
            <w:pPr>
              <w:spacing w:after="80"/>
            </w:pPr>
            <w:r>
              <w:rPr>
                <w:rFonts w:ascii="Noto Sans CJK SC" w:hAnsi="Noto Sans CJK SC" w:eastAsia="Noto Sans CJK SC"/>
                <w:b/>
                <w:color w:val="1F7A8C"/>
                <w:sz w:val="20"/>
              </w:rPr>
              <w:t>Stage 1C 的核心问题</w:t>
            </w:r>
          </w:p>
          <w:p>
            <w:pPr>
              <w:spacing w:after="0" w:line="276" w:lineRule="auto"/>
            </w:pPr>
            <w:r>
              <w:rPr>
                <w:rFonts w:ascii="Noto Sans CJK SC" w:hAnsi="Noto Sans CJK SC" w:eastAsia="Noto Sans CJK SC"/>
                <w:color w:val="253246"/>
                <w:sz w:val="19"/>
              </w:rPr>
              <w:t>在不改变 GTSRB、客户端划分和主要训练预算的前提下，使用不同联邦机制研究：能否缓解 FedAvg 在强标签异构下的客户端漂移与类别失效；能否用 FedBN 处理客户端场景/特征分布差异；能否在保持性能的同时减少通信开销。</w:t>
            </w:r>
          </w:p>
        </w:tc>
      </w:tr>
    </w:tbl>
    <w:p>
      <w:pPr>
        <w:spacing w:after="0"/>
      </w:pPr>
    </w:p>
    <w:p>
      <w:pPr>
        <w:spacing w:after="100" w:line="293" w:lineRule="auto"/>
      </w:pPr>
      <w:r>
        <w:rPr>
          <w:rFonts w:ascii="Noto Sans CJK SC" w:hAnsi="Noto Sans CJK SC" w:eastAsia="Noto Sans CJK SC"/>
          <w:i w:val="0"/>
        </w:rPr>
        <w:t>Stage 1C 不是一个单一实验，而是三个彼此相关、但研究问题不同的子阶段。三者不能在同一次实验中同时叠加，否则无法归因性能变化。</w:t>
      </w:r>
    </w:p>
    <w:p>
      <w:pPr>
        <w:pStyle w:val="Heading1"/>
        <w:keepNext/>
      </w:pPr>
      <w:r>
        <w:rPr>
          <w:rFonts w:ascii="Noto Sans CJK SC" w:hAnsi="Noto Sans CJK SC" w:eastAsia="Noto Sans CJK SC"/>
        </w:rPr>
        <w:t>2. 关键概念修正与统一决策</w:t>
      </w:r>
    </w:p>
    <w:p>
      <w:pPr>
        <w:pStyle w:val="Heading2"/>
        <w:keepNext/>
      </w:pPr>
      <w:r>
        <w:rPr>
          <w:rFonts w:ascii="Noto Sans CJK SC" w:hAnsi="Noto Sans CJK SC" w:eastAsia="Noto Sans CJK SC"/>
        </w:rPr>
        <w:t>2.1 FedBN 不是模型异构算法</w:t>
      </w:r>
    </w:p>
    <w:p>
      <w:pPr>
        <w:spacing w:after="100" w:line="293" w:lineRule="auto"/>
      </w:pPr>
      <w:r>
        <w:rPr>
          <w:rFonts w:ascii="Noto Sans CJK SC" w:hAnsi="Noto Sans CJK SC" w:eastAsia="Noto Sans CJK SC"/>
          <w:i w:val="0"/>
        </w:rPr>
        <w:t>FedBN 中各客户端的网络架构仍然相同。它的特点是：共享卷积层、全连接层等参数，而 Batch Normalization 的部分参数或统计量保留在客户端本地，不参加普通的全局平均。因此 FedBN 更接近特征分布异构处理、局部参数保留和个性化联邦学习。</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15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概念</w:t>
            </w:r>
          </w:p>
        </w:tc>
        <w:tc>
          <w:tcPr>
            <w:tcW w:type="dxa" w:w="69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本项目中的正确含义</w:t>
            </w:r>
          </w:p>
        </w:tc>
      </w:tr>
      <w:tr>
        <w:trPr>
          <w:cantSplit/>
        </w:trPr>
        <w:tc>
          <w:tcPr>
            <w:tcW w:type="dxa" w:w="215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模型同构</w:t>
            </w:r>
          </w:p>
        </w:tc>
        <w:tc>
          <w:tcPr>
            <w:tcW w:type="dxa" w:w="69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所有客户端使用相同层数、相同参数形状和相同前向结构。FedAvg、FedProx、SCAFFOLD、MOON、FedBN 均可处于模型同构设置。</w:t>
            </w:r>
          </w:p>
        </w:tc>
      </w:tr>
      <w:tr>
        <w:trPr>
          <w:cantSplit/>
        </w:trPr>
        <w:tc>
          <w:tcPr>
            <w:tcW w:type="dxa" w:w="215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标签异构</w:t>
            </w:r>
          </w:p>
        </w:tc>
        <w:tc>
          <w:tcPr>
            <w:tcW w:type="dxa" w:w="69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客户端拥有的类别数量或类别比例不同，例如 Dirichlet α=0.1。</w:t>
            </w:r>
          </w:p>
        </w:tc>
      </w:tr>
      <w:tr>
        <w:trPr>
          <w:cantSplit/>
        </w:trPr>
        <w:tc>
          <w:tcPr>
            <w:tcW w:type="dxa" w:w="215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特征异构</w:t>
            </w:r>
          </w:p>
        </w:tc>
        <w:tc>
          <w:tcPr>
            <w:tcW w:type="dxa" w:w="69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同一类别在不同客户端呈现不同亮度、天气、相机、模糊、颜色或域风格。</w:t>
            </w:r>
          </w:p>
        </w:tc>
      </w:tr>
      <w:tr>
        <w:trPr>
          <w:cantSplit/>
        </w:trPr>
        <w:tc>
          <w:tcPr>
            <w:tcW w:type="dxa" w:w="215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局部参数保留</w:t>
            </w:r>
          </w:p>
        </w:tc>
        <w:tc>
          <w:tcPr>
            <w:tcW w:type="dxa" w:w="69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部分参数不进入服务器聚合，例如 FedBN 中的本地 BN 状态。</w:t>
            </w:r>
          </w:p>
        </w:tc>
      </w:tr>
      <w:tr>
        <w:trPr>
          <w:cantSplit/>
        </w:trPr>
        <w:tc>
          <w:tcPr>
            <w:tcW w:type="dxa" w:w="215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通信优化</w:t>
            </w:r>
          </w:p>
        </w:tc>
        <w:tc>
          <w:tcPr>
            <w:tcW w:type="dxa" w:w="69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压缩上传/下载的模型或更新，研究准确率与通信量的权衡。</w:t>
            </w:r>
          </w:p>
        </w:tc>
      </w:tr>
    </w:tbl>
    <w:p>
      <w:pPr>
        <w:spacing w:after="0"/>
      </w:pPr>
    </w:p>
    <w:p>
      <w:pPr>
        <w:pStyle w:val="Heading2"/>
        <w:keepNext/>
      </w:pPr>
      <w:r>
        <w:rPr>
          <w:rFonts w:ascii="Noto Sans CJK SC" w:hAnsi="Noto Sans CJK SC" w:eastAsia="Noto Sans CJK SC"/>
        </w:rPr>
        <w:t>2.2 “解决 FedAvg 问题”包含两种不同含义</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问题类型</w:t>
            </w:r>
          </w:p>
        </w:tc>
        <w:tc>
          <w:tcPr>
            <w:tcW w:type="dxa" w:w="419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示例</w:t>
            </w:r>
          </w:p>
        </w:tc>
        <w:tc>
          <w:tcPr>
            <w:tcW w:type="dxa" w:w="30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处理方式</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工程实现问题</w:t>
            </w:r>
          </w:p>
        </w:tc>
        <w:tc>
          <w:tcPr>
            <w:tcW w:type="dxa" w:w="419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旧的 FedAvg-BN 没有正确维护 BN non-trainable statistics，导致全局模型接近随机。</w:t>
            </w:r>
          </w:p>
        </w:tc>
        <w:tc>
          <w:tcPr>
            <w:tcW w:type="dxa" w:w="30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修正状态管理和模型导出，建立正确实现。</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算法机制局限</w:t>
            </w:r>
          </w:p>
        </w:tc>
        <w:tc>
          <w:tcPr>
            <w:tcW w:type="dxa" w:w="419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FedAvg 在 α=0.1 下受到强 Label Skew 影响，出现客户端漂移和类别失效。</w:t>
            </w:r>
          </w:p>
        </w:tc>
        <w:tc>
          <w:tcPr>
            <w:tcW w:type="dxa" w:w="30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与 FedProx、SCAFFOLD、MOON 等算法公平对比。</w:t>
            </w:r>
          </w:p>
        </w:tc>
      </w:tr>
    </w:tbl>
    <w:p>
      <w:pPr>
        <w:spacing w:after="0"/>
      </w:pPr>
    </w:p>
    <w:tbl>
      <w:tblPr>
        <w:tblW w:type="auto" w:w="0"/>
        <w:jc w:val="center"/>
        <w:tblLook w:firstColumn="1" w:firstRow="1" w:lastColumn="0" w:lastRow="0" w:noHBand="0" w:noVBand="1" w:val="04A0"/>
      </w:tblPr>
      <w:tblGrid>
        <w:gridCol w:w="9638"/>
      </w:tblGrid>
      <w:tr>
        <w:tc>
          <w:tcPr>
            <w:tcW w:type="dxa" w:w="9638"/>
            <w:shd w:fill="FCE4D6"/>
            <w:tcBorders>
              <w:top w:sz="4" w:val="single" w:color="C65911"/>
              <w:left w:sz="14" w:val="single" w:color="C65911"/>
              <w:bottom w:sz="4" w:val="single" w:color="C65911"/>
              <w:right w:sz="4" w:val="single" w:color="C65911"/>
            </w:tcBorders>
            <w:tcMar>
              <w:top w:w="110" w:type="dxa"/>
              <w:start w:w="130" w:type="dxa"/>
              <w:bottom w:w="110" w:type="dxa"/>
              <w:end w:w="130" w:type="dxa"/>
            </w:tcMar>
          </w:tcPr>
          <w:p>
            <w:pPr>
              <w:spacing w:after="80"/>
            </w:pPr>
            <w:r>
              <w:rPr>
                <w:rFonts w:ascii="Noto Sans CJK SC" w:hAnsi="Noto Sans CJK SC" w:eastAsia="Noto Sans CJK SC"/>
                <w:b/>
                <w:color w:val="C65911"/>
                <w:sz w:val="20"/>
              </w:rPr>
              <w:t>必须区分</w:t>
            </w:r>
          </w:p>
          <w:p>
            <w:pPr>
              <w:spacing w:after="0" w:line="276" w:lineRule="auto"/>
            </w:pPr>
            <w:r>
              <w:rPr>
                <w:rFonts w:ascii="Noto Sans CJK SC" w:hAnsi="Noto Sans CJK SC" w:eastAsia="Noto Sans CJK SC"/>
                <w:color w:val="253246"/>
                <w:sz w:val="19"/>
              </w:rPr>
              <w:t>Stage 1C-A 研究的是 FedAvg 的算法机制局限，不是在修复一个报错；Stage 1C-B 首先要修复并验证带 BN 联邦训练的工程状态管理，然后才能公平研究 FedBN。</w:t>
            </w:r>
          </w:p>
        </w:tc>
      </w:tr>
    </w:tbl>
    <w:p>
      <w:pPr>
        <w:spacing w:after="0"/>
      </w:pPr>
    </w:p>
    <w:p>
      <w:pPr>
        <w:pStyle w:val="Heading2"/>
        <w:keepNext/>
      </w:pPr>
      <w:r>
        <w:rPr>
          <w:rFonts w:ascii="Noto Sans CJK SC" w:hAnsi="Noto Sans CJK SC" w:eastAsia="Noto Sans CJK SC"/>
        </w:rPr>
        <w:t>2.3 为什么 Stage 1C 继续使用 GTSRB</w:t>
      </w:r>
    </w:p>
    <w:p>
      <w:pPr>
        <w:pStyle w:val="ListBullet"/>
        <w:spacing w:after="60" w:line="276" w:lineRule="auto"/>
        <w:ind w:left="340" w:hanging="170"/>
      </w:pPr>
      <w:r>
        <w:rPr>
          <w:rFonts w:ascii="Noto Sans CJK SC" w:hAnsi="Noto Sans CJK SC" w:eastAsia="Noto Sans CJK SC"/>
        </w:rPr>
        <w:t>Stage 1A 和 Stage 1B 已经建立可靠、可复现的 GTSRB 数据链路。</w:t>
      </w:r>
    </w:p>
    <w:p>
      <w:pPr>
        <w:pStyle w:val="ListBullet"/>
        <w:spacing w:after="60" w:line="276" w:lineRule="auto"/>
        <w:ind w:left="340" w:hanging="170"/>
      </w:pPr>
      <w:r>
        <w:rPr>
          <w:rFonts w:ascii="Noto Sans CJK SC" w:hAnsi="Noto Sans CJK SC" w:eastAsia="Noto Sans CJK SC"/>
        </w:rPr>
        <w:t>现有 IID 和四组 Dirichlet 客户端划分已经固定保存，可直接被不同算法复用。</w:t>
      </w:r>
    </w:p>
    <w:p>
      <w:pPr>
        <w:pStyle w:val="ListBullet"/>
        <w:spacing w:after="60" w:line="276" w:lineRule="auto"/>
        <w:ind w:left="340" w:hanging="170"/>
      </w:pPr>
      <w:r>
        <w:rPr>
          <w:rFonts w:ascii="Noto Sans CJK SC" w:hAnsi="Noto Sans CJK SC" w:eastAsia="Noto Sans CJK SC"/>
        </w:rPr>
        <w:t>在同一数据集和同一划分上只替换联邦算法，才能把性能变化归因于算法。</w:t>
      </w:r>
    </w:p>
    <w:p>
      <w:pPr>
        <w:pStyle w:val="ListBullet"/>
        <w:spacing w:after="60" w:line="276" w:lineRule="auto"/>
        <w:ind w:left="340" w:hanging="170"/>
      </w:pPr>
      <w:r>
        <w:rPr>
          <w:rFonts w:ascii="Noto Sans CJK SC" w:hAnsi="Noto Sans CJK SC" w:eastAsia="Noto Sans CJK SC"/>
        </w:rPr>
        <w:t>FedBN 的场景异构也可以先通过 GTSRB 图像变换构造，无需立刻切换到更复杂的 BDD100K。</w:t>
      </w:r>
    </w:p>
    <w:p>
      <w:pPr>
        <w:pStyle w:val="ListBullet"/>
        <w:spacing w:after="60" w:line="276" w:lineRule="auto"/>
        <w:ind w:left="340" w:hanging="170"/>
      </w:pPr>
      <w:r>
        <w:rPr>
          <w:rFonts w:ascii="Noto Sans CJK SC" w:hAnsi="Noto Sans CJK SC" w:eastAsia="Noto Sans CJK SC"/>
        </w:rPr>
        <w:t>BDD100K 仍作为后续真实道路、天气与摄像头域差异的扩展数据集。</w:t>
      </w:r>
    </w:p>
    <w:p>
      <w:pPr>
        <w:pStyle w:val="Heading2"/>
        <w:keepNext/>
      </w:pPr>
      <w:r>
        <w:rPr>
          <w:rFonts w:ascii="Noto Sans CJK SC" w:hAnsi="Noto Sans CJK SC" w:eastAsia="Noto Sans CJK SC"/>
        </w:rPr>
        <w:t>2.4 研究轴必须分开</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三条独立研究轴</w:t>
            </w:r>
          </w:p>
          <w:p>
            <w:pPr>
              <w:spacing w:after="0" w:before="0" w:line="240" w:lineRule="auto"/>
            </w:pPr>
            <w:r>
              <w:rPr>
                <w:rFonts w:ascii="Noto Sans Mono CJK SC" w:hAnsi="Noto Sans Mono CJK SC" w:eastAsia="Noto Sans Mono CJK SC"/>
                <w:color w:val="1F2937"/>
                <w:sz w:val="16"/>
              </w:rPr>
              <w:t>研究轴 A：算法机制变化</w:t>
            </w:r>
          </w:p>
          <w:p>
            <w:pPr>
              <w:spacing w:after="0" w:before="0" w:line="240" w:lineRule="auto"/>
            </w:pPr>
            <w:r>
              <w:rPr>
                <w:rFonts w:ascii="Noto Sans Mono CJK SC" w:hAnsi="Noto Sans Mono CJK SC" w:eastAsia="Noto Sans Mono CJK SC"/>
                <w:color w:val="1F2937"/>
                <w:sz w:val="16"/>
              </w:rPr>
              <w:t>固定数据、模型与预算，只替换 FedAvg / FedProx / SCAFFOLD / MOON</w:t>
            </w:r>
          </w:p>
          <w:p>
            <w:pPr>
              <w:spacing w:after="0" w:before="0" w:line="240" w:lineRule="auto"/>
            </w:pPr>
            <w:r>
              <w:rPr>
                <w:rFonts w:ascii="Noto Sans Mono CJK SC" w:hAnsi="Noto Sans Mono CJK SC" w:eastAsia="Noto Sans Mono CJK SC"/>
                <w:color w:val="1F2937"/>
                <w:sz w:val="16"/>
              </w:rPr>
            </w:r>
          </w:p>
          <w:p>
            <w:pPr>
              <w:spacing w:after="0" w:before="0" w:line="240" w:lineRule="auto"/>
            </w:pPr>
            <w:r>
              <w:rPr>
                <w:rFonts w:ascii="Noto Sans Mono CJK SC" w:hAnsi="Noto Sans Mono CJK SC" w:eastAsia="Noto Sans Mono CJK SC"/>
                <w:color w:val="1F2937"/>
                <w:sz w:val="16"/>
              </w:rPr>
              <w:t>研究轴 B：特征分布变化</w:t>
            </w:r>
          </w:p>
          <w:p>
            <w:pPr>
              <w:spacing w:after="0" w:before="0" w:line="240" w:lineRule="auto"/>
            </w:pPr>
            <w:r>
              <w:rPr>
                <w:rFonts w:ascii="Noto Sans Mono CJK SC" w:hAnsi="Noto Sans Mono CJK SC" w:eastAsia="Noto Sans Mono CJK SC"/>
                <w:color w:val="1F2937"/>
                <w:sz w:val="16"/>
              </w:rPr>
              <w:t>固定带 BN 的模型和算法预算，构造客户端固定视觉域，比较 FedAvg-BN / FedBN</w:t>
            </w:r>
          </w:p>
          <w:p>
            <w:pPr>
              <w:spacing w:after="0" w:before="0" w:line="240" w:lineRule="auto"/>
            </w:pPr>
            <w:r>
              <w:rPr>
                <w:rFonts w:ascii="Noto Sans Mono CJK SC" w:hAnsi="Noto Sans Mono CJK SC" w:eastAsia="Noto Sans Mono CJK SC"/>
                <w:color w:val="1F2937"/>
                <w:sz w:val="16"/>
              </w:rPr>
            </w:r>
          </w:p>
          <w:p>
            <w:pPr>
              <w:spacing w:after="0" w:before="0" w:line="240" w:lineRule="auto"/>
            </w:pPr>
            <w:r>
              <w:rPr>
                <w:rFonts w:ascii="Noto Sans Mono CJK SC" w:hAnsi="Noto Sans Mono CJK SC" w:eastAsia="Noto Sans Mono CJK SC"/>
                <w:color w:val="1F2937"/>
                <w:sz w:val="16"/>
              </w:rPr>
              <w:t>研究轴 C：通信表示变化</w:t>
            </w:r>
          </w:p>
          <w:p>
            <w:pPr>
              <w:spacing w:after="0" w:before="0" w:line="240" w:lineRule="auto"/>
            </w:pPr>
            <w:r>
              <w:rPr>
                <w:rFonts w:ascii="Noto Sans Mono CJK SC" w:hAnsi="Noto Sans Mono CJK SC" w:eastAsia="Noto Sans Mono CJK SC"/>
                <w:color w:val="1F2937"/>
                <w:sz w:val="16"/>
              </w:rPr>
              <w:t>固定一个稳定算法，改变上传更新的量化或稀疏化方式</w:t>
            </w:r>
          </w:p>
        </w:tc>
      </w:tr>
    </w:tbl>
    <w:p>
      <w:pPr>
        <w:spacing w:after="0"/>
      </w:pPr>
    </w:p>
    <w:p>
      <w:pPr>
        <w:pStyle w:val="Heading1"/>
        <w:keepNext/>
      </w:pPr>
      <w:r>
        <w:rPr>
          <w:rFonts w:ascii="Noto Sans CJK SC" w:hAnsi="Noto Sans CJK SC" w:eastAsia="Noto Sans CJK SC"/>
        </w:rPr>
        <w:t>3. Stage 1C 总体架构与实施顺序</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阶段</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主题</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研究机制</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实施说明</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1C-0</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公共代码整理</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抽取数据、模型、评估、checkpoint 和配置公共模块</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减少不同算法代码分叉</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1C-A1</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FedProx</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近端约束抑制本地模型远离全局模型</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第一优先，先做</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1C-A2</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SCAFFOLD</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控制变量修正客户端更新方向</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第二优先</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1C-A3</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MOON</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模型级对比约束本地表示</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第三优先</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1C-B</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FedBN</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本地保留 BN，处理客户端特征/场景异构</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单独模型分支</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1C-C</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通信压缩</w:t>
            </w:r>
          </w:p>
        </w:tc>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量化、稀疏化、误差反馈等</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最后开展</w:t>
            </w:r>
          </w:p>
        </w:tc>
      </w:tr>
    </w:tbl>
    <w:p>
      <w:pPr>
        <w:spacing w:after="0"/>
      </w:pPr>
    </w:p>
    <w:p>
      <w:pPr>
        <w:pStyle w:val="Heading2"/>
        <w:keepNext/>
      </w:pPr>
      <w:r>
        <w:rPr>
          <w:rFonts w:ascii="Noto Sans CJK SC" w:hAnsi="Noto Sans CJK SC" w:eastAsia="Noto Sans CJK SC"/>
        </w:rPr>
        <w:t>3.1 推荐的严格实施顺序</w:t>
      </w:r>
    </w:p>
    <w:p>
      <w:pPr>
        <w:pStyle w:val="ListNumber"/>
        <w:spacing w:after="60" w:line="276" w:lineRule="auto"/>
        <w:ind w:left="340" w:hanging="170"/>
      </w:pPr>
      <w:r>
        <w:rPr>
          <w:rFonts w:ascii="Noto Sans CJK SC" w:hAnsi="Noto Sans CJK SC" w:eastAsia="Noto Sans CJK SC"/>
        </w:rPr>
        <w:t>整理 Stage 1B 的 FedAvg 代码，抽取公共数据加载、模型构建、测试与 checkpoint 逻辑。</w:t>
      </w:r>
    </w:p>
    <w:p>
      <w:pPr>
        <w:pStyle w:val="ListNumber"/>
        <w:spacing w:after="60" w:line="276" w:lineRule="auto"/>
        <w:ind w:left="340" w:hanging="170"/>
      </w:pPr>
      <w:r>
        <w:rPr>
          <w:rFonts w:ascii="Noto Sans CJK SC" w:hAnsi="Noto Sans CJK SC" w:eastAsia="Noto Sans CJK SC"/>
        </w:rPr>
        <w:t>实现 FedProx，并先验证 μ=0 能退化为 FedAvg。</w:t>
      </w:r>
    </w:p>
    <w:p>
      <w:pPr>
        <w:pStyle w:val="ListNumber"/>
        <w:spacing w:after="60" w:line="276" w:lineRule="auto"/>
        <w:ind w:left="340" w:hanging="170"/>
      </w:pPr>
      <w:r>
        <w:rPr>
          <w:rFonts w:ascii="Noto Sans CJK SC" w:hAnsi="Noto Sans CJK SC" w:eastAsia="Noto Sans CJK SC"/>
        </w:rPr>
        <w:t>在 α=0.5 和 α=0.1 上进行 μ 预实验，再完成 IID、α=1、α=0.5、α=0.1 的正式实验。</w:t>
      </w:r>
    </w:p>
    <w:p>
      <w:pPr>
        <w:pStyle w:val="ListNumber"/>
        <w:spacing w:after="60" w:line="276" w:lineRule="auto"/>
        <w:ind w:left="340" w:hanging="170"/>
      </w:pPr>
      <w:r>
        <w:rPr>
          <w:rFonts w:ascii="Noto Sans CJK SC" w:hAnsi="Noto Sans CJK SC" w:eastAsia="Noto Sans CJK SC"/>
        </w:rPr>
        <w:t>完成 FedProx 结果分析与技术报告后，再实现 SCAFFOLD。</w:t>
      </w:r>
    </w:p>
    <w:p>
      <w:pPr>
        <w:pStyle w:val="ListNumber"/>
        <w:spacing w:after="60" w:line="276" w:lineRule="auto"/>
        <w:ind w:left="340" w:hanging="170"/>
      </w:pPr>
      <w:r>
        <w:rPr>
          <w:rFonts w:ascii="Noto Sans CJK SC" w:hAnsi="Noto Sans CJK SC" w:eastAsia="Noto Sans CJK SC"/>
        </w:rPr>
        <w:t>SCAFFOLD 状态保存和恢复验证通过后，再实现 MOON。</w:t>
      </w:r>
    </w:p>
    <w:p>
      <w:pPr>
        <w:pStyle w:val="ListNumber"/>
        <w:spacing w:after="60" w:line="276" w:lineRule="auto"/>
        <w:ind w:left="340" w:hanging="170"/>
      </w:pPr>
      <w:r>
        <w:rPr>
          <w:rFonts w:ascii="Noto Sans CJK SC" w:hAnsi="Noto Sans CJK SC" w:eastAsia="Noto Sans CJK SC"/>
        </w:rPr>
        <w:t>另建带 BN 模型分支，从 Centralized-BN 和 Local-BN 开始重建正确基线，再做 FedAvg-BN 和 FedBN。</w:t>
      </w:r>
    </w:p>
    <w:p>
      <w:pPr>
        <w:pStyle w:val="ListNumber"/>
        <w:spacing w:after="60" w:line="276" w:lineRule="auto"/>
        <w:ind w:left="340" w:hanging="170"/>
      </w:pPr>
      <w:r>
        <w:rPr>
          <w:rFonts w:ascii="Noto Sans CJK SC" w:hAnsi="Noto Sans CJK SC" w:eastAsia="Noto Sans CJK SC"/>
        </w:rPr>
        <w:t>选择稳定的 FedAvg 或 FedProx 作为通信压缩基础，最后研究准确率—通信量权衡。</w:t>
      </w:r>
    </w:p>
    <w:tbl>
      <w:tblPr>
        <w:tblW w:type="auto" w:w="0"/>
        <w:jc w:val="center"/>
        <w:tblLook w:firstColumn="1" w:firstRow="1" w:lastColumn="0" w:lastRow="0" w:noHBand="0" w:noVBand="1" w:val="04A0"/>
      </w:tblPr>
      <w:tblGrid>
        <w:gridCol w:w="9638"/>
      </w:tblGrid>
      <w:tr>
        <w:tc>
          <w:tcPr>
            <w:tcW w:type="dxa" w:w="9638"/>
            <w:shd w:fill="EEF5FB"/>
            <w:tcBorders>
              <w:top w:sz="4" w:val="single" w:color="2F5597"/>
              <w:left w:sz="14" w:val="single" w:color="2F5597"/>
              <w:bottom w:sz="4" w:val="single" w:color="2F5597"/>
              <w:right w:sz="4" w:val="single" w:color="2F5597"/>
            </w:tcBorders>
            <w:tcMar>
              <w:top w:w="110" w:type="dxa"/>
              <w:start w:w="130" w:type="dxa"/>
              <w:bottom w:w="110" w:type="dxa"/>
              <w:end w:w="130" w:type="dxa"/>
            </w:tcMar>
          </w:tcPr>
          <w:p>
            <w:pPr>
              <w:spacing w:after="80"/>
            </w:pPr>
            <w:r>
              <w:rPr>
                <w:rFonts w:ascii="Noto Sans CJK SC" w:hAnsi="Noto Sans CJK SC" w:eastAsia="Noto Sans CJK SC"/>
                <w:b/>
                <w:color w:val="2F5597"/>
                <w:sz w:val="20"/>
              </w:rPr>
              <w:t>为什么不能同时实现所有算法</w:t>
            </w:r>
          </w:p>
          <w:p>
            <w:pPr>
              <w:spacing w:after="0" w:line="276" w:lineRule="auto"/>
            </w:pPr>
            <w:r>
              <w:rPr>
                <w:rFonts w:ascii="Noto Sans CJK SC" w:hAnsi="Noto Sans CJK SC" w:eastAsia="Noto Sans CJK SC"/>
                <w:color w:val="253246"/>
                <w:sz w:val="19"/>
              </w:rPr>
              <w:t>FedProx、SCAFFOLD、MOON 和 FedBN 的训练状态、模型结构与 checkpoint 需求不同。逐个实现和验收可以确保每一步的变量变化可解释，也便于定位 TFF 状态管理问题。</w:t>
            </w:r>
          </w:p>
        </w:tc>
      </w:tr>
    </w:tbl>
    <w:p>
      <w:pPr>
        <w:spacing w:after="0"/>
      </w:pPr>
    </w:p>
    <w:p>
      <w:pPr>
        <w:pStyle w:val="Heading2"/>
        <w:keepNext/>
      </w:pPr>
      <w:r>
        <w:rPr>
          <w:rFonts w:ascii="Noto Sans CJK SC" w:hAnsi="Noto Sans CJK SC" w:eastAsia="Noto Sans CJK SC"/>
        </w:rPr>
        <w:t>3.2 主实验矩阵</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算法</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IID</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α=1</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α=0.5</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α=0.1</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备注</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FedAvg</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已完成</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已完成</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已完成</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已完成</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统一 baseline</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FedProx</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优先完成</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SCAFFOLD</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可做</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正式实验</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强 Non-IID 重点</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MOON</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可选</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124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正式实验</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计算开销更高</w:t>
            </w:r>
          </w:p>
        </w:tc>
      </w:tr>
    </w:tbl>
    <w:p>
      <w:pPr>
        <w:spacing w:after="0"/>
      </w:pPr>
    </w:p>
    <w:p>
      <w:pPr>
        <w:pStyle w:val="SmallNote"/>
        <w:spacing w:after="100" w:line="293" w:lineRule="auto"/>
      </w:pPr>
      <w:r>
        <w:rPr>
          <w:rFonts w:ascii="Noto Sans CJK SC" w:hAnsi="Noto Sans CJK SC" w:eastAsia="Noto Sans CJK SC"/>
          <w:i w:val="0"/>
        </w:rPr>
        <w:t>α=10 与 IID 结果非常接近，不必成为每个新算法的主实验，可保留在附录或在需要验证连续趋势时补充。</w:t>
      </w:r>
    </w:p>
    <w:p>
      <w:pPr>
        <w:pStyle w:val="Heading1"/>
        <w:keepNext/>
      </w:pPr>
      <w:r>
        <w:rPr>
          <w:rFonts w:ascii="Noto Sans CJK SC" w:hAnsi="Noto Sans CJK SC" w:eastAsia="Noto Sans CJK SC"/>
        </w:rPr>
        <w:t>4. 统一实验基础与控制变量</w:t>
      </w:r>
    </w:p>
    <w:p>
      <w:pPr>
        <w:pStyle w:val="Heading2"/>
        <w:keepNext/>
      </w:pPr>
      <w:r>
        <w:rPr>
          <w:rFonts w:ascii="Noto Sans CJK SC" w:hAnsi="Noto Sans CJK SC" w:eastAsia="Noto Sans CJK SC"/>
        </w:rPr>
        <w:t>4.1 必须冻结的基础配置</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配置项</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固定值</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Dataset</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GTSRB</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Train / Test</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39,209 / 12,630</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Classes</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43</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Input</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32×32×3</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Clients</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5</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Clients per round</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5（100% 参与）</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Local epochs</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1</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Batch size</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64</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Client optimizer</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Adam, learning_rate=0.001</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Server optimizer</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无动量 SGDM, learning_rate=1.0</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Client weighting</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NUM_EXAMPLES</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Formal rounds</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160</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Partition seed</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20260720</w:t>
            </w:r>
          </w:p>
        </w:tc>
      </w:tr>
      <w:tr>
        <w:trPr>
          <w:cantSplit/>
        </w:trPr>
        <w:tc>
          <w:tcPr>
            <w:tcW w:type="dxa" w:w="294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Official test</w:t>
            </w:r>
          </w:p>
        </w:tc>
        <w:tc>
          <w:tcPr>
            <w:tcW w:type="dxa" w:w="612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data/gtsrb/Test.csv</w:t>
            </w:r>
          </w:p>
        </w:tc>
      </w:tr>
    </w:tbl>
    <w:p>
      <w:pPr>
        <w:spacing w:after="0"/>
      </w:pPr>
    </w:p>
    <w:p>
      <w:pPr>
        <w:pStyle w:val="Heading2"/>
        <w:keepNext/>
      </w:pPr>
      <w:r>
        <w:rPr>
          <w:rFonts w:ascii="Noto Sans CJK SC" w:hAnsi="Noto Sans CJK SC" w:eastAsia="Noto Sans CJK SC"/>
        </w:rPr>
        <w:t>4.2 Stage 1C-A 使用的模型</w:t>
      </w:r>
    </w:p>
    <w:p>
      <w:pPr>
        <w:spacing w:after="100" w:line="293" w:lineRule="auto"/>
      </w:pPr>
      <w:r>
        <w:rPr>
          <w:rFonts w:ascii="Noto Sans CJK SC" w:hAnsi="Noto Sans CJK SC" w:eastAsia="Noto Sans CJK SC"/>
          <w:i w:val="0"/>
        </w:rPr>
        <w:t>Stage 1C-A 继续使用 Stage 1A / 1B 的无 BN CNN。这样 FedAvg、FedProx、SCAFFOLD 和 MOON 在相同参数规模、相同表示能力和相同通信载荷下比较。</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Stage 1C-A 统一 CNN</w:t>
            </w:r>
          </w:p>
          <w:p>
            <w:pPr>
              <w:spacing w:after="0" w:before="0" w:line="240" w:lineRule="auto"/>
            </w:pPr>
            <w:r>
              <w:rPr>
                <w:rFonts w:ascii="Noto Sans Mono CJK SC" w:hAnsi="Noto Sans Mono CJK SC" w:eastAsia="Noto Sans Mono CJK SC"/>
                <w:color w:val="1F2937"/>
                <w:sz w:val="16"/>
              </w:rPr>
              <w:t>Input(32, 32, 3)</w:t>
            </w:r>
          </w:p>
          <w:p>
            <w:pPr>
              <w:spacing w:after="0" w:before="0" w:line="240" w:lineRule="auto"/>
            </w:pPr>
            <w:r>
              <w:rPr>
                <w:rFonts w:ascii="Noto Sans Mono CJK SC" w:hAnsi="Noto Sans Mono CJK SC" w:eastAsia="Noto Sans Mono CJK SC"/>
                <w:color w:val="1F2937"/>
                <w:sz w:val="16"/>
              </w:rPr>
              <w:t>→ Conv2D(32, 3×3, ReLU)</w:t>
            </w:r>
          </w:p>
          <w:p>
            <w:pPr>
              <w:spacing w:after="0" w:before="0" w:line="240" w:lineRule="auto"/>
            </w:pPr>
            <w:r>
              <w:rPr>
                <w:rFonts w:ascii="Noto Sans Mono CJK SC" w:hAnsi="Noto Sans Mono CJK SC" w:eastAsia="Noto Sans Mono CJK SC"/>
                <w:color w:val="1F2937"/>
                <w:sz w:val="16"/>
              </w:rPr>
              <w:t>→ MaxPooling2D</w:t>
            </w:r>
          </w:p>
          <w:p>
            <w:pPr>
              <w:spacing w:after="0" w:before="0" w:line="240" w:lineRule="auto"/>
            </w:pPr>
            <w:r>
              <w:rPr>
                <w:rFonts w:ascii="Noto Sans Mono CJK SC" w:hAnsi="Noto Sans Mono CJK SC" w:eastAsia="Noto Sans Mono CJK SC"/>
                <w:color w:val="1F2937"/>
                <w:sz w:val="16"/>
              </w:rPr>
              <w:t>→ Conv2D(64, 3×3, ReLU)</w:t>
            </w:r>
          </w:p>
          <w:p>
            <w:pPr>
              <w:spacing w:after="0" w:before="0" w:line="240" w:lineRule="auto"/>
            </w:pPr>
            <w:r>
              <w:rPr>
                <w:rFonts w:ascii="Noto Sans Mono CJK SC" w:hAnsi="Noto Sans Mono CJK SC" w:eastAsia="Noto Sans Mono CJK SC"/>
                <w:color w:val="1F2937"/>
                <w:sz w:val="16"/>
              </w:rPr>
              <w:t>→ MaxPooling2D</w:t>
            </w:r>
          </w:p>
          <w:p>
            <w:pPr>
              <w:spacing w:after="0" w:before="0" w:line="240" w:lineRule="auto"/>
            </w:pPr>
            <w:r>
              <w:rPr>
                <w:rFonts w:ascii="Noto Sans Mono CJK SC" w:hAnsi="Noto Sans Mono CJK SC" w:eastAsia="Noto Sans Mono CJK SC"/>
                <w:color w:val="1F2937"/>
                <w:sz w:val="16"/>
              </w:rPr>
              <w:t>→ Conv2D(128, 3×3, ReLU)</w:t>
            </w:r>
          </w:p>
          <w:p>
            <w:pPr>
              <w:spacing w:after="0" w:before="0" w:line="240" w:lineRule="auto"/>
            </w:pPr>
            <w:r>
              <w:rPr>
                <w:rFonts w:ascii="Noto Sans Mono CJK SC" w:hAnsi="Noto Sans Mono CJK SC" w:eastAsia="Noto Sans Mono CJK SC"/>
                <w:color w:val="1F2937"/>
                <w:sz w:val="16"/>
              </w:rPr>
              <w:t>→ GlobalAveragePooling2D</w:t>
            </w:r>
          </w:p>
          <w:p>
            <w:pPr>
              <w:spacing w:after="0" w:before="0" w:line="240" w:lineRule="auto"/>
            </w:pPr>
            <w:r>
              <w:rPr>
                <w:rFonts w:ascii="Noto Sans Mono CJK SC" w:hAnsi="Noto Sans Mono CJK SC" w:eastAsia="Noto Sans Mono CJK SC"/>
                <w:color w:val="1F2937"/>
                <w:sz w:val="16"/>
              </w:rPr>
              <w:t>→ Dropout(0.25)</w:t>
            </w:r>
          </w:p>
          <w:p>
            <w:pPr>
              <w:spacing w:after="0" w:before="0" w:line="240" w:lineRule="auto"/>
            </w:pPr>
            <w:r>
              <w:rPr>
                <w:rFonts w:ascii="Noto Sans Mono CJK SC" w:hAnsi="Noto Sans Mono CJK SC" w:eastAsia="Noto Sans Mono CJK SC"/>
                <w:color w:val="1F2937"/>
                <w:sz w:val="16"/>
              </w:rPr>
              <w:t>→ Dense(43 logits)</w:t>
            </w:r>
          </w:p>
        </w:tc>
      </w:tr>
    </w:tbl>
    <w:p>
      <w:pPr>
        <w:spacing w:after="0"/>
      </w:pPr>
    </w:p>
    <w:p>
      <w:pPr>
        <w:pStyle w:val="Heading2"/>
        <w:keepNext/>
      </w:pPr>
      <w:r>
        <w:rPr>
          <w:rFonts w:ascii="Noto Sans CJK SC" w:hAnsi="Noto Sans CJK SC" w:eastAsia="Noto Sans CJK SC"/>
        </w:rPr>
        <w:t>4.3 固定客户端划分</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现有可复用数据划分</w:t>
            </w:r>
          </w:p>
          <w:p>
            <w:pPr>
              <w:spacing w:after="0" w:before="0" w:line="240" w:lineRule="auto"/>
            </w:pPr>
            <w:r>
              <w:rPr>
                <w:rFonts w:ascii="Noto Sans Mono CJK SC" w:hAnsi="Noto Sans Mono CJK SC" w:eastAsia="Noto Sans Mono CJK SC"/>
                <w:color w:val="1F2937"/>
                <w:sz w:val="16"/>
              </w:rPr>
              <w:t>data/gtsrb/</w:t>
            </w:r>
          </w:p>
          <w:p>
            <w:pPr>
              <w:spacing w:after="0" w:before="0" w:line="240" w:lineRule="auto"/>
            </w:pPr>
            <w:r>
              <w:rPr>
                <w:rFonts w:ascii="Noto Sans Mono CJK SC" w:hAnsi="Noto Sans Mono CJK SC" w:eastAsia="Noto Sans Mono CJK SC"/>
                <w:color w:val="1F2937"/>
                <w:sz w:val="16"/>
              </w:rPr>
              <w:t>├── federated_iid_5clients_seed20260720/</w:t>
            </w:r>
          </w:p>
          <w:p>
            <w:pPr>
              <w:spacing w:after="0" w:before="0" w:line="240" w:lineRule="auto"/>
            </w:pPr>
            <w:r>
              <w:rPr>
                <w:rFonts w:ascii="Noto Sans Mono CJK SC" w:hAnsi="Noto Sans Mono CJK SC" w:eastAsia="Noto Sans Mono CJK SC"/>
                <w:color w:val="1F2937"/>
                <w:sz w:val="16"/>
              </w:rPr>
              <w:t>├── federated_dirichlet_alpha10_5clients_seed20260720/</w:t>
            </w:r>
          </w:p>
          <w:p>
            <w:pPr>
              <w:spacing w:after="0" w:before="0" w:line="240" w:lineRule="auto"/>
            </w:pPr>
            <w:r>
              <w:rPr>
                <w:rFonts w:ascii="Noto Sans Mono CJK SC" w:hAnsi="Noto Sans Mono CJK SC" w:eastAsia="Noto Sans Mono CJK SC"/>
                <w:color w:val="1F2937"/>
                <w:sz w:val="16"/>
              </w:rPr>
              <w:t>├── federated_dirichlet_alpha1_5clients_seed20260720/</w:t>
            </w:r>
          </w:p>
          <w:p>
            <w:pPr>
              <w:spacing w:after="0" w:before="0" w:line="240" w:lineRule="auto"/>
            </w:pPr>
            <w:r>
              <w:rPr>
                <w:rFonts w:ascii="Noto Sans Mono CJK SC" w:hAnsi="Noto Sans Mono CJK SC" w:eastAsia="Noto Sans Mono CJK SC"/>
                <w:color w:val="1F2937"/>
                <w:sz w:val="16"/>
              </w:rPr>
              <w:t>├── federated_dirichlet_alpha05_5clients_seed20260720/</w:t>
            </w:r>
          </w:p>
          <w:p>
            <w:pPr>
              <w:spacing w:after="0" w:before="0" w:line="240" w:lineRule="auto"/>
            </w:pPr>
            <w:r>
              <w:rPr>
                <w:rFonts w:ascii="Noto Sans Mono CJK SC" w:hAnsi="Noto Sans Mono CJK SC" w:eastAsia="Noto Sans Mono CJK SC"/>
                <w:color w:val="1F2937"/>
                <w:sz w:val="16"/>
              </w:rPr>
              <w:t>└── federated_dirichlet_alpha01_5clients_seed20260720/</w:t>
            </w:r>
          </w:p>
        </w:tc>
      </w:tr>
    </w:tbl>
    <w:p>
      <w:pPr>
        <w:spacing w:after="0"/>
      </w:pPr>
    </w:p>
    <w:tbl>
      <w:tblPr>
        <w:tblW w:type="auto" w:w="0"/>
        <w:jc w:val="center"/>
        <w:tblLook w:firstColumn="1" w:firstRow="1" w:lastColumn="0" w:lastRow="0" w:noHBand="0" w:noVBand="1" w:val="04A0"/>
      </w:tblPr>
      <w:tblGrid>
        <w:gridCol w:w="9638"/>
      </w:tblGrid>
      <w:tr>
        <w:tc>
          <w:tcPr>
            <w:tcW w:type="dxa" w:w="9638"/>
            <w:shd w:fill="F4CCCC"/>
            <w:tcBorders>
              <w:top w:sz="4" w:val="single" w:color="C00000"/>
              <w:left w:sz="14" w:val="single" w:color="C00000"/>
              <w:bottom w:sz="4" w:val="single" w:color="C00000"/>
              <w:right w:sz="4" w:val="single" w:color="C00000"/>
            </w:tcBorders>
            <w:tcMar>
              <w:top w:w="110" w:type="dxa"/>
              <w:start w:w="130" w:type="dxa"/>
              <w:bottom w:w="110" w:type="dxa"/>
              <w:end w:w="130" w:type="dxa"/>
            </w:tcMar>
          </w:tcPr>
          <w:p>
            <w:pPr>
              <w:spacing w:after="80"/>
            </w:pPr>
            <w:r>
              <w:rPr>
                <w:rFonts w:ascii="Noto Sans CJK SC" w:hAnsi="Noto Sans CJK SC" w:eastAsia="Noto Sans CJK SC"/>
                <w:b/>
                <w:color w:val="C00000"/>
                <w:sz w:val="20"/>
              </w:rPr>
              <w:t>禁止重新随机划分</w:t>
            </w:r>
          </w:p>
          <w:p>
            <w:pPr>
              <w:spacing w:after="0" w:line="276" w:lineRule="auto"/>
            </w:pPr>
            <w:r>
              <w:rPr>
                <w:rFonts w:ascii="Noto Sans CJK SC" w:hAnsi="Noto Sans CJK SC" w:eastAsia="Noto Sans CJK SC"/>
                <w:color w:val="253246"/>
                <w:sz w:val="19"/>
              </w:rPr>
              <w:t>不同算法必须读取相同客户端 CSV。若重新采样 Dirichlet partition，即使 α 相同，客户端类别分布也可能不同，算法比较将失去公平性。</w:t>
            </w:r>
          </w:p>
        </w:tc>
      </w:tr>
    </w:tbl>
    <w:p>
      <w:pPr>
        <w:spacing w:after="0"/>
      </w:pPr>
    </w:p>
    <w:p>
      <w:pPr>
        <w:pStyle w:val="Heading2"/>
        <w:keepNext/>
      </w:pPr>
      <w:r>
        <w:rPr>
          <w:rFonts w:ascii="Noto Sans CJK SC" w:hAnsi="Noto Sans CJK SC" w:eastAsia="Noto Sans CJK SC"/>
        </w:rPr>
        <w:t>4.4 训练预算与公平性</w:t>
      </w:r>
    </w:p>
    <w:p>
      <w:pPr>
        <w:spacing w:after="100" w:line="293" w:lineRule="auto"/>
      </w:pPr>
      <w:r>
        <w:rPr>
          <w:rFonts w:ascii="Noto Sans CJK SC" w:hAnsi="Noto Sans CJK SC" w:eastAsia="Noto Sans CJK SC"/>
          <w:i w:val="0"/>
        </w:rPr>
        <w:t>主实验保持 local_epochs=1、160 轮和全客户端参与，目的是与 Stage 1B 的 FedAvg 结果严格对齐。需要注意，该设置本身客户端漂移较弱，因此 FedProx 或 SCAFFOLD 的提升可能有限。</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层级</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设置</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目的</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主实验</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local_epochs=1，clients_per_round=5，160 rounds</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严格控制变量，与现有 FedAvg 公平比较</w:t>
            </w:r>
          </w:p>
        </w:tc>
      </w:tr>
      <w:tr>
        <w:trPr>
          <w:cantSplit/>
        </w:trPr>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压力实验（可选）</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local_epochs=5，或每轮部分客户端参与</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放大客户端漂移，观察异构优化算法的稳定价值</w:t>
            </w:r>
          </w:p>
        </w:tc>
      </w:tr>
    </w:tbl>
    <w:p>
      <w:pPr>
        <w:spacing w:after="0"/>
      </w:pPr>
    </w:p>
    <w:tbl>
      <w:tblPr>
        <w:tblW w:type="auto" w:w="0"/>
        <w:jc w:val="center"/>
        <w:tblLook w:firstColumn="1" w:firstRow="1" w:lastColumn="0" w:lastRow="0" w:noHBand="0" w:noVBand="1" w:val="04A0"/>
      </w:tblPr>
      <w:tblGrid>
        <w:gridCol w:w="9638"/>
      </w:tblGrid>
      <w:tr>
        <w:tc>
          <w:tcPr>
            <w:tcW w:type="dxa" w:w="9638"/>
            <w:shd w:fill="FCE4D6"/>
            <w:tcBorders>
              <w:top w:sz="4" w:val="single" w:color="C65911"/>
              <w:left w:sz="14" w:val="single" w:color="C65911"/>
              <w:bottom w:sz="4" w:val="single" w:color="C65911"/>
              <w:right w:sz="4" w:val="single" w:color="C65911"/>
            </w:tcBorders>
            <w:tcMar>
              <w:top w:w="110" w:type="dxa"/>
              <w:start w:w="130" w:type="dxa"/>
              <w:bottom w:w="110" w:type="dxa"/>
              <w:end w:w="130" w:type="dxa"/>
            </w:tcMar>
          </w:tcPr>
          <w:p>
            <w:pPr>
              <w:spacing w:after="80"/>
            </w:pPr>
            <w:r>
              <w:rPr>
                <w:rFonts w:ascii="Noto Sans CJK SC" w:hAnsi="Noto Sans CJK SC" w:eastAsia="Noto Sans CJK SC"/>
                <w:b/>
                <w:color w:val="C65911"/>
                <w:sz w:val="20"/>
              </w:rPr>
              <w:t>压力实验必须单独报告</w:t>
            </w:r>
          </w:p>
          <w:p>
            <w:pPr>
              <w:spacing w:after="0" w:line="276" w:lineRule="auto"/>
            </w:pPr>
            <w:r>
              <w:rPr>
                <w:rFonts w:ascii="Noto Sans CJK SC" w:hAnsi="Noto Sans CJK SC" w:eastAsia="Noto Sans CJK SC"/>
                <w:color w:val="253246"/>
                <w:sz w:val="19"/>
              </w:rPr>
              <w:t>不能把 local_epochs=5 的 FedProx 与 local_epochs=1 的 FedAvg 放在同一主表中直接宣称算法更优。</w:t>
            </w:r>
          </w:p>
        </w:tc>
      </w:tr>
    </w:tbl>
    <w:p>
      <w:pPr>
        <w:spacing w:after="0"/>
      </w:pPr>
    </w:p>
    <w:p>
      <w:pPr>
        <w:pStyle w:val="Heading1"/>
        <w:keepNext/>
      </w:pPr>
      <w:r>
        <w:rPr>
          <w:rFonts w:ascii="Noto Sans CJK SC" w:hAnsi="Noto Sans CJK SC" w:eastAsia="Noto Sans CJK SC"/>
        </w:rPr>
        <w:t>5. Stage 1C-A：标签异构下的联邦算法比较</w:t>
      </w:r>
    </w:p>
    <w:p>
      <w:pPr>
        <w:pStyle w:val="Heading2"/>
        <w:keepNext/>
      </w:pPr>
      <w:r>
        <w:rPr>
          <w:rFonts w:ascii="Noto Sans CJK SC" w:hAnsi="Noto Sans CJK SC" w:eastAsia="Noto Sans CJK SC"/>
        </w:rPr>
        <w:t>5.1 研究问题</w:t>
      </w:r>
    </w:p>
    <w:p>
      <w:pPr>
        <w:pStyle w:val="ListBullet"/>
        <w:spacing w:after="60" w:line="276" w:lineRule="auto"/>
        <w:ind w:left="340" w:hanging="170"/>
      </w:pPr>
      <w:r>
        <w:rPr>
          <w:rFonts w:ascii="Noto Sans CJK SC" w:hAnsi="Noto Sans CJK SC" w:eastAsia="Noto Sans CJK SC"/>
        </w:rPr>
        <w:t>FedProx、SCAFFOLD 和 MOON 能否提高 α=0.1 下的官方测试准确率与 Macro Class Accuracy？</w:t>
      </w:r>
    </w:p>
    <w:p>
      <w:pPr>
        <w:pStyle w:val="ListBullet"/>
        <w:spacing w:after="60" w:line="276" w:lineRule="auto"/>
        <w:ind w:left="340" w:hanging="170"/>
      </w:pPr>
      <w:r>
        <w:rPr>
          <w:rFonts w:ascii="Noto Sans CJK SC" w:hAnsi="Noto Sans CJK SC" w:eastAsia="Noto Sans CJK SC"/>
        </w:rPr>
        <w:t>这些算法能否恢复 Stage 1B 中准确率为 0 或接近 0 的类别？</w:t>
      </w:r>
    </w:p>
    <w:p>
      <w:pPr>
        <w:pStyle w:val="ListBullet"/>
        <w:spacing w:after="60" w:line="276" w:lineRule="auto"/>
        <w:ind w:left="340" w:hanging="170"/>
      </w:pPr>
      <w:r>
        <w:rPr>
          <w:rFonts w:ascii="Noto Sans CJK SC" w:hAnsi="Noto Sans CJK SC" w:eastAsia="Noto Sans CJK SC"/>
        </w:rPr>
        <w:t>能否降低不同客户端更新方向的冲突，提高最差客户端性能？</w:t>
      </w:r>
    </w:p>
    <w:p>
      <w:pPr>
        <w:pStyle w:val="ListBullet"/>
        <w:spacing w:after="60" w:line="276" w:lineRule="auto"/>
        <w:ind w:left="340" w:hanging="170"/>
      </w:pPr>
      <w:r>
        <w:rPr>
          <w:rFonts w:ascii="Noto Sans CJK SC" w:hAnsi="Noto Sans CJK SC" w:eastAsia="Noto Sans CJK SC"/>
        </w:rPr>
        <w:t>算法提升来自更快收敛、最终性能更高，还是仅来自更强正则化？</w:t>
      </w:r>
    </w:p>
    <w:p>
      <w:pPr>
        <w:pStyle w:val="ListBullet"/>
        <w:spacing w:after="60" w:line="276" w:lineRule="auto"/>
        <w:ind w:left="340" w:hanging="170"/>
      </w:pPr>
      <w:r>
        <w:rPr>
          <w:rFonts w:ascii="Noto Sans CJK SC" w:hAnsi="Noto Sans CJK SC" w:eastAsia="Noto Sans CJK SC"/>
        </w:rPr>
        <w:t>性能收益是否值得额外的状态、计算和通信开销？</w:t>
      </w:r>
    </w:p>
    <w:p>
      <w:pPr>
        <w:pStyle w:val="Heading2"/>
        <w:keepNext/>
      </w:pPr>
      <w:r>
        <w:rPr>
          <w:rFonts w:ascii="Noto Sans CJK SC" w:hAnsi="Noto Sans CJK SC" w:eastAsia="Noto Sans CJK SC"/>
        </w:rPr>
        <w:t>5.2 算法机制概览</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4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算法</w:t>
            </w:r>
          </w:p>
        </w:tc>
        <w:tc>
          <w:tcPr>
            <w:tcW w:type="dxa" w:w="317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核心机制</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优势</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主要代价/风险</w:t>
            </w:r>
          </w:p>
        </w:tc>
      </w:tr>
      <w:tr>
        <w:trPr>
          <w:cantSplit/>
        </w:trPr>
        <w:tc>
          <w:tcPr>
            <w:tcW w:type="dxa" w:w="14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FedAvg</w:t>
            </w:r>
          </w:p>
        </w:tc>
        <w:tc>
          <w:tcPr>
            <w:tcW w:type="dxa" w:w="317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按客户端样本量加权平均本地更新</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简单、状态少</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强 Non-IID 时客户端更新相互冲突</w:t>
            </w:r>
          </w:p>
        </w:tc>
      </w:tr>
      <w:tr>
        <w:trPr>
          <w:cantSplit/>
        </w:trPr>
        <w:tc>
          <w:tcPr>
            <w:tcW w:type="dxa" w:w="14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FedProx</w:t>
            </w:r>
          </w:p>
        </w:tc>
        <w:tc>
          <w:tcPr>
            <w:tcW w:type="dxa" w:w="317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本地目标增加与当前全局模型的距离约束</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实现相对简单、接近 FedAvg</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需要选择 μ，可能减慢学习</w:t>
            </w:r>
          </w:p>
        </w:tc>
      </w:tr>
      <w:tr>
        <w:trPr>
          <w:cantSplit/>
        </w:trPr>
        <w:tc>
          <w:tcPr>
            <w:tcW w:type="dxa" w:w="14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SCAFFOLD</w:t>
            </w:r>
          </w:p>
        </w:tc>
        <w:tc>
          <w:tcPr>
            <w:tcW w:type="dxa" w:w="317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服务器与客户端控制变量修正本地梯度方向</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直接针对 client drift</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状态管理和 checkpoint 复杂</w:t>
            </w:r>
          </w:p>
        </w:tc>
      </w:tr>
      <w:tr>
        <w:trPr>
          <w:cantSplit/>
        </w:trPr>
        <w:tc>
          <w:tcPr>
            <w:tcW w:type="dxa" w:w="141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MOON</w:t>
            </w:r>
          </w:p>
        </w:tc>
        <w:tc>
          <w:tcPr>
            <w:tcW w:type="dxa" w:w="317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对比当前本地、当前全局和上一轮本地的表示</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有利于保持表征一致性</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需要历史模型和额外前向计算</w:t>
            </w:r>
          </w:p>
        </w:tc>
      </w:tr>
    </w:tbl>
    <w:p>
      <w:pPr>
        <w:spacing w:after="0"/>
      </w:pPr>
    </w:p>
    <w:p>
      <w:pPr>
        <w:pStyle w:val="Heading2"/>
        <w:keepNext/>
      </w:pPr>
      <w:r>
        <w:rPr>
          <w:rFonts w:ascii="Noto Sans CJK SC" w:hAnsi="Noto Sans CJK SC" w:eastAsia="Noto Sans CJK SC"/>
        </w:rPr>
        <w:t>5.3 Stage 1C-A1：FedProx 详细实施方案</w:t>
      </w:r>
    </w:p>
    <w:p>
      <w:pPr>
        <w:spacing w:after="100" w:line="293" w:lineRule="auto"/>
      </w:pPr>
      <w:r>
        <w:rPr>
          <w:rFonts w:ascii="Noto Sans CJK SC" w:hAnsi="Noto Sans CJK SC" w:eastAsia="Noto Sans CJK SC"/>
          <w:i w:val="0"/>
        </w:rPr>
        <w:t>FedProx 是第一优先级，因为它与 FedAvg 的差别最小：服务器聚合流程可以保持不变，主要改动发生在客户端本地损失。对客户端 k，本地目标可表示为：</w:t>
      </w:r>
    </w:p>
    <w:p>
      <w:pPr>
        <w:jc w:val="center"/>
      </w:pPr>
      <w:r>
        <w:rPr>
          <w:rFonts w:ascii="Noto Serif CJK SC" w:hAnsi="Noto Serif CJK SC" w:eastAsia="Noto Serif CJK SC"/>
          <w:b/>
          <w:color w:val="17365D"/>
          <w:sz w:val="30"/>
        </w:rPr>
        <w:t>Fₖ(w) + (μ / 2) ‖w − wᵗ‖²₂</w:t>
      </w:r>
    </w:p>
    <w:p>
      <w:pPr>
        <w:spacing w:after="100" w:line="293" w:lineRule="auto"/>
      </w:pPr>
      <w:r>
        <w:rPr>
          <w:rFonts w:ascii="Noto Sans CJK SC" w:hAnsi="Noto Sans CJK SC" w:eastAsia="Noto Sans CJK SC"/>
          <w:i w:val="0"/>
        </w:rPr>
        <w:t>其中 wᵗ 是本轮服务器下发的全局模型，w 是客户端当前本地模型，μ 控制本地模型偏离全局模型的惩罚强度。</w:t>
      </w:r>
    </w:p>
    <w:p>
      <w:pPr>
        <w:pStyle w:val="Heading3"/>
        <w:keepNext/>
      </w:pPr>
      <w:r>
        <w:rPr>
          <w:rFonts w:ascii="Noto Sans CJK SC" w:hAnsi="Noto Sans CJK SC" w:eastAsia="Noto Sans CJK SC"/>
        </w:rPr>
        <w:t>5.3.1 正确性验证：μ=0 退化测试</w:t>
      </w:r>
    </w:p>
    <w:p>
      <w:pPr>
        <w:pStyle w:val="ListNumber"/>
        <w:spacing w:after="60" w:line="276" w:lineRule="auto"/>
        <w:ind w:left="340" w:hanging="170"/>
      </w:pPr>
      <w:r>
        <w:rPr>
          <w:rFonts w:ascii="Noto Sans CJK SC" w:hAnsi="Noto Sans CJK SC" w:eastAsia="Noto Sans CJK SC"/>
        </w:rPr>
        <w:t>在 α=0.5 或 α=0.1 上先运行 2～3 轮。</w:t>
      </w:r>
    </w:p>
    <w:p>
      <w:pPr>
        <w:pStyle w:val="ListNumber"/>
        <w:spacing w:after="60" w:line="276" w:lineRule="auto"/>
        <w:ind w:left="340" w:hanging="170"/>
      </w:pPr>
      <w:r>
        <w:rPr>
          <w:rFonts w:ascii="Noto Sans CJK SC" w:hAnsi="Noto Sans CJK SC" w:eastAsia="Noto Sans CJK SC"/>
        </w:rPr>
        <w:t>设置 μ=0，此时 proximal loss 必须恒为 0。</w:t>
      </w:r>
    </w:p>
    <w:p>
      <w:pPr>
        <w:pStyle w:val="ListNumber"/>
        <w:spacing w:after="60" w:line="276" w:lineRule="auto"/>
        <w:ind w:left="340" w:hanging="170"/>
      </w:pPr>
      <w:r>
        <w:rPr>
          <w:rFonts w:ascii="Noto Sans CJK SC" w:hAnsi="Noto Sans CJK SC" w:eastAsia="Noto Sans CJK SC"/>
        </w:rPr>
        <w:t>使用与 FedAvg 相同的初始化、客户端顺序、数据 batch 和优化器。</w:t>
      </w:r>
    </w:p>
    <w:p>
      <w:pPr>
        <w:pStyle w:val="ListNumber"/>
        <w:spacing w:after="60" w:line="276" w:lineRule="auto"/>
        <w:ind w:left="340" w:hanging="170"/>
      </w:pPr>
      <w:r>
        <w:rPr>
          <w:rFonts w:ascii="Noto Sans CJK SC" w:hAnsi="Noto Sans CJK SC" w:eastAsia="Noto Sans CJK SC"/>
        </w:rPr>
        <w:t>检查首轮训练损失、模型更新范数、聚合权重和验证指标是否与 FedAvg 接近。</w:t>
      </w:r>
    </w:p>
    <w:p>
      <w:pPr>
        <w:pStyle w:val="ListNumber"/>
        <w:spacing w:after="60" w:line="276" w:lineRule="auto"/>
        <w:ind w:left="340" w:hanging="170"/>
      </w:pPr>
      <w:r>
        <w:rPr>
          <w:rFonts w:ascii="Noto Sans CJK SC" w:hAnsi="Noto Sans CJK SC" w:eastAsia="Noto Sans CJK SC"/>
        </w:rPr>
        <w:t>验证 checkpoint 保存和恢复后，下一轮结果连续。</w:t>
      </w:r>
    </w:p>
    <w:tbl>
      <w:tblPr>
        <w:tblW w:type="auto" w:w="0"/>
        <w:jc w:val="center"/>
        <w:tblLook w:firstColumn="1" w:firstRow="1" w:lastColumn="0" w:lastRow="0" w:noHBand="0" w:noVBand="1" w:val="04A0"/>
      </w:tblPr>
      <w:tblGrid>
        <w:gridCol w:w="9638"/>
      </w:tblGrid>
      <w:tr>
        <w:tc>
          <w:tcPr>
            <w:tcW w:type="dxa" w:w="9638"/>
            <w:shd w:fill="F4CCCC"/>
            <w:tcBorders>
              <w:top w:sz="4" w:val="single" w:color="C00000"/>
              <w:left w:sz="14" w:val="single" w:color="C00000"/>
              <w:bottom w:sz="4" w:val="single" w:color="C00000"/>
              <w:right w:sz="4" w:val="single" w:color="C00000"/>
            </w:tcBorders>
            <w:tcMar>
              <w:top w:w="110" w:type="dxa"/>
              <w:start w:w="130" w:type="dxa"/>
              <w:bottom w:w="110" w:type="dxa"/>
              <w:end w:w="130" w:type="dxa"/>
            </w:tcMar>
          </w:tcPr>
          <w:p>
            <w:pPr>
              <w:spacing w:after="80"/>
            </w:pPr>
            <w:r>
              <w:rPr>
                <w:rFonts w:ascii="Noto Sans CJK SC" w:hAnsi="Noto Sans CJK SC" w:eastAsia="Noto Sans CJK SC"/>
                <w:b/>
                <w:color w:val="C00000"/>
                <w:sz w:val="20"/>
              </w:rPr>
              <w:t>FedProx 实现的第一道验收门</w:t>
            </w:r>
          </w:p>
          <w:p>
            <w:pPr>
              <w:spacing w:after="0" w:line="276" w:lineRule="auto"/>
            </w:pPr>
            <w:r>
              <w:rPr>
                <w:rFonts w:ascii="Noto Sans CJK SC" w:hAnsi="Noto Sans CJK SC" w:eastAsia="Noto Sans CJK SC"/>
                <w:color w:val="253246"/>
                <w:sz w:val="19"/>
              </w:rPr>
              <w:t>如果 μ=0 不能近似复现 FedAvg，就不能直接开始 μ 调参。应先检查损失定义、全局参考权重是否在每轮正确冻结、以及是否错误地把 non-trainable 变量加入近端项。</w:t>
            </w:r>
          </w:p>
        </w:tc>
      </w:tr>
    </w:tbl>
    <w:p>
      <w:pPr>
        <w:spacing w:after="0"/>
      </w:pPr>
    </w:p>
    <w:p>
      <w:pPr>
        <w:pStyle w:val="Heading3"/>
        <w:keepNext/>
      </w:pPr>
      <w:r>
        <w:rPr>
          <w:rFonts w:ascii="Noto Sans CJK SC" w:hAnsi="Noto Sans CJK SC" w:eastAsia="Noto Sans CJK SC"/>
        </w:rPr>
        <w:t>5.3.2 μ 预实验与选择</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15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阶段</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Partition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μ 候选</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轮数</w:t>
            </w:r>
          </w:p>
        </w:tc>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用途</w:t>
            </w:r>
          </w:p>
        </w:tc>
      </w:tr>
      <w:tr>
        <w:trPr>
          <w:cantSplit/>
        </w:trPr>
        <w:tc>
          <w:tcPr>
            <w:tcW w:type="dxa" w:w="15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冒烟测试</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α=0.5 / α=0.1</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0、0.001、0.01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3～5</w:t>
            </w:r>
          </w:p>
        </w:tc>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验证损失与日志</w:t>
            </w:r>
          </w:p>
        </w:tc>
      </w:tr>
      <w:tr>
        <w:trPr>
          <w:cantSplit/>
        </w:trPr>
        <w:tc>
          <w:tcPr>
            <w:tcW w:type="dxa" w:w="15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参数预实验</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α=0.5、α=0.1</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0、0.0001、0.001、0.01、0.1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30～50</w:t>
            </w:r>
          </w:p>
        </w:tc>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筛选合理 μ</w:t>
            </w:r>
          </w:p>
        </w:tc>
      </w:tr>
      <w:tr>
        <w:trPr>
          <w:cantSplit/>
        </w:trPr>
        <w:tc>
          <w:tcPr>
            <w:tcW w:type="dxa" w:w="15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正式实验</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IID、α=1、α=0.5、α=0.1</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选定 1～2 个 μ</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160</w:t>
            </w:r>
          </w:p>
        </w:tc>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与 FedAvg 公平比较</w:t>
            </w:r>
          </w:p>
        </w:tc>
      </w:tr>
    </w:tbl>
    <w:p>
      <w:pPr>
        <w:spacing w:after="0"/>
      </w:pPr>
    </w:p>
    <w:p>
      <w:pPr>
        <w:spacing w:after="100" w:line="293" w:lineRule="auto"/>
      </w:pPr>
      <w:r>
        <w:rPr>
          <w:rFonts w:ascii="Noto Sans CJK SC" w:hAnsi="Noto Sans CJK SC" w:eastAsia="Noto Sans CJK SC"/>
          <w:b/>
        </w:rPr>
        <w:t>μ 应根据本地/合并验证集选择</w:t>
      </w:r>
      <w:r>
        <w:rPr>
          <w:rFonts w:ascii="Noto Sans CJK SC" w:hAnsi="Noto Sans CJK SC" w:eastAsia="Noto Sans CJK SC"/>
        </w:rPr>
        <w:t>，官方 Test.csv 只能用于最终报告，不能反复用来挑选 μ。</w:t>
      </w:r>
    </w:p>
    <w:p>
      <w:pPr>
        <w:pStyle w:val="Heading3"/>
        <w:keepNext/>
      </w:pPr>
      <w:r>
        <w:rPr>
          <w:rFonts w:ascii="Noto Sans CJK SC" w:hAnsi="Noto Sans CJK SC" w:eastAsia="Noto Sans CJK SC"/>
        </w:rPr>
        <w:t>5.3.3 FedProx 必须记录的额外指标</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建议的客户端与轮次日志字段</w:t>
            </w:r>
          </w:p>
          <w:p>
            <w:pPr>
              <w:spacing w:after="0" w:before="0" w:line="240" w:lineRule="auto"/>
            </w:pPr>
            <w:r>
              <w:rPr>
                <w:rFonts w:ascii="Noto Sans Mono CJK SC" w:hAnsi="Noto Sans Mono CJK SC" w:eastAsia="Noto Sans Mono CJK SC"/>
                <w:color w:val="1F2937"/>
                <w:sz w:val="16"/>
              </w:rPr>
              <w:t>round</w:t>
            </w:r>
          </w:p>
          <w:p>
            <w:pPr>
              <w:spacing w:after="0" w:before="0" w:line="240" w:lineRule="auto"/>
            </w:pPr>
            <w:r>
              <w:rPr>
                <w:rFonts w:ascii="Noto Sans Mono CJK SC" w:hAnsi="Noto Sans Mono CJK SC" w:eastAsia="Noto Sans Mono CJK SC"/>
                <w:color w:val="1F2937"/>
                <w:sz w:val="16"/>
              </w:rPr>
              <w:t>client_id</w:t>
            </w:r>
          </w:p>
          <w:p>
            <w:pPr>
              <w:spacing w:after="0" w:before="0" w:line="240" w:lineRule="auto"/>
            </w:pPr>
            <w:r>
              <w:rPr>
                <w:rFonts w:ascii="Noto Sans Mono CJK SC" w:hAnsi="Noto Sans Mono CJK SC" w:eastAsia="Noto Sans Mono CJK SC"/>
                <w:color w:val="1F2937"/>
                <w:sz w:val="16"/>
              </w:rPr>
              <w:t>task_loss</w:t>
            </w:r>
          </w:p>
          <w:p>
            <w:pPr>
              <w:spacing w:after="0" w:before="0" w:line="240" w:lineRule="auto"/>
            </w:pPr>
            <w:r>
              <w:rPr>
                <w:rFonts w:ascii="Noto Sans Mono CJK SC" w:hAnsi="Noto Sans Mono CJK SC" w:eastAsia="Noto Sans Mono CJK SC"/>
                <w:color w:val="1F2937"/>
                <w:sz w:val="16"/>
              </w:rPr>
              <w:t>proximal_loss</w:t>
            </w:r>
          </w:p>
          <w:p>
            <w:pPr>
              <w:spacing w:after="0" w:before="0" w:line="240" w:lineRule="auto"/>
            </w:pPr>
            <w:r>
              <w:rPr>
                <w:rFonts w:ascii="Noto Sans Mono CJK SC" w:hAnsi="Noto Sans Mono CJK SC" w:eastAsia="Noto Sans Mono CJK SC"/>
                <w:color w:val="1F2937"/>
                <w:sz w:val="16"/>
              </w:rPr>
              <w:t>total_loss</w:t>
            </w:r>
          </w:p>
          <w:p>
            <w:pPr>
              <w:spacing w:after="0" w:before="0" w:line="240" w:lineRule="auto"/>
            </w:pPr>
            <w:r>
              <w:rPr>
                <w:rFonts w:ascii="Noto Sans Mono CJK SC" w:hAnsi="Noto Sans Mono CJK SC" w:eastAsia="Noto Sans Mono CJK SC"/>
                <w:color w:val="1F2937"/>
                <w:sz w:val="16"/>
              </w:rPr>
              <w:t>distance_to_global_model</w:t>
            </w:r>
          </w:p>
          <w:p>
            <w:pPr>
              <w:spacing w:after="0" w:before="0" w:line="240" w:lineRule="auto"/>
            </w:pPr>
            <w:r>
              <w:rPr>
                <w:rFonts w:ascii="Noto Sans Mono CJK SC" w:hAnsi="Noto Sans Mono CJK SC" w:eastAsia="Noto Sans Mono CJK SC"/>
                <w:color w:val="1F2937"/>
                <w:sz w:val="16"/>
              </w:rPr>
              <w:t>model_delta_norm</w:t>
            </w:r>
          </w:p>
          <w:p>
            <w:pPr>
              <w:spacing w:after="0" w:before="0" w:line="240" w:lineRule="auto"/>
            </w:pPr>
            <w:r>
              <w:rPr>
                <w:rFonts w:ascii="Noto Sans Mono CJK SC" w:hAnsi="Noto Sans Mono CJK SC" w:eastAsia="Noto Sans Mono CJK SC"/>
                <w:color w:val="1F2937"/>
                <w:sz w:val="16"/>
              </w:rPr>
              <w:t>client_num_examples</w:t>
            </w:r>
          </w:p>
          <w:p>
            <w:pPr>
              <w:spacing w:after="0" w:before="0" w:line="240" w:lineRule="auto"/>
            </w:pPr>
            <w:r>
              <w:rPr>
                <w:rFonts w:ascii="Noto Sans Mono CJK SC" w:hAnsi="Noto Sans Mono CJK SC" w:eastAsia="Noto Sans Mono CJK SC"/>
                <w:color w:val="1F2937"/>
                <w:sz w:val="16"/>
              </w:rPr>
              <w:t>val_accuracy / val_loss</w:t>
            </w:r>
          </w:p>
        </w:tc>
      </w:tr>
    </w:tbl>
    <w:p>
      <w:pPr>
        <w:spacing w:after="0"/>
      </w:pPr>
    </w:p>
    <w:p>
      <w:pPr>
        <w:spacing w:after="100" w:line="293" w:lineRule="auto"/>
      </w:pPr>
      <w:r>
        <w:rPr>
          <w:rFonts w:ascii="Noto Sans CJK SC" w:hAnsi="Noto Sans CJK SC" w:eastAsia="Noto Sans CJK SC"/>
          <w:i w:val="0"/>
        </w:rPr>
        <w:t>其中 distance_to_global_model 和 model_delta_norm 是证明 FedProx 是否真正抑制客户端漂移的关键证据，而不能只看最终准确率。</w:t>
      </w:r>
    </w:p>
    <w:p>
      <w:pPr>
        <w:pStyle w:val="Heading3"/>
        <w:keepNext/>
      </w:pPr>
      <w:r>
        <w:rPr>
          <w:rFonts w:ascii="Noto Sans CJK SC" w:hAnsi="Noto Sans CJK SC" w:eastAsia="Noto Sans CJK SC"/>
        </w:rPr>
        <w:t>5.3.4 FedProx 正式实验输出</w:t>
      </w:r>
    </w:p>
    <w:p>
      <w:pPr>
        <w:pStyle w:val="ListBullet"/>
        <w:spacing w:after="60" w:line="276" w:lineRule="auto"/>
        <w:ind w:left="340" w:hanging="170"/>
      </w:pPr>
      <w:r>
        <w:rPr>
          <w:rFonts w:ascii="Noto Sans CJK SC" w:hAnsi="Noto Sans CJK SC" w:eastAsia="Noto Sans CJK SC"/>
        </w:rPr>
        <w:t>四种主 partition 的 metrics.csv、test_metrics.json、per_class_accuracy.csv、confusion_matrix.csv。</w:t>
      </w:r>
    </w:p>
    <w:p>
      <w:pPr>
        <w:pStyle w:val="ListBullet"/>
        <w:spacing w:after="60" w:line="276" w:lineRule="auto"/>
        <w:ind w:left="340" w:hanging="170"/>
      </w:pPr>
      <w:r>
        <w:rPr>
          <w:rFonts w:ascii="Noto Sans CJK SC" w:hAnsi="Noto Sans CJK SC" w:eastAsia="Noto Sans CJK SC"/>
        </w:rPr>
        <w:t>每轮 proximal loss、模型距离和更新范数。</w:t>
      </w:r>
    </w:p>
    <w:p>
      <w:pPr>
        <w:pStyle w:val="ListBullet"/>
        <w:spacing w:after="60" w:line="276" w:lineRule="auto"/>
        <w:ind w:left="340" w:hanging="170"/>
      </w:pPr>
      <w:r>
        <w:rPr>
          <w:rFonts w:ascii="Noto Sans CJK SC" w:hAnsi="Noto Sans CJK SC" w:eastAsia="Noto Sans CJK SC"/>
        </w:rPr>
        <w:t>FedAvg vs FedProx 的总体性能、类别性能、客户端公平性和收敛图。</w:t>
      </w:r>
    </w:p>
    <w:p>
      <w:pPr>
        <w:pStyle w:val="ListBullet"/>
        <w:spacing w:after="60" w:line="276" w:lineRule="auto"/>
        <w:ind w:left="340" w:hanging="170"/>
      </w:pPr>
      <w:r>
        <w:rPr>
          <w:rFonts w:ascii="Noto Sans CJK SC" w:hAnsi="Noto Sans CJK SC" w:eastAsia="Noto Sans CJK SC"/>
        </w:rPr>
        <w:t>μ 参数敏感性表与曲线。</w:t>
      </w:r>
    </w:p>
    <w:p>
      <w:pPr>
        <w:pStyle w:val="ListBullet"/>
        <w:spacing w:after="60" w:line="276" w:lineRule="auto"/>
        <w:ind w:left="340" w:hanging="170"/>
      </w:pPr>
      <w:r>
        <w:rPr>
          <w:rFonts w:ascii="Noto Sans CJK SC" w:hAnsi="Noto Sans CJK SC" w:eastAsia="Noto Sans CJK SC"/>
        </w:rPr>
        <w:t>对 class 0、8、19、38、39 等原失效类别的恢复分析。</w:t>
      </w:r>
    </w:p>
    <w:p>
      <w:pPr>
        <w:pStyle w:val="Heading2"/>
        <w:keepNext/>
      </w:pPr>
      <w:r>
        <w:rPr>
          <w:rFonts w:ascii="Noto Sans CJK SC" w:hAnsi="Noto Sans CJK SC" w:eastAsia="Noto Sans CJK SC"/>
        </w:rPr>
        <w:t>5.4 Stage 1C-A2：SCAFFOLD 实施方案</w:t>
      </w:r>
    </w:p>
    <w:p>
      <w:pPr>
        <w:spacing w:after="100" w:line="293" w:lineRule="auto"/>
      </w:pPr>
      <w:r>
        <w:rPr>
          <w:rFonts w:ascii="Noto Sans CJK SC" w:hAnsi="Noto Sans CJK SC" w:eastAsia="Noto Sans CJK SC"/>
          <w:i w:val="0"/>
        </w:rPr>
        <w:t>SCAFFOLD 使用服务器控制变量 c 和每个客户端控制变量 cᵢ 修正本地更新方向，目标是减轻 Non-IID 下的 client drift。它不只是修改损失函数，而是引入跨轮持续状态。</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SCAFFOLD 状态清单</w:t>
            </w:r>
          </w:p>
          <w:p>
            <w:pPr>
              <w:spacing w:after="0" w:before="0" w:line="240" w:lineRule="auto"/>
            </w:pPr>
            <w:r>
              <w:rPr>
                <w:rFonts w:ascii="Noto Sans Mono CJK SC" w:hAnsi="Noto Sans Mono CJK SC" w:eastAsia="Noto Sans Mono CJK SC"/>
                <w:color w:val="1F2937"/>
                <w:sz w:val="16"/>
              </w:rPr>
              <w:t>每轮需要维护：</w:t>
            </w:r>
          </w:p>
          <w:p>
            <w:pPr>
              <w:spacing w:after="0" w:before="0" w:line="240" w:lineRule="auto"/>
            </w:pPr>
            <w:r>
              <w:rPr>
                <w:rFonts w:ascii="Noto Sans Mono CJK SC" w:hAnsi="Noto Sans Mono CJK SC" w:eastAsia="Noto Sans Mono CJK SC"/>
                <w:color w:val="1F2937"/>
                <w:sz w:val="16"/>
              </w:rPr>
              <w:t>1. global model weights</w:t>
            </w:r>
          </w:p>
          <w:p>
            <w:pPr>
              <w:spacing w:after="0" w:before="0" w:line="240" w:lineRule="auto"/>
            </w:pPr>
            <w:r>
              <w:rPr>
                <w:rFonts w:ascii="Noto Sans Mono CJK SC" w:hAnsi="Noto Sans Mono CJK SC" w:eastAsia="Noto Sans Mono CJK SC"/>
                <w:color w:val="1F2937"/>
                <w:sz w:val="16"/>
              </w:rPr>
              <w:t>2. server control variate c</w:t>
            </w:r>
          </w:p>
          <w:p>
            <w:pPr>
              <w:spacing w:after="0" w:before="0" w:line="240" w:lineRule="auto"/>
            </w:pPr>
            <w:r>
              <w:rPr>
                <w:rFonts w:ascii="Noto Sans Mono CJK SC" w:hAnsi="Noto Sans Mono CJK SC" w:eastAsia="Noto Sans Mono CJK SC"/>
                <w:color w:val="1F2937"/>
                <w:sz w:val="16"/>
              </w:rPr>
              <w:t>3. client_0 ... client_4 control variates c_i</w:t>
            </w:r>
          </w:p>
          <w:p>
            <w:pPr>
              <w:spacing w:after="0" w:before="0" w:line="240" w:lineRule="auto"/>
            </w:pPr>
            <w:r>
              <w:rPr>
                <w:rFonts w:ascii="Noto Sans Mono CJK SC" w:hAnsi="Noto Sans Mono CJK SC" w:eastAsia="Noto Sans Mono CJK SC"/>
                <w:color w:val="1F2937"/>
                <w:sz w:val="16"/>
              </w:rPr>
              <w:t>4. completed round</w:t>
            </w:r>
          </w:p>
          <w:p>
            <w:pPr>
              <w:spacing w:after="0" w:before="0" w:line="240" w:lineRule="auto"/>
            </w:pPr>
            <w:r>
              <w:rPr>
                <w:rFonts w:ascii="Noto Sans Mono CJK SC" w:hAnsi="Noto Sans Mono CJK SC" w:eastAsia="Noto Sans Mono CJK SC"/>
                <w:color w:val="1F2937"/>
                <w:sz w:val="16"/>
              </w:rPr>
              <w:t>5. 必要的优化器/聚合器状态</w:t>
            </w:r>
          </w:p>
        </w:tc>
      </w:tr>
    </w:tbl>
    <w:p>
      <w:pPr>
        <w:spacing w:after="0"/>
      </w:pPr>
    </w:p>
    <w:p>
      <w:pPr>
        <w:pStyle w:val="ListBullet"/>
        <w:spacing w:after="60" w:line="276" w:lineRule="auto"/>
        <w:ind w:left="340" w:hanging="170"/>
      </w:pPr>
      <w:r>
        <w:rPr>
          <w:rFonts w:ascii="Noto Sans CJK SC" w:hAnsi="Noto Sans CJK SC" w:eastAsia="Noto Sans CJK SC"/>
        </w:rPr>
        <w:t>先在小轮次验证控制变量形状与模型变量完全一致。</w:t>
      </w:r>
    </w:p>
    <w:p>
      <w:pPr>
        <w:pStyle w:val="ListBullet"/>
        <w:spacing w:after="60" w:line="276" w:lineRule="auto"/>
        <w:ind w:left="340" w:hanging="170"/>
      </w:pPr>
      <w:r>
        <w:rPr>
          <w:rFonts w:ascii="Noto Sans CJK SC" w:hAnsi="Noto Sans CJK SC" w:eastAsia="Noto Sans CJK SC"/>
        </w:rPr>
        <w:t>检查客户端未参与某轮时，其 cᵢ 是否保持不变；当前全参与设置也应为未来部分参与保留逻辑。</w:t>
      </w:r>
    </w:p>
    <w:p>
      <w:pPr>
        <w:pStyle w:val="ListBullet"/>
        <w:spacing w:after="60" w:line="276" w:lineRule="auto"/>
        <w:ind w:left="340" w:hanging="170"/>
      </w:pPr>
      <w:r>
        <w:rPr>
          <w:rFonts w:ascii="Noto Sans CJK SC" w:hAnsi="Noto Sans CJK SC" w:eastAsia="Noto Sans CJK SC"/>
        </w:rPr>
        <w:t>checkpoint 必须保存全部控制变量，不能只保存全局模型 NPZ。</w:t>
      </w:r>
    </w:p>
    <w:p>
      <w:pPr>
        <w:pStyle w:val="ListBullet"/>
        <w:spacing w:after="60" w:line="276" w:lineRule="auto"/>
        <w:ind w:left="340" w:hanging="170"/>
      </w:pPr>
      <w:r>
        <w:rPr>
          <w:rFonts w:ascii="Noto Sans CJK SC" w:hAnsi="Noto Sans CJK SC" w:eastAsia="Noto Sans CJK SC"/>
        </w:rPr>
        <w:t>恢复训练后比较控制变量范数、模型更新和指标是否连续。</w:t>
      </w:r>
    </w:p>
    <w:tbl>
      <w:tblPr>
        <w:tblW w:type="auto" w:w="0"/>
        <w:jc w:val="center"/>
        <w:tblLook w:firstColumn="1" w:firstRow="1" w:lastColumn="0" w:lastRow="0" w:noHBand="0" w:noVBand="1" w:val="04A0"/>
      </w:tblPr>
      <w:tblGrid>
        <w:gridCol w:w="9638"/>
      </w:tblGrid>
      <w:tr>
        <w:tc>
          <w:tcPr>
            <w:tcW w:type="dxa" w:w="9638"/>
            <w:shd w:fill="F4CCCC"/>
            <w:tcBorders>
              <w:top w:sz="4" w:val="single" w:color="C00000"/>
              <w:left w:sz="14" w:val="single" w:color="C00000"/>
              <w:bottom w:sz="4" w:val="single" w:color="C00000"/>
              <w:right w:sz="4" w:val="single" w:color="C00000"/>
            </w:tcBorders>
            <w:tcMar>
              <w:top w:w="110" w:type="dxa"/>
              <w:start w:w="130" w:type="dxa"/>
              <w:bottom w:w="110" w:type="dxa"/>
              <w:end w:w="130" w:type="dxa"/>
            </w:tcMar>
          </w:tcPr>
          <w:p>
            <w:pPr>
              <w:spacing w:after="80"/>
            </w:pPr>
            <w:r>
              <w:rPr>
                <w:rFonts w:ascii="Noto Sans CJK SC" w:hAnsi="Noto Sans CJK SC" w:eastAsia="Noto Sans CJK SC"/>
                <w:b/>
                <w:color w:val="C00000"/>
                <w:sz w:val="20"/>
              </w:rPr>
              <w:t>SCAFFOLD 与当前 checkpoint 的冲突</w:t>
            </w:r>
          </w:p>
          <w:p>
            <w:pPr>
              <w:spacing w:after="0" w:line="276" w:lineRule="auto"/>
            </w:pPr>
            <w:r>
              <w:rPr>
                <w:rFonts w:ascii="Noto Sans CJK SC" w:hAnsi="Noto Sans CJK SC" w:eastAsia="Noto Sans CJK SC"/>
                <w:color w:val="253246"/>
                <w:sz w:val="19"/>
              </w:rPr>
              <w:t>Stage 1B 只保存全局 ModelWeights 的方案不足以恢复 SCAFFOLD。若遗漏 c 或 cᵢ，恢复后的算法将不是原实验的连续训练。</w:t>
            </w:r>
          </w:p>
        </w:tc>
      </w:tr>
    </w:tbl>
    <w:p>
      <w:pPr>
        <w:spacing w:after="0"/>
      </w:pPr>
    </w:p>
    <w:p>
      <w:pPr>
        <w:pStyle w:val="Heading2"/>
        <w:keepNext/>
      </w:pPr>
      <w:r>
        <w:rPr>
          <w:rFonts w:ascii="Noto Sans CJK SC" w:hAnsi="Noto Sans CJK SC" w:eastAsia="Noto Sans CJK SC"/>
        </w:rPr>
        <w:t>5.5 Stage 1C-A3：MOON 实施方案</w:t>
      </w:r>
    </w:p>
    <w:p>
      <w:pPr>
        <w:spacing w:after="100" w:line="293" w:lineRule="auto"/>
      </w:pPr>
      <w:r>
        <w:rPr>
          <w:rFonts w:ascii="Noto Sans CJK SC" w:hAnsi="Noto Sans CJK SC" w:eastAsia="Noto Sans CJK SC"/>
          <w:i w:val="0"/>
        </w:rPr>
        <w:t>MOON 通过模型级对比学习，使当前本地模型的表示靠近当前全局模型，同时远离该客户端上一轮本地模型的表示。它需要将现有 Sequential CNN 改造成能够同时返回 logits 和中间 representation 的模型。</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对象</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作用</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状态要求</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当前本地模型</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正常参与反向传播</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每个客户端本轮训练状态</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当前全局模型</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作为正样本参照</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本轮冻结，不反向更新</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上一轮本地模型</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作为负样本参照</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每个客户端跨轮保存</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Representation</w:t>
            </w:r>
          </w:p>
        </w:tc>
        <w:tc>
          <w:tcPr>
            <w:tcW w:type="dxa" w:w="368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建议取 GlobalAveragePooling2D 后的 128 维向量</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模型接口需显式暴露</w:t>
            </w:r>
          </w:p>
        </w:tc>
      </w:tr>
    </w:tbl>
    <w:p>
      <w:pPr>
        <w:spacing w:after="0"/>
      </w:pPr>
    </w:p>
    <w:p>
      <w:pPr>
        <w:pStyle w:val="ListBullet"/>
        <w:spacing w:after="60" w:line="276" w:lineRule="auto"/>
        <w:ind w:left="340" w:hanging="170"/>
      </w:pPr>
      <w:r>
        <w:rPr>
          <w:rFonts w:ascii="Noto Sans CJK SC" w:hAnsi="Noto Sans CJK SC" w:eastAsia="Noto Sans CJK SC"/>
        </w:rPr>
        <w:t>每个 batch 需要额外前向计算，显存和时间开销高于 FedAvg/FedProx。</w:t>
      </w:r>
    </w:p>
    <w:p>
      <w:pPr>
        <w:pStyle w:val="ListBullet"/>
        <w:spacing w:after="60" w:line="276" w:lineRule="auto"/>
        <w:ind w:left="340" w:hanging="170"/>
      </w:pPr>
      <w:r>
        <w:rPr>
          <w:rFonts w:ascii="Noto Sans CJK SC" w:hAnsi="Noto Sans CJK SC" w:eastAsia="Noto Sans CJK SC"/>
        </w:rPr>
        <w:t>每个客户端必须保存上一轮本地模型或等价历史状态。</w:t>
      </w:r>
    </w:p>
    <w:p>
      <w:pPr>
        <w:pStyle w:val="ListBullet"/>
        <w:spacing w:after="60" w:line="276" w:lineRule="auto"/>
        <w:ind w:left="340" w:hanging="170"/>
      </w:pPr>
      <w:r>
        <w:rPr>
          <w:rFonts w:ascii="Noto Sans CJK SC" w:hAnsi="Noto Sans CJK SC" w:eastAsia="Noto Sans CJK SC"/>
        </w:rPr>
        <w:t>需要记录对比损失权重 μ_moon、温度 τ 和 representation 归一化方式。</w:t>
      </w:r>
    </w:p>
    <w:p>
      <w:pPr>
        <w:pStyle w:val="ListBullet"/>
        <w:spacing w:after="60" w:line="276" w:lineRule="auto"/>
        <w:ind w:left="340" w:hanging="170"/>
      </w:pPr>
      <w:r>
        <w:rPr>
          <w:rFonts w:ascii="Noto Sans CJK SC" w:hAnsi="Noto Sans CJK SC" w:eastAsia="Noto Sans CJK SC"/>
        </w:rPr>
        <w:t>首先做 μ_moon=0 的退化测试，确保回到普通本地训练。</w:t>
      </w:r>
    </w:p>
    <w:p>
      <w:pPr>
        <w:pStyle w:val="Heading2"/>
        <w:keepNext/>
      </w:pPr>
      <w:r>
        <w:rPr>
          <w:rFonts w:ascii="Noto Sans CJK SC" w:hAnsi="Noto Sans CJK SC" w:eastAsia="Noto Sans CJK SC"/>
        </w:rPr>
        <w:t>5.6 Stage 1C-A 验收标准</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维度</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验收要求</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正确性</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退化参数可回到 FedAvg；固定 partition；训练可重复；checkpoint 可恢复</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性能</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报告 Test Accuracy、Macro Accuracy、Worst Class、Zero-class count</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公平性</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报告客户端均值、最差客户端、标准差和 best-worst gap</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机制证据</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FedProx 距离/更新范数；SCAFFOLD 控制变量；MOON 对比损失与表示</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成本</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训练时间、状态存储、模型前向次数与通信字节</w:t>
            </w:r>
          </w:p>
        </w:tc>
      </w:tr>
      <w:tr>
        <w:trPr>
          <w:cantSplit/>
        </w:trPr>
        <w:tc>
          <w:tcPr>
            <w:tcW w:type="dxa" w:w="198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结论</w:t>
            </w:r>
          </w:p>
        </w:tc>
        <w:tc>
          <w:tcPr>
            <w:tcW w:type="dxa" w:w="708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说明算法在哪种异构程度有效，不夸大单随机种子结果</w:t>
            </w:r>
          </w:p>
        </w:tc>
      </w:tr>
    </w:tbl>
    <w:p>
      <w:pPr>
        <w:spacing w:after="0"/>
      </w:pPr>
    </w:p>
    <w:p>
      <w:pPr>
        <w:pStyle w:val="Heading1"/>
        <w:keepNext/>
      </w:pPr>
      <w:r>
        <w:rPr>
          <w:rFonts w:ascii="Noto Sans CJK SC" w:hAnsi="Noto Sans CJK SC" w:eastAsia="Noto Sans CJK SC"/>
        </w:rPr>
        <w:t>6. Stage 1C-B：FedBN 与场景/特征异构</w:t>
      </w:r>
    </w:p>
    <w:p>
      <w:pPr>
        <w:pStyle w:val="Heading2"/>
        <w:keepNext/>
      </w:pPr>
      <w:r>
        <w:rPr>
          <w:rFonts w:ascii="Noto Sans CJK SC" w:hAnsi="Noto Sans CJK SC" w:eastAsia="Noto Sans CJK SC"/>
        </w:rPr>
        <w:t>6.1 为什么 Stage 1C-B 不能直接复用旧的带 BN 失败结果</w:t>
      </w:r>
    </w:p>
    <w:p>
      <w:pPr>
        <w:spacing w:after="100" w:line="293" w:lineRule="auto"/>
      </w:pPr>
      <w:r>
        <w:rPr>
          <w:rFonts w:ascii="Noto Sans CJK SC" w:hAnsi="Noto Sans CJK SC" w:eastAsia="Noto Sans CJK SC"/>
          <w:i w:val="0"/>
        </w:rPr>
        <w:t>旧实验中，带 BN 的客户端本地训练准确率接近 99%，但全局验证约 6%、官方测试约 6.7%。这说明卷积网络在本地能够学习，但全局模型的 BN 状态在 TFF 训练、聚合、写回或导出过程中没有正确维护。该结果是重要的失败案例，但不能直接作为 FedAvg-BN 的公平算法基线。</w:t>
      </w:r>
    </w:p>
    <w:tbl>
      <w:tblPr>
        <w:tblW w:type="auto" w:w="0"/>
        <w:jc w:val="center"/>
        <w:tblLook w:firstColumn="1" w:firstRow="1" w:lastColumn="0" w:lastRow="0" w:noHBand="0" w:noVBand="1" w:val="04A0"/>
      </w:tblPr>
      <w:tblGrid>
        <w:gridCol w:w="9638"/>
      </w:tblGrid>
      <w:tr>
        <w:tc>
          <w:tcPr>
            <w:tcW w:type="dxa" w:w="9638"/>
            <w:shd w:fill="FCE4D6"/>
            <w:tcBorders>
              <w:top w:sz="4" w:val="single" w:color="C65911"/>
              <w:left w:sz="14" w:val="single" w:color="C65911"/>
              <w:bottom w:sz="4" w:val="single" w:color="C65911"/>
              <w:right w:sz="4" w:val="single" w:color="C65911"/>
            </w:tcBorders>
            <w:tcMar>
              <w:top w:w="110" w:type="dxa"/>
              <w:start w:w="130" w:type="dxa"/>
              <w:bottom w:w="110" w:type="dxa"/>
              <w:end w:w="130" w:type="dxa"/>
            </w:tcMar>
          </w:tcPr>
          <w:p>
            <w:pPr>
              <w:spacing w:after="80"/>
            </w:pPr>
            <w:r>
              <w:rPr>
                <w:rFonts w:ascii="Noto Sans CJK SC" w:hAnsi="Noto Sans CJK SC" w:eastAsia="Noto Sans CJK SC"/>
                <w:b/>
                <w:color w:val="C65911"/>
                <w:sz w:val="20"/>
              </w:rPr>
              <w:t>正确解释</w:t>
            </w:r>
          </w:p>
          <w:p>
            <w:pPr>
              <w:spacing w:after="0" w:line="276" w:lineRule="auto"/>
            </w:pPr>
            <w:r>
              <w:rPr>
                <w:rFonts w:ascii="Noto Sans CJK SC" w:hAnsi="Noto Sans CJK SC" w:eastAsia="Noto Sans CJK SC"/>
                <w:color w:val="253246"/>
                <w:sz w:val="19"/>
              </w:rPr>
              <w:t>旧结果只能证明“当时的 BN 状态处理方式不可用”，不能证明“FedAvg 理论上无法使用 BN”，也不能仅凭该失败直接宣称 FedBN 有效。</w:t>
            </w:r>
          </w:p>
        </w:tc>
      </w:tr>
    </w:tbl>
    <w:p>
      <w:pPr>
        <w:spacing w:after="0"/>
      </w:pPr>
    </w:p>
    <w:p>
      <w:pPr>
        <w:pStyle w:val="Heading2"/>
        <w:keepNext/>
      </w:pPr>
      <w:r>
        <w:rPr>
          <w:rFonts w:ascii="Noto Sans CJK SC" w:hAnsi="Noto Sans CJK SC" w:eastAsia="Noto Sans CJK SC"/>
        </w:rPr>
        <w:t>6.2 为什么这一失败反而支持单独研究 FedBN</w:t>
      </w:r>
    </w:p>
    <w:p>
      <w:pPr>
        <w:spacing w:after="100" w:line="293" w:lineRule="auto"/>
      </w:pPr>
      <w:r>
        <w:rPr>
          <w:rFonts w:ascii="Noto Sans CJK SC" w:hAnsi="Noto Sans CJK SC" w:eastAsia="Noto Sans CJK SC"/>
          <w:i w:val="0"/>
        </w:rPr>
        <w:t>BN moving_mean、moving_variance、gamma 和 beta 与本地特征分布密切相关。FedBN 的核心正是避免把这些本地分布信息简单混合，而是让每个客户端保留自己的 BN 状态。因此，Stage 1C-B 需要从“正确实现 BN 状态”开始，再比较全局 BN 与本地 BN。</w:t>
      </w:r>
    </w:p>
    <w:p>
      <w:pPr>
        <w:pStyle w:val="Heading2"/>
        <w:keepNext/>
      </w:pPr>
      <w:r>
        <w:rPr>
          <w:rFonts w:ascii="Noto Sans CJK SC" w:hAnsi="Noto Sans CJK SC" w:eastAsia="Noto Sans CJK SC"/>
        </w:rPr>
        <w:t>6.3 带 BN 分支的四步重建流程</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步骤</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8"/>
              </w:rPr>
              <w:t>目的</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B0-1 Centralized-BN</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确认带 BN CNN 在集中式训练、保存、重新加载和 inference 模式下正常。</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B0-2 Local-only-BN</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确认单客户端训练后 BN moving statistics 会更新，training=False 推理正常。</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B0-3 Correct FedAvg-BN</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明确处理 trainable 与 non-trainable variables，验证服务器状态和导出模型完整。</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B1 FedBN</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只聚合共享非 BN 参数，每个客户端持续保留自己的 BN 状态。</w:t>
            </w:r>
          </w:p>
        </w:tc>
      </w:tr>
    </w:tbl>
    <w:p>
      <w:pPr>
        <w:spacing w:after="0"/>
      </w:pPr>
    </w:p>
    <w:p>
      <w:pPr>
        <w:pStyle w:val="Heading2"/>
        <w:keepNext/>
      </w:pPr>
      <w:r>
        <w:rPr>
          <w:rFonts w:ascii="Noto Sans CJK SC" w:hAnsi="Noto Sans CJK SC" w:eastAsia="Noto Sans CJK SC"/>
        </w:rPr>
        <w:t>6.4 BN 变量必须明确分组</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变量类型</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典型变量</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FedAvg-BN</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FedBN</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共享网络参数</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Conv2D kernel/bias、Dense kernel/bias</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参与聚合</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参与聚合</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BN 可训练参数</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gamma、beta</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按确定方案全局处理</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通常保留本地；必须在配置中明确</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BN 非训练统计量</w:t>
            </w:r>
          </w:p>
        </w:tc>
        <w:tc>
          <w:tcPr>
            <w:tcW w:type="dxa" w:w="238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moving_mean、moving_variance</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必须正确维护/聚合/写回</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保留在客户端本地</w:t>
            </w:r>
          </w:p>
        </w:tc>
      </w:tr>
    </w:tbl>
    <w:p>
      <w:pPr>
        <w:spacing w:after="0"/>
      </w:pPr>
    </w:p>
    <w:tbl>
      <w:tblPr>
        <w:tblW w:type="auto" w:w="0"/>
        <w:jc w:val="center"/>
        <w:tblLook w:firstColumn="1" w:firstRow="1" w:lastColumn="0" w:lastRow="0" w:noHBand="0" w:noVBand="1" w:val="04A0"/>
      </w:tblPr>
      <w:tblGrid>
        <w:gridCol w:w="9638"/>
      </w:tblGrid>
      <w:tr>
        <w:tc>
          <w:tcPr>
            <w:tcW w:type="dxa" w:w="9638"/>
            <w:shd w:fill="F4CCCC"/>
            <w:tcBorders>
              <w:top w:sz="4" w:val="single" w:color="C00000"/>
              <w:left w:sz="14" w:val="single" w:color="C00000"/>
              <w:bottom w:sz="4" w:val="single" w:color="C00000"/>
              <w:right w:sz="4" w:val="single" w:color="C00000"/>
            </w:tcBorders>
            <w:tcMar>
              <w:top w:w="110" w:type="dxa"/>
              <w:start w:w="130" w:type="dxa"/>
              <w:bottom w:w="110" w:type="dxa"/>
              <w:end w:w="130" w:type="dxa"/>
            </w:tcMar>
          </w:tcPr>
          <w:p>
            <w:pPr>
              <w:spacing w:after="80"/>
            </w:pPr>
            <w:r>
              <w:rPr>
                <w:rFonts w:ascii="Noto Sans CJK SC" w:hAnsi="Noto Sans CJK SC" w:eastAsia="Noto Sans CJK SC"/>
                <w:b/>
                <w:color w:val="C00000"/>
                <w:sz w:val="20"/>
              </w:rPr>
              <w:t>实现前必须先做变量审计</w:t>
            </w:r>
          </w:p>
          <w:p>
            <w:pPr>
              <w:spacing w:after="0" w:line="276" w:lineRule="auto"/>
            </w:pPr>
            <w:r>
              <w:rPr>
                <w:rFonts w:ascii="Noto Sans CJK SC" w:hAnsi="Noto Sans CJK SC" w:eastAsia="Noto Sans CJK SC"/>
                <w:color w:val="253246"/>
                <w:sz w:val="19"/>
              </w:rPr>
              <w:t>打印每个变量的名称、shape、trainable 标志、是否属于 BN、是否参与服务器聚合。任何依赖“变量顺序猜测”的实现都容易在模型修改后失效。</w:t>
            </w:r>
          </w:p>
        </w:tc>
      </w:tr>
    </w:tbl>
    <w:p>
      <w:pPr>
        <w:spacing w:after="0"/>
      </w:pPr>
    </w:p>
    <w:p>
      <w:pPr>
        <w:pStyle w:val="Heading2"/>
        <w:keepNext/>
      </w:pPr>
      <w:r>
        <w:rPr>
          <w:rFonts w:ascii="Noto Sans CJK SC" w:hAnsi="Noto Sans CJK SC" w:eastAsia="Noto Sans CJK SC"/>
        </w:rPr>
        <w:t>6.5 GTSRB 场景异构构造</w:t>
      </w:r>
    </w:p>
    <w:p>
      <w:pPr>
        <w:spacing w:after="100" w:line="293" w:lineRule="auto"/>
      </w:pPr>
      <w:r>
        <w:rPr>
          <w:rFonts w:ascii="Noto Sans CJK SC" w:hAnsi="Noto Sans CJK SC" w:eastAsia="Noto Sans CJK SC"/>
          <w:i w:val="0"/>
        </w:rPr>
        <w:t>第一版 FedBN 场景实验仍使用 GTSRB，但为每个客户端构造稳定、可复现的视觉域。建议先保持客户端标签分布近似 IID，只引入 feature shift，以便单独研究 FedBN。</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客户端</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建议视觉域</w:t>
            </w:r>
          </w:p>
        </w:tc>
        <w:tc>
          <w:tcPr>
            <w:tcW w:type="dxa" w:w="504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构造原则</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Client 0</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原始/正常域</w:t>
            </w:r>
          </w:p>
        </w:tc>
        <w:tc>
          <w:tcPr>
            <w:tcW w:type="dxa" w:w="504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标准预处理，不额外改变</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Client 1</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低亮度/夜间域</w:t>
            </w:r>
          </w:p>
        </w:tc>
        <w:tc>
          <w:tcPr>
            <w:tcW w:type="dxa" w:w="504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固定亮度降低与适度对比度调整</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Client 2</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高曝光/颜色偏移域</w:t>
            </w:r>
          </w:p>
        </w:tc>
        <w:tc>
          <w:tcPr>
            <w:tcW w:type="dxa" w:w="504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固定亮度提高或色温/通道偏移</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Client 3</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模糊/低清晰度域</w:t>
            </w:r>
          </w:p>
        </w:tc>
        <w:tc>
          <w:tcPr>
            <w:tcW w:type="dxa" w:w="504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固定高斯模糊或分辨率退化后恢复</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Client 4</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雾化/低对比度域</w:t>
            </w:r>
          </w:p>
        </w:tc>
        <w:tc>
          <w:tcPr>
            <w:tcW w:type="dxa" w:w="504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固定雾化、灰度混合或对比度降低</w:t>
            </w:r>
          </w:p>
        </w:tc>
      </w:tr>
    </w:tbl>
    <w:p>
      <w:pPr>
        <w:spacing w:after="0"/>
      </w:pPr>
    </w:p>
    <w:p>
      <w:pPr>
        <w:pStyle w:val="ListBullet"/>
        <w:spacing w:after="60" w:line="276" w:lineRule="auto"/>
        <w:ind w:left="340" w:hanging="170"/>
      </w:pPr>
      <w:r>
        <w:rPr>
          <w:rFonts w:ascii="Noto Sans CJK SC" w:hAnsi="Noto Sans CJK SC" w:eastAsia="Noto Sans CJK SC"/>
        </w:rPr>
        <w:t>变换参数必须固定并写入 metadata，不能每次训练临时随机。</w:t>
      </w:r>
    </w:p>
    <w:p>
      <w:pPr>
        <w:pStyle w:val="ListBullet"/>
        <w:spacing w:after="60" w:line="276" w:lineRule="auto"/>
        <w:ind w:left="340" w:hanging="170"/>
      </w:pPr>
      <w:r>
        <w:rPr>
          <w:rFonts w:ascii="Noto Sans CJK SC" w:hAnsi="Noto Sans CJK SC" w:eastAsia="Noto Sans CJK SC"/>
        </w:rPr>
        <w:t>变换不应改变交通标志类别语义，例如不做可能改变方向含义的水平翻转。</w:t>
      </w:r>
    </w:p>
    <w:p>
      <w:pPr>
        <w:pStyle w:val="ListBullet"/>
        <w:spacing w:after="60" w:line="276" w:lineRule="auto"/>
        <w:ind w:left="340" w:hanging="170"/>
      </w:pPr>
      <w:r>
        <w:rPr>
          <w:rFonts w:ascii="Noto Sans CJK SC" w:hAnsi="Noto Sans CJK SC" w:eastAsia="Noto Sans CJK SC"/>
        </w:rPr>
        <w:t>每个客户端需要对应域的本地验证/测试集，以评价个性化 BN。</w:t>
      </w:r>
    </w:p>
    <w:p>
      <w:pPr>
        <w:pStyle w:val="ListBullet"/>
        <w:spacing w:after="60" w:line="276" w:lineRule="auto"/>
        <w:ind w:left="340" w:hanging="170"/>
      </w:pPr>
      <w:r>
        <w:rPr>
          <w:rFonts w:ascii="Noto Sans CJK SC" w:hAnsi="Noto Sans CJK SC" w:eastAsia="Noto Sans CJK SC"/>
        </w:rPr>
        <w:t>第一版只做 Feature Skew；完成后再研究 Label Skew + Feature Skew 的叠加终极场景。</w:t>
      </w:r>
    </w:p>
    <w:p>
      <w:pPr>
        <w:pStyle w:val="Heading2"/>
        <w:keepNext/>
      </w:pPr>
      <w:r>
        <w:rPr>
          <w:rFonts w:ascii="Noto Sans CJK SC" w:hAnsi="Noto Sans CJK SC" w:eastAsia="Noto Sans CJK SC"/>
        </w:rPr>
        <w:t>6.6 FedBN 每轮训练逻辑</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FedBN 逻辑流程</w:t>
            </w:r>
          </w:p>
          <w:p>
            <w:pPr>
              <w:spacing w:after="0" w:before="0" w:line="240" w:lineRule="auto"/>
            </w:pPr>
            <w:r>
              <w:rPr>
                <w:rFonts w:ascii="Noto Sans Mono CJK SC" w:hAnsi="Noto Sans Mono CJK SC" w:eastAsia="Noto Sans Mono CJK SC"/>
                <w:color w:val="1F2937"/>
                <w:sz w:val="16"/>
              </w:rPr>
              <w:t>服务器保存共享非 BN 参数</w:t>
            </w:r>
          </w:p>
          <w:p>
            <w:pPr>
              <w:spacing w:after="0" w:before="0" w:line="240" w:lineRule="auto"/>
            </w:pPr>
            <w:r>
              <w:rPr>
                <w:rFonts w:ascii="Noto Sans Mono CJK SC" w:hAnsi="Noto Sans Mono CJK SC" w:eastAsia="Noto Sans Mono CJK SC"/>
                <w:color w:val="1F2937"/>
                <w:sz w:val="16"/>
              </w:rPr>
              <w:t>→ 向客户端下发共享参数</w:t>
            </w:r>
          </w:p>
          <w:p>
            <w:pPr>
              <w:spacing w:after="0" w:before="0" w:line="240" w:lineRule="auto"/>
            </w:pPr>
            <w:r>
              <w:rPr>
                <w:rFonts w:ascii="Noto Sans Mono CJK SC" w:hAnsi="Noto Sans Mono CJK SC" w:eastAsia="Noto Sans Mono CJK SC"/>
                <w:color w:val="1F2937"/>
                <w:sz w:val="16"/>
              </w:rPr>
              <w:t>→ 客户端将共享参数与自己的本地 BN 状态组合</w:t>
            </w:r>
          </w:p>
          <w:p>
            <w:pPr>
              <w:spacing w:after="0" w:before="0" w:line="240" w:lineRule="auto"/>
            </w:pPr>
            <w:r>
              <w:rPr>
                <w:rFonts w:ascii="Noto Sans Mono CJK SC" w:hAnsi="Noto Sans Mono CJK SC" w:eastAsia="Noto Sans Mono CJK SC"/>
                <w:color w:val="1F2937"/>
                <w:sz w:val="16"/>
              </w:rPr>
              <w:t>→ 在本地视觉域数据上训练</w:t>
            </w:r>
          </w:p>
          <w:p>
            <w:pPr>
              <w:spacing w:after="0" w:before="0" w:line="240" w:lineRule="auto"/>
            </w:pPr>
            <w:r>
              <w:rPr>
                <w:rFonts w:ascii="Noto Sans Mono CJK SC" w:hAnsi="Noto Sans Mono CJK SC" w:eastAsia="Noto Sans Mono CJK SC"/>
                <w:color w:val="1F2937"/>
                <w:sz w:val="16"/>
              </w:rPr>
              <w:t>→ 客户端只上传共享参数更新</w:t>
            </w:r>
          </w:p>
          <w:p>
            <w:pPr>
              <w:spacing w:after="0" w:before="0" w:line="240" w:lineRule="auto"/>
            </w:pPr>
            <w:r>
              <w:rPr>
                <w:rFonts w:ascii="Noto Sans Mono CJK SC" w:hAnsi="Noto Sans Mono CJK SC" w:eastAsia="Noto Sans Mono CJK SC"/>
                <w:color w:val="1F2937"/>
                <w:sz w:val="16"/>
              </w:rPr>
              <w:t>→ 服务器聚合共享参数</w:t>
            </w:r>
          </w:p>
          <w:p>
            <w:pPr>
              <w:spacing w:after="0" w:before="0" w:line="240" w:lineRule="auto"/>
            </w:pPr>
            <w:r>
              <w:rPr>
                <w:rFonts w:ascii="Noto Sans Mono CJK SC" w:hAnsi="Noto Sans Mono CJK SC" w:eastAsia="Noto Sans Mono CJK SC"/>
                <w:color w:val="1F2937"/>
                <w:sz w:val="16"/>
              </w:rPr>
              <w:t>→ 客户端 BN 状态留在本地进入下一轮</w:t>
            </w:r>
          </w:p>
        </w:tc>
      </w:tr>
    </w:tbl>
    <w:p>
      <w:pPr>
        <w:spacing w:after="0"/>
      </w:pPr>
    </w:p>
    <w:p>
      <w:pPr>
        <w:spacing w:after="100" w:line="293" w:lineRule="auto"/>
      </w:pPr>
      <w:r>
        <w:rPr>
          <w:rFonts w:ascii="Noto Sans CJK SC" w:hAnsi="Noto Sans CJK SC" w:eastAsia="Noto Sans CJK SC"/>
          <w:i w:val="0"/>
        </w:rPr>
        <w:t>最终不是一个完全相同的单一全局模型，而是“共享骨干参数 + 5 组客户端 BN 状态”的个性化模型集合。</w:t>
      </w:r>
    </w:p>
    <w:p>
      <w:pPr>
        <w:pStyle w:val="Heading2"/>
        <w:keepNext/>
      </w:pPr>
      <w:r>
        <w:rPr>
          <w:rFonts w:ascii="Noto Sans CJK SC" w:hAnsi="Noto Sans CJK SC" w:eastAsia="Noto Sans CJK SC"/>
        </w:rPr>
        <w:t>6.7 FedBN 的公平评价</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方法</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模型结构</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BN 处理</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评价角色</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FedAvg-NoBN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无 BN CNN</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无 BN</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现有可靠工程参考</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FedAvg-BN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相同带 BN CNN</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BN 按全局方案处理</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FedBN 的核心同架构对照</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相同带 BN CNN</w:t>
            </w:r>
          </w:p>
        </w:tc>
        <w:tc>
          <w:tcPr>
            <w:tcW w:type="dxa" w:w="243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每客户端保留 BN</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特征异构方法</w:t>
            </w:r>
          </w:p>
        </w:tc>
      </w:tr>
    </w:tbl>
    <w:p>
      <w:pPr>
        <w:spacing w:after="0"/>
      </w:pPr>
    </w:p>
    <w:p>
      <w:pPr>
        <w:pStyle w:val="ListBullet"/>
        <w:spacing w:after="60" w:line="276" w:lineRule="auto"/>
        <w:ind w:left="340" w:hanging="170"/>
      </w:pPr>
      <w:r>
        <w:rPr>
          <w:rFonts w:ascii="Noto Sans CJK SC" w:hAnsi="Noto Sans CJK SC" w:eastAsia="Noto Sans CJK SC"/>
        </w:rPr>
        <w:t>在每个客户端对应域测试集上使用“共享权重 + 本地 BN”评价。</w:t>
      </w:r>
    </w:p>
    <w:p>
      <w:pPr>
        <w:pStyle w:val="ListBullet"/>
        <w:spacing w:after="60" w:line="276" w:lineRule="auto"/>
        <w:ind w:left="340" w:hanging="170"/>
      </w:pPr>
      <w:r>
        <w:rPr>
          <w:rFonts w:ascii="Noto Sans CJK SC" w:hAnsi="Noto Sans CJK SC" w:eastAsia="Noto Sans CJK SC"/>
        </w:rPr>
        <w:t>报告客户端平均、最差客户端、标准差和 best-worst gap。</w:t>
      </w:r>
    </w:p>
    <w:p>
      <w:pPr>
        <w:pStyle w:val="ListBullet"/>
        <w:spacing w:after="60" w:line="276" w:lineRule="auto"/>
        <w:ind w:left="340" w:hanging="170"/>
      </w:pPr>
      <w:r>
        <w:rPr>
          <w:rFonts w:ascii="Noto Sans CJK SC" w:hAnsi="Noto Sans CJK SC" w:eastAsia="Noto Sans CJK SC"/>
        </w:rPr>
        <w:t>同时报告原始官方 GTSRB 测试集，观察全局泛化。</w:t>
      </w:r>
    </w:p>
    <w:p>
      <w:pPr>
        <w:pStyle w:val="ListBullet"/>
        <w:spacing w:after="60" w:line="276" w:lineRule="auto"/>
        <w:ind w:left="340" w:hanging="170"/>
      </w:pPr>
      <w:r>
        <w:rPr>
          <w:rFonts w:ascii="Noto Sans CJK SC" w:hAnsi="Noto Sans CJK SC" w:eastAsia="Noto Sans CJK SC"/>
        </w:rPr>
        <w:t>可增加跨域矩阵：Client i 的 BN 在 Domain j 上的表现。</w:t>
      </w:r>
    </w:p>
    <w:p>
      <w:pPr>
        <w:pStyle w:val="ListBullet"/>
        <w:spacing w:after="60" w:line="276" w:lineRule="auto"/>
        <w:ind w:left="340" w:hanging="170"/>
      </w:pPr>
      <w:r>
        <w:rPr>
          <w:rFonts w:ascii="Noto Sans CJK SC" w:hAnsi="Noto Sans CJK SC" w:eastAsia="Noto Sans CJK SC"/>
        </w:rPr>
        <w:t>新客户端没有 BN 状态时，可研究少量无标签/有标签数据的 BN recalibration，但应作为扩展实验。</w:t>
      </w:r>
    </w:p>
    <w:p>
      <w:pPr>
        <w:pStyle w:val="Heading2"/>
        <w:keepNext/>
      </w:pPr>
      <w:r>
        <w:rPr>
          <w:rFonts w:ascii="Noto Sans CJK SC" w:hAnsi="Noto Sans CJK SC" w:eastAsia="Noto Sans CJK SC"/>
        </w:rPr>
        <w:t>6.8 Stage 1C-B 验收标准</w:t>
      </w:r>
    </w:p>
    <w:p>
      <w:pPr>
        <w:pStyle w:val="ListBullet"/>
        <w:spacing w:after="60" w:line="276" w:lineRule="auto"/>
        <w:ind w:left="340" w:hanging="170"/>
      </w:pPr>
      <w:r>
        <w:rPr>
          <w:rFonts w:ascii="Noto Sans CJK SC" w:hAnsi="Noto Sans CJK SC" w:eastAsia="Noto Sans CJK SC"/>
        </w:rPr>
        <w:t>Centralized-BN 与 Local-only-BN 能正常训练、保存、加载和推理。</w:t>
      </w:r>
    </w:p>
    <w:p>
      <w:pPr>
        <w:pStyle w:val="ListBullet"/>
        <w:spacing w:after="60" w:line="276" w:lineRule="auto"/>
        <w:ind w:left="340" w:hanging="170"/>
      </w:pPr>
      <w:r>
        <w:rPr>
          <w:rFonts w:ascii="Noto Sans CJK SC" w:hAnsi="Noto Sans CJK SC" w:eastAsia="Noto Sans CJK SC"/>
        </w:rPr>
        <w:t>FedAvg-BN 的全局推理不再接近随机，BN 统计量跨轮变化可验证。</w:t>
      </w:r>
    </w:p>
    <w:p>
      <w:pPr>
        <w:pStyle w:val="ListBullet"/>
        <w:spacing w:after="60" w:line="276" w:lineRule="auto"/>
        <w:ind w:left="340" w:hanging="170"/>
      </w:pPr>
      <w:r>
        <w:rPr>
          <w:rFonts w:ascii="Noto Sans CJK SC" w:hAnsi="Noto Sans CJK SC" w:eastAsia="Noto Sans CJK SC"/>
        </w:rPr>
        <w:t>FedBN 的各客户端 BN 状态确实不同，并随本地域训练持续更新。</w:t>
      </w:r>
    </w:p>
    <w:p>
      <w:pPr>
        <w:pStyle w:val="ListBullet"/>
        <w:spacing w:after="60" w:line="276" w:lineRule="auto"/>
        <w:ind w:left="340" w:hanging="170"/>
      </w:pPr>
      <w:r>
        <w:rPr>
          <w:rFonts w:ascii="Noto Sans CJK SC" w:hAnsi="Noto Sans CJK SC" w:eastAsia="Noto Sans CJK SC"/>
        </w:rPr>
        <w:t>FedAvg-BN 与 FedBN 使用完全相同的带 BN 架构、数据域、轮数和优化器。</w:t>
      </w:r>
    </w:p>
    <w:p>
      <w:pPr>
        <w:pStyle w:val="ListBullet"/>
        <w:spacing w:after="60" w:line="276" w:lineRule="auto"/>
        <w:ind w:left="340" w:hanging="170"/>
      </w:pPr>
      <w:r>
        <w:rPr>
          <w:rFonts w:ascii="Noto Sans CJK SC" w:hAnsi="Noto Sans CJK SC" w:eastAsia="Noto Sans CJK SC"/>
        </w:rPr>
        <w:t>结论以客户端域测试为主，不能只看一份统一测试集。</w:t>
      </w:r>
    </w:p>
    <w:p>
      <w:pPr>
        <w:pStyle w:val="Heading1"/>
        <w:keepNext/>
      </w:pPr>
      <w:r>
        <w:rPr>
          <w:rFonts w:ascii="Noto Sans CJK SC" w:hAnsi="Noto Sans CJK SC" w:eastAsia="Noto Sans CJK SC"/>
        </w:rPr>
        <w:t>7. Stage 1C-C：通信压缩与通信效率</w:t>
      </w:r>
    </w:p>
    <w:p>
      <w:pPr>
        <w:pStyle w:val="Heading2"/>
        <w:keepNext/>
      </w:pPr>
      <w:r>
        <w:rPr>
          <w:rFonts w:ascii="Noto Sans CJK SC" w:hAnsi="Noto Sans CJK SC" w:eastAsia="Noto Sans CJK SC"/>
        </w:rPr>
        <w:t>7.1 研究定位</w:t>
      </w:r>
    </w:p>
    <w:p>
      <w:pPr>
        <w:spacing w:after="100" w:line="293" w:lineRule="auto"/>
      </w:pPr>
      <w:r>
        <w:rPr>
          <w:rFonts w:ascii="Noto Sans CJK SC" w:hAnsi="Noto Sans CJK SC" w:eastAsia="Noto Sans CJK SC"/>
          <w:i w:val="0"/>
        </w:rPr>
        <w:t>通信压缩研究的是“怎样少传数据”，与 Stage 1C-A 的 Non-IID 优化和 Stage 1C-B 的特征适配不是同一个问题。应在一个已经稳定的算法基础上单独改变上传/下载表示。</w:t>
      </w:r>
    </w:p>
    <w:tbl>
      <w:tblPr>
        <w:tblW w:type="auto" w:w="0"/>
        <w:jc w:val="center"/>
        <w:tblLook w:firstColumn="1" w:firstRow="1" w:lastColumn="0" w:lastRow="0" w:noHBand="0" w:noVBand="1" w:val="04A0"/>
      </w:tblPr>
      <w:tblGrid>
        <w:gridCol w:w="9638"/>
      </w:tblGrid>
      <w:tr>
        <w:tc>
          <w:tcPr>
            <w:tcW w:type="dxa" w:w="9638"/>
            <w:shd w:fill="DDEFEF"/>
            <w:tcBorders>
              <w:top w:sz="4" w:val="single" w:color="1F7A8C"/>
              <w:left w:sz="14" w:val="single" w:color="1F7A8C"/>
              <w:bottom w:sz="4" w:val="single" w:color="1F7A8C"/>
              <w:right w:sz="4" w:val="single" w:color="1F7A8C"/>
            </w:tcBorders>
            <w:tcMar>
              <w:top w:w="110" w:type="dxa"/>
              <w:start w:w="130" w:type="dxa"/>
              <w:bottom w:w="110" w:type="dxa"/>
              <w:end w:w="130" w:type="dxa"/>
            </w:tcMar>
          </w:tcPr>
          <w:p>
            <w:pPr>
              <w:spacing w:after="80"/>
            </w:pPr>
            <w:r>
              <w:rPr>
                <w:rFonts w:ascii="Noto Sans CJK SC" w:hAnsi="Noto Sans CJK SC" w:eastAsia="Noto Sans CJK SC"/>
                <w:b/>
                <w:color w:val="1F7A8C"/>
                <w:sz w:val="20"/>
              </w:rPr>
              <w:t>推荐起点</w:t>
            </w:r>
          </w:p>
          <w:p>
            <w:pPr>
              <w:spacing w:after="0" w:line="276" w:lineRule="auto"/>
            </w:pPr>
            <w:r>
              <w:rPr>
                <w:rFonts w:ascii="Noto Sans CJK SC" w:hAnsi="Noto Sans CJK SC" w:eastAsia="Noto Sans CJK SC"/>
                <w:color w:val="253246"/>
                <w:sz w:val="19"/>
              </w:rPr>
              <w:t>先选择 FedAvg 或完成验证后的 FedProx 作为基础算法。第一版只压缩客户端上传更新，服务器下发保持全精度，以降低实现复杂度。</w:t>
            </w:r>
          </w:p>
        </w:tc>
      </w:tr>
    </w:tbl>
    <w:p>
      <w:pPr>
        <w:spacing w:after="0"/>
      </w:pPr>
    </w:p>
    <w:p>
      <w:pPr>
        <w:pStyle w:val="Heading2"/>
        <w:keepNext/>
      </w:pPr>
      <w:r>
        <w:rPr>
          <w:rFonts w:ascii="Noto Sans CJK SC" w:hAnsi="Noto Sans CJK SC" w:eastAsia="Noto Sans CJK SC"/>
        </w:rPr>
        <w:t>7.2 推荐实现顺序</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阶段</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方法</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核心设置</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说明</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C0</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全精度基线</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float32 权重/更新</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确认通信统计口径</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C1</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定点/低比特量化</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8-bit，后续 4-bit</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实现简单，建立压缩比曲线</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C2</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Top-k 稀疏化</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只上传绝对值最大的更新</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需要索引开销统计</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C3</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误差反馈</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保留未发送残差并累积到下一轮</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改善压缩偏差</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C4</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自适应压缩</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按轮次、层或更新分布动态调整</w:t>
            </w:r>
          </w:p>
        </w:tc>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对应文献扩展</w:t>
            </w:r>
          </w:p>
        </w:tc>
      </w:tr>
    </w:tbl>
    <w:p>
      <w:pPr>
        <w:spacing w:after="0"/>
      </w:pPr>
    </w:p>
    <w:p>
      <w:pPr>
        <w:pStyle w:val="Heading2"/>
        <w:keepNext/>
      </w:pPr>
      <w:r>
        <w:rPr>
          <w:rFonts w:ascii="Noto Sans CJK SC" w:hAnsi="Noto Sans CJK SC" w:eastAsia="Noto Sans CJK SC"/>
        </w:rPr>
        <w:t>7.3 通信指标必须从“估算”升级为“压缩后实际载荷”</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通信统计字段</w:t>
            </w:r>
          </w:p>
          <w:p>
            <w:pPr>
              <w:spacing w:after="0" w:before="0" w:line="240" w:lineRule="auto"/>
            </w:pPr>
            <w:r>
              <w:rPr>
                <w:rFonts w:ascii="Noto Sans Mono CJK SC" w:hAnsi="Noto Sans Mono CJK SC" w:eastAsia="Noto Sans Mono CJK SC"/>
                <w:color w:val="1F2937"/>
                <w:sz w:val="16"/>
              </w:rPr>
              <w:t>必须统计：</w:t>
            </w:r>
          </w:p>
          <w:p>
            <w:pPr>
              <w:spacing w:after="0" w:before="0" w:line="240" w:lineRule="auto"/>
            </w:pPr>
            <w:r>
              <w:rPr>
                <w:rFonts w:ascii="Noto Sans Mono CJK SC" w:hAnsi="Noto Sans Mono CJK SC" w:eastAsia="Noto Sans Mono CJK SC"/>
                <w:color w:val="1F2937"/>
                <w:sz w:val="16"/>
              </w:rPr>
              <w:t>- payload values bytes</w:t>
            </w:r>
          </w:p>
          <w:p>
            <w:pPr>
              <w:spacing w:after="0" w:before="0" w:line="240" w:lineRule="auto"/>
            </w:pPr>
            <w:r>
              <w:rPr>
                <w:rFonts w:ascii="Noto Sans Mono CJK SC" w:hAnsi="Noto Sans Mono CJK SC" w:eastAsia="Noto Sans Mono CJK SC"/>
                <w:color w:val="1F2937"/>
                <w:sz w:val="16"/>
              </w:rPr>
              <w:t>- indices / scale / zero-point / metadata bytes</w:t>
            </w:r>
          </w:p>
          <w:p>
            <w:pPr>
              <w:spacing w:after="0" w:before="0" w:line="240" w:lineRule="auto"/>
            </w:pPr>
            <w:r>
              <w:rPr>
                <w:rFonts w:ascii="Noto Sans Mono CJK SC" w:hAnsi="Noto Sans Mono CJK SC" w:eastAsia="Noto Sans Mono CJK SC"/>
                <w:color w:val="1F2937"/>
                <w:sz w:val="16"/>
              </w:rPr>
              <w:t>- per-client upload bytes</w:t>
            </w:r>
          </w:p>
          <w:p>
            <w:pPr>
              <w:spacing w:after="0" w:before="0" w:line="240" w:lineRule="auto"/>
            </w:pPr>
            <w:r>
              <w:rPr>
                <w:rFonts w:ascii="Noto Sans Mono CJK SC" w:hAnsi="Noto Sans Mono CJK SC" w:eastAsia="Noto Sans Mono CJK SC"/>
                <w:color w:val="1F2937"/>
                <w:sz w:val="16"/>
              </w:rPr>
              <w:t>- per-round total upload bytes</w:t>
            </w:r>
          </w:p>
          <w:p>
            <w:pPr>
              <w:spacing w:after="0" w:before="0" w:line="240" w:lineRule="auto"/>
            </w:pPr>
            <w:r>
              <w:rPr>
                <w:rFonts w:ascii="Noto Sans Mono CJK SC" w:hAnsi="Noto Sans Mono CJK SC" w:eastAsia="Noto Sans Mono CJK SC"/>
                <w:color w:val="1F2937"/>
                <w:sz w:val="16"/>
              </w:rPr>
              <w:t>- cumulative communication bytes</w:t>
            </w:r>
          </w:p>
          <w:p>
            <w:pPr>
              <w:spacing w:after="0" w:before="0" w:line="240" w:lineRule="auto"/>
            </w:pPr>
            <w:r>
              <w:rPr>
                <w:rFonts w:ascii="Noto Sans Mono CJK SC" w:hAnsi="Noto Sans Mono CJK SC" w:eastAsia="Noto Sans Mono CJK SC"/>
                <w:color w:val="1F2937"/>
                <w:sz w:val="16"/>
              </w:rPr>
              <w:t>- compression ratio</w:t>
            </w:r>
          </w:p>
          <w:p>
            <w:pPr>
              <w:spacing w:after="0" w:before="0" w:line="240" w:lineRule="auto"/>
            </w:pPr>
            <w:r>
              <w:rPr>
                <w:rFonts w:ascii="Noto Sans Mono CJK SC" w:hAnsi="Noto Sans Mono CJK SC" w:eastAsia="Noto Sans Mono CJK SC"/>
                <w:color w:val="1F2937"/>
                <w:sz w:val="16"/>
              </w:rPr>
              <w:t>- accuracy per transmitted MiB</w:t>
            </w:r>
          </w:p>
          <w:p>
            <w:pPr>
              <w:spacing w:after="0" w:before="0" w:line="240" w:lineRule="auto"/>
            </w:pPr>
            <w:r>
              <w:rPr>
                <w:rFonts w:ascii="Noto Sans Mono CJK SC" w:hAnsi="Noto Sans Mono CJK SC" w:eastAsia="Noto Sans Mono CJK SC"/>
                <w:color w:val="1F2937"/>
                <w:sz w:val="16"/>
              </w:rPr>
              <w:t>- rounds / bytes to reach target accuracy</w:t>
            </w:r>
          </w:p>
        </w:tc>
      </w:tr>
    </w:tbl>
    <w:p>
      <w:pPr>
        <w:spacing w:after="0"/>
      </w:pPr>
    </w:p>
    <w:p>
      <w:pPr>
        <w:spacing w:after="100" w:line="293" w:lineRule="auto"/>
      </w:pPr>
      <w:r>
        <w:rPr>
          <w:rFonts w:ascii="Noto Sans CJK SC" w:hAnsi="Noto Sans CJK SC" w:eastAsia="Noto Sans CJK SC"/>
          <w:i w:val="0"/>
        </w:rPr>
        <w:t>Stage 1A / 1B 的约 3.77 MiB/round 是按全模型 float 参数上下行的载荷估算，不包含协议头、序列化、TLS 和重传。压缩实验中必须明确口径，不能只写“压缩了 90% 参数”而忽略索引和量化元数据。</w:t>
      </w:r>
    </w:p>
    <w:p>
      <w:pPr>
        <w:pStyle w:val="Heading2"/>
        <w:keepNext/>
      </w:pPr>
      <w:r>
        <w:rPr>
          <w:rFonts w:ascii="Noto Sans CJK SC" w:hAnsi="Noto Sans CJK SC" w:eastAsia="Noto Sans CJK SC"/>
        </w:rPr>
        <w:t>7.4 通信实验矩阵</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基础算法</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Partition</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压缩设置</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主要输出</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FedAvg 或 FedProx</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IID</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Full precision / 8-bit / Top-k</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性能上界与基础开销</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FedAvg 或 FedProx</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α=0.5</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同上</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中度异构下压缩稳定性</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FedAvg 或 FedProx</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α=0.1</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同上</w:t>
            </w:r>
          </w:p>
        </w:tc>
        <w:tc>
          <w:tcPr>
            <w:tcW w:type="dxa" w:w="255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极端异构下压缩是否进一步放大退化</w:t>
            </w:r>
          </w:p>
        </w:tc>
      </w:tr>
    </w:tbl>
    <w:p>
      <w:pPr>
        <w:spacing w:after="0"/>
      </w:pPr>
    </w:p>
    <w:p>
      <w:pPr>
        <w:pStyle w:val="Heading2"/>
        <w:keepNext/>
      </w:pPr>
      <w:r>
        <w:rPr>
          <w:rFonts w:ascii="Noto Sans CJK SC" w:hAnsi="Noto Sans CJK SC" w:eastAsia="Noto Sans CJK SC"/>
        </w:rPr>
        <w:t>7.5 Stage 1C-C 验收标准</w:t>
      </w:r>
    </w:p>
    <w:p>
      <w:pPr>
        <w:pStyle w:val="ListBullet"/>
        <w:spacing w:after="60" w:line="276" w:lineRule="auto"/>
        <w:ind w:left="340" w:hanging="170"/>
      </w:pPr>
      <w:r>
        <w:rPr>
          <w:rFonts w:ascii="Noto Sans CJK SC" w:hAnsi="Noto Sans CJK SC" w:eastAsia="Noto Sans CJK SC"/>
        </w:rPr>
        <w:t>压缩/解压后更新 shape、dtype 和层顺序正确。</w:t>
      </w:r>
    </w:p>
    <w:p>
      <w:pPr>
        <w:pStyle w:val="ListBullet"/>
        <w:spacing w:after="60" w:line="276" w:lineRule="auto"/>
        <w:ind w:left="340" w:hanging="170"/>
      </w:pPr>
      <w:r>
        <w:rPr>
          <w:rFonts w:ascii="Noto Sans CJK SC" w:hAnsi="Noto Sans CJK SC" w:eastAsia="Noto Sans CJK SC"/>
        </w:rPr>
        <w:t>关闭压缩时能退化为全精度基线。</w:t>
      </w:r>
    </w:p>
    <w:p>
      <w:pPr>
        <w:pStyle w:val="ListBullet"/>
        <w:spacing w:after="60" w:line="276" w:lineRule="auto"/>
        <w:ind w:left="340" w:hanging="170"/>
      </w:pPr>
      <w:r>
        <w:rPr>
          <w:rFonts w:ascii="Noto Sans CJK SC" w:hAnsi="Noto Sans CJK SC" w:eastAsia="Noto Sans CJK SC"/>
        </w:rPr>
        <w:t>累计通信量包含数值、索引和必要元数据。</w:t>
      </w:r>
    </w:p>
    <w:p>
      <w:pPr>
        <w:pStyle w:val="ListBullet"/>
        <w:spacing w:after="60" w:line="276" w:lineRule="auto"/>
        <w:ind w:left="340" w:hanging="170"/>
      </w:pPr>
      <w:r>
        <w:rPr>
          <w:rFonts w:ascii="Noto Sans CJK SC" w:hAnsi="Noto Sans CJK SC" w:eastAsia="Noto Sans CJK SC"/>
        </w:rPr>
        <w:t>报告准确率—通信量 Pareto 曲线，而不是只报告最终准确率。</w:t>
      </w:r>
    </w:p>
    <w:p>
      <w:pPr>
        <w:pStyle w:val="ListBullet"/>
        <w:spacing w:after="60" w:line="276" w:lineRule="auto"/>
        <w:ind w:left="340" w:hanging="170"/>
      </w:pPr>
      <w:r>
        <w:rPr>
          <w:rFonts w:ascii="Noto Sans CJK SC" w:hAnsi="Noto Sans CJK SC" w:eastAsia="Noto Sans CJK SC"/>
        </w:rPr>
        <w:t>明确训练时间变化，包括编码与解码开销。</w:t>
      </w:r>
    </w:p>
    <w:p>
      <w:r>
        <w:br w:type="page"/>
      </w:r>
    </w:p>
    <w:p>
      <w:pPr>
        <w:pStyle w:val="Heading1"/>
        <w:keepNext/>
      </w:pPr>
      <w:r>
        <w:rPr>
          <w:rFonts w:ascii="Noto Sans CJK SC" w:hAnsi="Noto Sans CJK SC" w:eastAsia="Noto Sans CJK SC"/>
        </w:rPr>
        <w:t>8. 统一工程结构、配置、日志与 checkpoint</w:t>
      </w:r>
    </w:p>
    <w:p>
      <w:pPr>
        <w:pStyle w:val="Heading2"/>
        <w:keepNext/>
      </w:pPr>
      <w:r>
        <w:rPr>
          <w:rFonts w:ascii="Noto Sans CJK SC" w:hAnsi="Noto Sans CJK SC" w:eastAsia="Noto Sans CJK SC"/>
        </w:rPr>
        <w:t>8.1 推荐目录结构（规划）</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建议代码结构</w:t>
            </w:r>
          </w:p>
          <w:p>
            <w:pPr>
              <w:spacing w:after="0" w:before="0" w:line="240" w:lineRule="auto"/>
            </w:pPr>
            <w:r>
              <w:rPr>
                <w:rFonts w:ascii="Noto Sans Mono CJK SC" w:hAnsi="Noto Sans Mono CJK SC" w:eastAsia="Noto Sans Mono CJK SC"/>
                <w:color w:val="1F2937"/>
                <w:sz w:val="16"/>
              </w:rPr>
              <w:t>src/gtsrb_1c/</w:t>
            </w:r>
          </w:p>
          <w:p>
            <w:pPr>
              <w:spacing w:after="0" w:before="0" w:line="240" w:lineRule="auto"/>
            </w:pPr>
            <w:r>
              <w:rPr>
                <w:rFonts w:ascii="Noto Sans Mono CJK SC" w:hAnsi="Noto Sans Mono CJK SC" w:eastAsia="Noto Sans Mono CJK SC"/>
                <w:color w:val="1F2937"/>
                <w:sz w:val="16"/>
              </w:rPr>
              <w:t>├── common/</w:t>
            </w:r>
          </w:p>
          <w:p>
            <w:pPr>
              <w:spacing w:after="0" w:before="0" w:line="240" w:lineRule="auto"/>
            </w:pPr>
            <w:r>
              <w:rPr>
                <w:rFonts w:ascii="Noto Sans Mono CJK SC" w:hAnsi="Noto Sans Mono CJK SC" w:eastAsia="Noto Sans Mono CJK SC"/>
                <w:color w:val="1F2937"/>
                <w:sz w:val="16"/>
              </w:rPr>
              <w:t>│   ├── data_pipeline.py</w:t>
            </w:r>
          </w:p>
          <w:p>
            <w:pPr>
              <w:spacing w:after="0" w:before="0" w:line="240" w:lineRule="auto"/>
            </w:pPr>
            <w:r>
              <w:rPr>
                <w:rFonts w:ascii="Noto Sans Mono CJK SC" w:hAnsi="Noto Sans Mono CJK SC" w:eastAsia="Noto Sans Mono CJK SC"/>
                <w:color w:val="1F2937"/>
                <w:sz w:val="16"/>
              </w:rPr>
              <w:t>│   ├── model_no_bn.py</w:t>
            </w:r>
          </w:p>
          <w:p>
            <w:pPr>
              <w:spacing w:after="0" w:before="0" w:line="240" w:lineRule="auto"/>
            </w:pPr>
            <w:r>
              <w:rPr>
                <w:rFonts w:ascii="Noto Sans Mono CJK SC" w:hAnsi="Noto Sans Mono CJK SC" w:eastAsia="Noto Sans Mono CJK SC"/>
                <w:color w:val="1F2937"/>
                <w:sz w:val="16"/>
              </w:rPr>
              <w:t>│   ├── model_with_bn.py</w:t>
            </w:r>
          </w:p>
          <w:p>
            <w:pPr>
              <w:spacing w:after="0" w:before="0" w:line="240" w:lineRule="auto"/>
            </w:pPr>
            <w:r>
              <w:rPr>
                <w:rFonts w:ascii="Noto Sans Mono CJK SC" w:hAnsi="Noto Sans Mono CJK SC" w:eastAsia="Noto Sans Mono CJK SC"/>
                <w:color w:val="1F2937"/>
                <w:sz w:val="16"/>
              </w:rPr>
              <w:t>│   ├── evaluation.py</w:t>
            </w:r>
          </w:p>
          <w:p>
            <w:pPr>
              <w:spacing w:after="0" w:before="0" w:line="240" w:lineRule="auto"/>
            </w:pPr>
            <w:r>
              <w:rPr>
                <w:rFonts w:ascii="Noto Sans Mono CJK SC" w:hAnsi="Noto Sans Mono CJK SC" w:eastAsia="Noto Sans Mono CJK SC"/>
                <w:color w:val="1F2937"/>
                <w:sz w:val="16"/>
              </w:rPr>
              <w:t>│   ├── metrics_utils.py</w:t>
            </w:r>
          </w:p>
          <w:p>
            <w:pPr>
              <w:spacing w:after="0" w:before="0" w:line="240" w:lineRule="auto"/>
            </w:pPr>
            <w:r>
              <w:rPr>
                <w:rFonts w:ascii="Noto Sans Mono CJK SC" w:hAnsi="Noto Sans Mono CJK SC" w:eastAsia="Noto Sans Mono CJK SC"/>
                <w:color w:val="1F2937"/>
                <w:sz w:val="16"/>
              </w:rPr>
              <w:t>│   ├── checkpoint_utils.py</w:t>
            </w:r>
          </w:p>
          <w:p>
            <w:pPr>
              <w:spacing w:after="0" w:before="0" w:line="240" w:lineRule="auto"/>
            </w:pPr>
            <w:r>
              <w:rPr>
                <w:rFonts w:ascii="Noto Sans Mono CJK SC" w:hAnsi="Noto Sans Mono CJK SC" w:eastAsia="Noto Sans Mono CJK SC"/>
                <w:color w:val="1F2937"/>
                <w:sz w:val="16"/>
              </w:rPr>
              <w:t>│   └── config_schema.py</w:t>
            </w:r>
          </w:p>
          <w:p>
            <w:pPr>
              <w:spacing w:after="0" w:before="0" w:line="240" w:lineRule="auto"/>
            </w:pPr>
            <w:r>
              <w:rPr>
                <w:rFonts w:ascii="Noto Sans Mono CJK SC" w:hAnsi="Noto Sans Mono CJK SC" w:eastAsia="Noto Sans Mono CJK SC"/>
                <w:color w:val="1F2937"/>
                <w:sz w:val="16"/>
              </w:rPr>
              <w:t>├── fedprox/</w:t>
            </w:r>
          </w:p>
          <w:p>
            <w:pPr>
              <w:spacing w:after="0" w:before="0" w:line="240" w:lineRule="auto"/>
            </w:pPr>
            <w:r>
              <w:rPr>
                <w:rFonts w:ascii="Noto Sans Mono CJK SC" w:hAnsi="Noto Sans Mono CJK SC" w:eastAsia="Noto Sans Mono CJK SC"/>
                <w:color w:val="1F2937"/>
                <w:sz w:val="16"/>
              </w:rPr>
              <w:t>│   ├── train_fedprox.py</w:t>
            </w:r>
          </w:p>
          <w:p>
            <w:pPr>
              <w:spacing w:after="0" w:before="0" w:line="240" w:lineRule="auto"/>
            </w:pPr>
            <w:r>
              <w:rPr>
                <w:rFonts w:ascii="Noto Sans Mono CJK SC" w:hAnsi="Noto Sans Mono CJK SC" w:eastAsia="Noto Sans Mono CJK SC"/>
                <w:color w:val="1F2937"/>
                <w:sz w:val="16"/>
              </w:rPr>
              <w:t>│   └── fedprox_client_update.py</w:t>
            </w:r>
          </w:p>
          <w:p>
            <w:pPr>
              <w:spacing w:after="0" w:before="0" w:line="240" w:lineRule="auto"/>
            </w:pPr>
            <w:r>
              <w:rPr>
                <w:rFonts w:ascii="Noto Sans Mono CJK SC" w:hAnsi="Noto Sans Mono CJK SC" w:eastAsia="Noto Sans Mono CJK SC"/>
                <w:color w:val="1F2937"/>
                <w:sz w:val="16"/>
              </w:rPr>
              <w:t>├── scaffold/</w:t>
            </w:r>
          </w:p>
          <w:p>
            <w:pPr>
              <w:spacing w:after="0" w:before="0" w:line="240" w:lineRule="auto"/>
            </w:pPr>
            <w:r>
              <w:rPr>
                <w:rFonts w:ascii="Noto Sans Mono CJK SC" w:hAnsi="Noto Sans Mono CJK SC" w:eastAsia="Noto Sans Mono CJK SC"/>
                <w:color w:val="1F2937"/>
                <w:sz w:val="16"/>
              </w:rPr>
              <w:t>│   ├── train_scaffold.py</w:t>
            </w:r>
          </w:p>
          <w:p>
            <w:pPr>
              <w:spacing w:after="0" w:before="0" w:line="240" w:lineRule="auto"/>
            </w:pPr>
            <w:r>
              <w:rPr>
                <w:rFonts w:ascii="Noto Sans Mono CJK SC" w:hAnsi="Noto Sans Mono CJK SC" w:eastAsia="Noto Sans Mono CJK SC"/>
                <w:color w:val="1F2937"/>
                <w:sz w:val="16"/>
              </w:rPr>
              <w:t>│   └── scaffold_state.py</w:t>
            </w:r>
          </w:p>
          <w:p>
            <w:pPr>
              <w:spacing w:after="0" w:before="0" w:line="240" w:lineRule="auto"/>
            </w:pPr>
            <w:r>
              <w:rPr>
                <w:rFonts w:ascii="Noto Sans Mono CJK SC" w:hAnsi="Noto Sans Mono CJK SC" w:eastAsia="Noto Sans Mono CJK SC"/>
                <w:color w:val="1F2937"/>
                <w:sz w:val="16"/>
              </w:rPr>
              <w:t>├── moon/</w:t>
            </w:r>
          </w:p>
          <w:p>
            <w:pPr>
              <w:spacing w:after="0" w:before="0" w:line="240" w:lineRule="auto"/>
            </w:pPr>
            <w:r>
              <w:rPr>
                <w:rFonts w:ascii="Noto Sans Mono CJK SC" w:hAnsi="Noto Sans Mono CJK SC" w:eastAsia="Noto Sans Mono CJK SC"/>
                <w:color w:val="1F2937"/>
                <w:sz w:val="16"/>
              </w:rPr>
              <w:t>│   ├── train_moon.py</w:t>
            </w:r>
          </w:p>
          <w:p>
            <w:pPr>
              <w:spacing w:after="0" w:before="0" w:line="240" w:lineRule="auto"/>
            </w:pPr>
            <w:r>
              <w:rPr>
                <w:rFonts w:ascii="Noto Sans Mono CJK SC" w:hAnsi="Noto Sans Mono CJK SC" w:eastAsia="Noto Sans Mono CJK SC"/>
                <w:color w:val="1F2937"/>
                <w:sz w:val="16"/>
              </w:rPr>
              <w:t>│   ├── feature_model.py</w:t>
            </w:r>
          </w:p>
          <w:p>
            <w:pPr>
              <w:spacing w:after="0" w:before="0" w:line="240" w:lineRule="auto"/>
            </w:pPr>
            <w:r>
              <w:rPr>
                <w:rFonts w:ascii="Noto Sans Mono CJK SC" w:hAnsi="Noto Sans Mono CJK SC" w:eastAsia="Noto Sans Mono CJK SC"/>
                <w:color w:val="1F2937"/>
                <w:sz w:val="16"/>
              </w:rPr>
              <w:t>│   └── contrastive_loss.py</w:t>
            </w:r>
          </w:p>
          <w:p>
            <w:pPr>
              <w:spacing w:after="0" w:before="0" w:line="240" w:lineRule="auto"/>
            </w:pPr>
            <w:r>
              <w:rPr>
                <w:rFonts w:ascii="Noto Sans Mono CJK SC" w:hAnsi="Noto Sans Mono CJK SC" w:eastAsia="Noto Sans Mono CJK SC"/>
                <w:color w:val="1F2937"/>
                <w:sz w:val="16"/>
              </w:rPr>
              <w:t>├── fedbn/</w:t>
            </w:r>
          </w:p>
          <w:p>
            <w:pPr>
              <w:spacing w:after="0" w:before="0" w:line="240" w:lineRule="auto"/>
            </w:pPr>
            <w:r>
              <w:rPr>
                <w:rFonts w:ascii="Noto Sans Mono CJK SC" w:hAnsi="Noto Sans Mono CJK SC" w:eastAsia="Noto Sans Mono CJK SC"/>
                <w:color w:val="1F2937"/>
                <w:sz w:val="16"/>
              </w:rPr>
              <w:t>│   ├── prepare_feature_shift.py</w:t>
            </w:r>
          </w:p>
          <w:p>
            <w:pPr>
              <w:spacing w:after="0" w:before="0" w:line="240" w:lineRule="auto"/>
            </w:pPr>
            <w:r>
              <w:rPr>
                <w:rFonts w:ascii="Noto Sans Mono CJK SC" w:hAnsi="Noto Sans Mono CJK SC" w:eastAsia="Noto Sans Mono CJK SC"/>
                <w:color w:val="1F2937"/>
                <w:sz w:val="16"/>
              </w:rPr>
              <w:t>│   ├── train_fedavg_bn.py</w:t>
            </w:r>
          </w:p>
          <w:p>
            <w:pPr>
              <w:spacing w:after="0" w:before="0" w:line="240" w:lineRule="auto"/>
            </w:pPr>
            <w:r>
              <w:rPr>
                <w:rFonts w:ascii="Noto Sans Mono CJK SC" w:hAnsi="Noto Sans Mono CJK SC" w:eastAsia="Noto Sans Mono CJK SC"/>
                <w:color w:val="1F2937"/>
                <w:sz w:val="16"/>
              </w:rPr>
              <w:t>│   └── train_fedbn.py</w:t>
            </w:r>
          </w:p>
          <w:p>
            <w:pPr>
              <w:spacing w:after="0" w:before="0" w:line="240" w:lineRule="auto"/>
            </w:pPr>
            <w:r>
              <w:rPr>
                <w:rFonts w:ascii="Noto Sans Mono CJK SC" w:hAnsi="Noto Sans Mono CJK SC" w:eastAsia="Noto Sans Mono CJK SC"/>
                <w:color w:val="1F2937"/>
                <w:sz w:val="16"/>
              </w:rPr>
              <w:t>└── compression/</w:t>
            </w:r>
          </w:p>
          <w:p>
            <w:pPr>
              <w:spacing w:after="0" w:before="0" w:line="240" w:lineRule="auto"/>
            </w:pPr>
            <w:r>
              <w:rPr>
                <w:rFonts w:ascii="Noto Sans Mono CJK SC" w:hAnsi="Noto Sans Mono CJK SC" w:eastAsia="Noto Sans Mono CJK SC"/>
                <w:color w:val="1F2937"/>
                <w:sz w:val="16"/>
              </w:rPr>
              <w:t xml:space="preserve">    ├── quantization.py</w:t>
            </w:r>
          </w:p>
          <w:p>
            <w:pPr>
              <w:spacing w:after="0" w:before="0" w:line="240" w:lineRule="auto"/>
            </w:pPr>
            <w:r>
              <w:rPr>
                <w:rFonts w:ascii="Noto Sans Mono CJK SC" w:hAnsi="Noto Sans Mono CJK SC" w:eastAsia="Noto Sans Mono CJK SC"/>
                <w:color w:val="1F2937"/>
                <w:sz w:val="16"/>
              </w:rPr>
              <w:t xml:space="preserve">    ├── sparsification.py</w:t>
            </w:r>
          </w:p>
          <w:p>
            <w:pPr>
              <w:spacing w:after="0" w:before="0" w:line="240" w:lineRule="auto"/>
            </w:pPr>
            <w:r>
              <w:rPr>
                <w:rFonts w:ascii="Noto Sans Mono CJK SC" w:hAnsi="Noto Sans Mono CJK SC" w:eastAsia="Noto Sans Mono CJK SC"/>
                <w:color w:val="1F2937"/>
                <w:sz w:val="16"/>
              </w:rPr>
              <w:t xml:space="preserve">    └── error_feedback.py</w:t>
            </w:r>
          </w:p>
        </w:tc>
      </w:tr>
    </w:tbl>
    <w:p>
      <w:pPr>
        <w:spacing w:after="0"/>
      </w:pPr>
    </w:p>
    <w:p>
      <w:pPr>
        <w:pStyle w:val="SmallNote"/>
        <w:spacing w:after="100" w:line="293" w:lineRule="auto"/>
      </w:pPr>
      <w:r>
        <w:rPr>
          <w:rFonts w:ascii="Noto Sans CJK SC" w:hAnsi="Noto Sans CJK SC" w:eastAsia="Noto Sans CJK SC"/>
          <w:i w:val="0"/>
        </w:rPr>
        <w:t>以上为 Stage 1C 规划目录，尚未生成时不得在交接中写成“已存在”。实际实现可根据 TFF API 限制调整，但公共模块和算法状态应保持清晰分离。</w:t>
      </w:r>
    </w:p>
    <w:p>
      <w:pPr>
        <w:pStyle w:val="Heading2"/>
        <w:keepNext/>
      </w:pPr>
      <w:r>
        <w:rPr>
          <w:rFonts w:ascii="Noto Sans CJK SC" w:hAnsi="Noto Sans CJK SC" w:eastAsia="Noto Sans CJK SC"/>
        </w:rPr>
        <w:t>8.2 输出目录与命名规范</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建议输出结构</w:t>
            </w:r>
          </w:p>
          <w:p>
            <w:pPr>
              <w:spacing w:after="0" w:before="0" w:line="240" w:lineRule="auto"/>
            </w:pPr>
            <w:r>
              <w:rPr>
                <w:rFonts w:ascii="Noto Sans Mono CJK SC" w:hAnsi="Noto Sans Mono CJK SC" w:eastAsia="Noto Sans Mono CJK SC"/>
                <w:color w:val="1F2937"/>
                <w:sz w:val="16"/>
              </w:rPr>
              <w:t>outputs/stage1c/</w:t>
            </w:r>
          </w:p>
          <w:p>
            <w:pPr>
              <w:spacing w:after="0" w:before="0" w:line="240" w:lineRule="auto"/>
            </w:pPr>
            <w:r>
              <w:rPr>
                <w:rFonts w:ascii="Noto Sans Mono CJK SC" w:hAnsi="Noto Sans Mono CJK SC" w:eastAsia="Noto Sans Mono CJK SC"/>
                <w:color w:val="1F2937"/>
                <w:sz w:val="16"/>
              </w:rPr>
              <w:t>├── fedprox/</w:t>
            </w:r>
          </w:p>
          <w:p>
            <w:pPr>
              <w:spacing w:after="0" w:before="0" w:line="240" w:lineRule="auto"/>
            </w:pPr>
            <w:r>
              <w:rPr>
                <w:rFonts w:ascii="Noto Sans Mono CJK SC" w:hAnsi="Noto Sans Mono CJK SC" w:eastAsia="Noto Sans Mono CJK SC"/>
                <w:color w:val="1F2937"/>
                <w:sz w:val="16"/>
              </w:rPr>
              <w:t>│   ├── alpha01_mu001_trainseed20260720/</w:t>
            </w:r>
          </w:p>
          <w:p>
            <w:pPr>
              <w:spacing w:after="0" w:before="0" w:line="240" w:lineRule="auto"/>
            </w:pPr>
            <w:r>
              <w:rPr>
                <w:rFonts w:ascii="Noto Sans Mono CJK SC" w:hAnsi="Noto Sans Mono CJK SC" w:eastAsia="Noto Sans Mono CJK SC"/>
                <w:color w:val="1F2937"/>
                <w:sz w:val="16"/>
              </w:rPr>
              <w:t>│   └── ...</w:t>
            </w:r>
          </w:p>
          <w:p>
            <w:pPr>
              <w:spacing w:after="0" w:before="0" w:line="240" w:lineRule="auto"/>
            </w:pPr>
            <w:r>
              <w:rPr>
                <w:rFonts w:ascii="Noto Sans Mono CJK SC" w:hAnsi="Noto Sans Mono CJK SC" w:eastAsia="Noto Sans Mono CJK SC"/>
                <w:color w:val="1F2937"/>
                <w:sz w:val="16"/>
              </w:rPr>
              <w:t>├── scaffold/</w:t>
            </w:r>
          </w:p>
          <w:p>
            <w:pPr>
              <w:spacing w:after="0" w:before="0" w:line="240" w:lineRule="auto"/>
            </w:pPr>
            <w:r>
              <w:rPr>
                <w:rFonts w:ascii="Noto Sans Mono CJK SC" w:hAnsi="Noto Sans Mono CJK SC" w:eastAsia="Noto Sans Mono CJK SC"/>
                <w:color w:val="1F2937"/>
                <w:sz w:val="16"/>
              </w:rPr>
              <w:t>├── moon/</w:t>
            </w:r>
          </w:p>
          <w:p>
            <w:pPr>
              <w:spacing w:after="0" w:before="0" w:line="240" w:lineRule="auto"/>
            </w:pPr>
            <w:r>
              <w:rPr>
                <w:rFonts w:ascii="Noto Sans Mono CJK SC" w:hAnsi="Noto Sans Mono CJK SC" w:eastAsia="Noto Sans Mono CJK SC"/>
                <w:color w:val="1F2937"/>
                <w:sz w:val="16"/>
              </w:rPr>
              <w:t>├── fedbn_feature_shift/</w:t>
            </w:r>
          </w:p>
          <w:p>
            <w:pPr>
              <w:spacing w:after="0" w:before="0" w:line="240" w:lineRule="auto"/>
            </w:pPr>
            <w:r>
              <w:rPr>
                <w:rFonts w:ascii="Noto Sans Mono CJK SC" w:hAnsi="Noto Sans Mono CJK SC" w:eastAsia="Noto Sans Mono CJK SC"/>
                <w:color w:val="1F2937"/>
                <w:sz w:val="16"/>
              </w:rPr>
              <w:t>├── compression/</w:t>
            </w:r>
          </w:p>
          <w:p>
            <w:pPr>
              <w:spacing w:after="0" w:before="0" w:line="240" w:lineRule="auto"/>
            </w:pPr>
            <w:r>
              <w:rPr>
                <w:rFonts w:ascii="Noto Sans Mono CJK SC" w:hAnsi="Noto Sans Mono CJK SC" w:eastAsia="Noto Sans Mono CJK SC"/>
                <w:color w:val="1F2937"/>
                <w:sz w:val="16"/>
              </w:rPr>
              <w:t>└── comparison/</w:t>
            </w:r>
          </w:p>
        </w:tc>
      </w:tr>
    </w:tbl>
    <w:p>
      <w:pPr>
        <w:spacing w:after="0"/>
      </w:pP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字段</w:t>
            </w:r>
          </w:p>
        </w:tc>
        <w:tc>
          <w:tcPr>
            <w:tcW w:type="dxa" w:w="680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命名建议</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算法</w:t>
            </w:r>
          </w:p>
        </w:tc>
        <w:tc>
          <w:tcPr>
            <w:tcW w:type="dxa" w:w="680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fedavg / fedprox / scaffold / moon / fedavg_bn / fedbn</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数据划分</w:t>
            </w:r>
          </w:p>
        </w:tc>
        <w:tc>
          <w:tcPr>
            <w:tcW w:type="dxa" w:w="680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iid / alpha1 / alpha05 / alpha01 / feature_shift_v1</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关键超参数</w:t>
            </w:r>
          </w:p>
        </w:tc>
        <w:tc>
          <w:tcPr>
            <w:tcW w:type="dxa" w:w="680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mu001 / moonmu1_tau05 / topk01 / int8</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随机种子</w:t>
            </w:r>
          </w:p>
        </w:tc>
        <w:tc>
          <w:tcPr>
            <w:tcW w:type="dxa" w:w="680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partition_seed 与 training_seed 分开记录</w:t>
            </w:r>
          </w:p>
        </w:tc>
      </w:tr>
      <w:tr>
        <w:trPr>
          <w:cantSplit/>
        </w:trPr>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版本</w:t>
            </w:r>
          </w:p>
        </w:tc>
        <w:tc>
          <w:tcPr>
            <w:tcW w:type="dxa" w:w="6803"/>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config_version、code commit 或脚本 hash</w:t>
            </w:r>
          </w:p>
        </w:tc>
      </w:tr>
    </w:tbl>
    <w:p>
      <w:pPr>
        <w:spacing w:after="0"/>
      </w:pPr>
    </w:p>
    <w:p>
      <w:pPr>
        <w:pStyle w:val="Heading2"/>
        <w:keepNext/>
      </w:pPr>
      <w:r>
        <w:rPr>
          <w:rFonts w:ascii="Noto Sans CJK SC" w:hAnsi="Noto Sans CJK SC" w:eastAsia="Noto Sans CJK SC"/>
        </w:rPr>
        <w:t>8.3 统一 config.json 必须包含的字段</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统一配置字段</w:t>
            </w:r>
          </w:p>
          <w:p>
            <w:pPr>
              <w:spacing w:after="0" w:before="0" w:line="240" w:lineRule="auto"/>
            </w:pPr>
            <w:r>
              <w:rPr>
                <w:rFonts w:ascii="Noto Sans Mono CJK SC" w:hAnsi="Noto Sans Mono CJK SC" w:eastAsia="Noto Sans Mono CJK SC"/>
                <w:color w:val="1F2937"/>
                <w:sz w:val="16"/>
              </w:rPr>
              <w:t>project_stage</w:t>
            </w:r>
          </w:p>
          <w:p>
            <w:pPr>
              <w:spacing w:after="0" w:before="0" w:line="240" w:lineRule="auto"/>
            </w:pPr>
            <w:r>
              <w:rPr>
                <w:rFonts w:ascii="Noto Sans Mono CJK SC" w:hAnsi="Noto Sans Mono CJK SC" w:eastAsia="Noto Sans Mono CJK SC"/>
                <w:color w:val="1F2937"/>
                <w:sz w:val="16"/>
              </w:rPr>
              <w:t>algorithm</w:t>
            </w:r>
          </w:p>
          <w:p>
            <w:pPr>
              <w:spacing w:after="0" w:before="0" w:line="240" w:lineRule="auto"/>
            </w:pPr>
            <w:r>
              <w:rPr>
                <w:rFonts w:ascii="Noto Sans Mono CJK SC" w:hAnsi="Noto Sans Mono CJK SC" w:eastAsia="Noto Sans Mono CJK SC"/>
                <w:color w:val="1F2937"/>
                <w:sz w:val="16"/>
              </w:rPr>
              <w:t>algorithm_version</w:t>
            </w:r>
          </w:p>
          <w:p>
            <w:pPr>
              <w:spacing w:after="0" w:before="0" w:line="240" w:lineRule="auto"/>
            </w:pPr>
            <w:r>
              <w:rPr>
                <w:rFonts w:ascii="Noto Sans Mono CJK SC" w:hAnsi="Noto Sans Mono CJK SC" w:eastAsia="Noto Sans Mono CJK SC"/>
                <w:color w:val="1F2937"/>
                <w:sz w:val="16"/>
              </w:rPr>
              <w:t>dataset / num_classes / input_shape</w:t>
            </w:r>
          </w:p>
          <w:p>
            <w:pPr>
              <w:spacing w:after="0" w:before="0" w:line="240" w:lineRule="auto"/>
            </w:pPr>
            <w:r>
              <w:rPr>
                <w:rFonts w:ascii="Noto Sans Mono CJK SC" w:hAnsi="Noto Sans Mono CJK SC" w:eastAsia="Noto Sans Mono CJK SC"/>
                <w:color w:val="1F2937"/>
                <w:sz w:val="16"/>
              </w:rPr>
              <w:t>partition_dir / partition_type / alpha</w:t>
            </w:r>
          </w:p>
          <w:p>
            <w:pPr>
              <w:spacing w:after="0" w:before="0" w:line="240" w:lineRule="auto"/>
            </w:pPr>
            <w:r>
              <w:rPr>
                <w:rFonts w:ascii="Noto Sans Mono CJK SC" w:hAnsi="Noto Sans Mono CJK SC" w:eastAsia="Noto Sans Mono CJK SC"/>
                <w:color w:val="1F2937"/>
                <w:sz w:val="16"/>
              </w:rPr>
              <w:t>partition_seed / training_seed</w:t>
            </w:r>
          </w:p>
          <w:p>
            <w:pPr>
              <w:spacing w:after="0" w:before="0" w:line="240" w:lineRule="auto"/>
            </w:pPr>
            <w:r>
              <w:rPr>
                <w:rFonts w:ascii="Noto Sans Mono CJK SC" w:hAnsi="Noto Sans Mono CJK SC" w:eastAsia="Noto Sans Mono CJK SC"/>
                <w:color w:val="1F2937"/>
                <w:sz w:val="16"/>
              </w:rPr>
              <w:t>num_clients / clients_per_round</w:t>
            </w:r>
          </w:p>
          <w:p>
            <w:pPr>
              <w:spacing w:after="0" w:before="0" w:line="240" w:lineRule="auto"/>
            </w:pPr>
            <w:r>
              <w:rPr>
                <w:rFonts w:ascii="Noto Sans Mono CJK SC" w:hAnsi="Noto Sans Mono CJK SC" w:eastAsia="Noto Sans Mono CJK SC"/>
                <w:color w:val="1F2937"/>
                <w:sz w:val="16"/>
              </w:rPr>
              <w:t>local_epochs / batch_size / rounds</w:t>
            </w:r>
          </w:p>
          <w:p>
            <w:pPr>
              <w:spacing w:after="0" w:before="0" w:line="240" w:lineRule="auto"/>
            </w:pPr>
            <w:r>
              <w:rPr>
                <w:rFonts w:ascii="Noto Sans Mono CJK SC" w:hAnsi="Noto Sans Mono CJK SC" w:eastAsia="Noto Sans Mono CJK SC"/>
                <w:color w:val="1F2937"/>
                <w:sz w:val="16"/>
              </w:rPr>
              <w:t>client_optimizer / client_lr</w:t>
            </w:r>
          </w:p>
          <w:p>
            <w:pPr>
              <w:spacing w:after="0" w:before="0" w:line="240" w:lineRule="auto"/>
            </w:pPr>
            <w:r>
              <w:rPr>
                <w:rFonts w:ascii="Noto Sans Mono CJK SC" w:hAnsi="Noto Sans Mono CJK SC" w:eastAsia="Noto Sans Mono CJK SC"/>
                <w:color w:val="1F2937"/>
                <w:sz w:val="16"/>
              </w:rPr>
              <w:t>server_optimizer / server_lr</w:t>
            </w:r>
          </w:p>
          <w:p>
            <w:pPr>
              <w:spacing w:after="0" w:before="0" w:line="240" w:lineRule="auto"/>
            </w:pPr>
            <w:r>
              <w:rPr>
                <w:rFonts w:ascii="Noto Sans Mono CJK SC" w:hAnsi="Noto Sans Mono CJK SC" w:eastAsia="Noto Sans Mono CJK SC"/>
                <w:color w:val="1F2937"/>
                <w:sz w:val="16"/>
              </w:rPr>
              <w:t>model_name / use_batch_norm</w:t>
            </w:r>
          </w:p>
          <w:p>
            <w:pPr>
              <w:spacing w:after="0" w:before="0" w:line="240" w:lineRule="auto"/>
            </w:pPr>
            <w:r>
              <w:rPr>
                <w:rFonts w:ascii="Noto Sans Mono CJK SC" w:hAnsi="Noto Sans Mono CJK SC" w:eastAsia="Noto Sans Mono CJK SC"/>
                <w:color w:val="1F2937"/>
                <w:sz w:val="16"/>
              </w:rPr>
              <w:t>algorithm_specific_hparams</w:t>
            </w:r>
          </w:p>
          <w:p>
            <w:pPr>
              <w:spacing w:after="0" w:before="0" w:line="240" w:lineRule="auto"/>
            </w:pPr>
            <w:r>
              <w:rPr>
                <w:rFonts w:ascii="Noto Sans Mono CJK SC" w:hAnsi="Noto Sans Mono CJK SC" w:eastAsia="Noto Sans Mono CJK SC"/>
                <w:color w:val="1F2937"/>
                <w:sz w:val="16"/>
              </w:rPr>
              <w:t>checkpoint_state_description</w:t>
            </w:r>
          </w:p>
          <w:p>
            <w:pPr>
              <w:spacing w:after="0" w:before="0" w:line="240" w:lineRule="auto"/>
            </w:pPr>
            <w:r>
              <w:rPr>
                <w:rFonts w:ascii="Noto Sans Mono CJK SC" w:hAnsi="Noto Sans Mono CJK SC" w:eastAsia="Noto Sans Mono CJK SC"/>
                <w:color w:val="1F2937"/>
                <w:sz w:val="16"/>
              </w:rPr>
              <w:t>communication_accounting_method</w:t>
            </w:r>
          </w:p>
          <w:p>
            <w:pPr>
              <w:spacing w:after="0" w:before="0" w:line="240" w:lineRule="auto"/>
            </w:pPr>
            <w:r>
              <w:rPr>
                <w:rFonts w:ascii="Noto Sans Mono CJK SC" w:hAnsi="Noto Sans Mono CJK SC" w:eastAsia="Noto Sans Mono CJK SC"/>
                <w:color w:val="1F2937"/>
                <w:sz w:val="16"/>
              </w:rPr>
              <w:t>software_versions</w:t>
            </w:r>
          </w:p>
        </w:tc>
      </w:tr>
    </w:tbl>
    <w:p>
      <w:pPr>
        <w:spacing w:after="0"/>
      </w:pPr>
    </w:p>
    <w:p>
      <w:pPr>
        <w:pStyle w:val="Heading2"/>
        <w:keepNext/>
      </w:pPr>
      <w:r>
        <w:rPr>
          <w:rFonts w:ascii="Noto Sans CJK SC" w:hAnsi="Noto Sans CJK SC" w:eastAsia="Noto Sans CJK SC"/>
        </w:rPr>
        <w:t>8.4 不同算法的 checkpoint 最小状态</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算法</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必须保存的状态</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FedAvg</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全局 ModelWeights；完成轮次；若服务器/聚合器有状态则额外保存</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FedProx</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通常与 FedAvg 相同；μ 是配置，不是跨轮动态状态</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SCAFFOLD</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全局权重、server c、每客户端 cᵢ、完成轮次、优化器/聚合器状态</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MOON</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全局权重、每客户端上一轮本地模型/表示状态、完成轮次、必要优化器状态</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FedBN</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共享全局参数、每客户端 BN 参数和统计量、完成轮次</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压缩+误差反馈</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基础算法状态、每客户端残差缓存、压缩器状态</w:t>
            </w:r>
          </w:p>
        </w:tc>
      </w:tr>
    </w:tbl>
    <w:p>
      <w:pPr>
        <w:spacing w:after="0"/>
      </w:pPr>
    </w:p>
    <w:p>
      <w:pPr>
        <w:pStyle w:val="Heading2"/>
        <w:keepNext/>
      </w:pPr>
      <w:r>
        <w:rPr>
          <w:rFonts w:ascii="Noto Sans CJK SC" w:hAnsi="Noto Sans CJK SC" w:eastAsia="Noto Sans CJK SC"/>
        </w:rPr>
        <w:t>8.5 统一日志与审计</w:t>
      </w:r>
    </w:p>
    <w:p>
      <w:pPr>
        <w:pStyle w:val="ListBullet"/>
        <w:spacing w:after="60" w:line="276" w:lineRule="auto"/>
        <w:ind w:left="340" w:hanging="170"/>
      </w:pPr>
      <w:r>
        <w:rPr>
          <w:rFonts w:ascii="Noto Sans CJK SC" w:hAnsi="Noto Sans CJK SC" w:eastAsia="Noto Sans CJK SC"/>
        </w:rPr>
        <w:t>训练启动时打印并保存所有关键配置。</w:t>
      </w:r>
    </w:p>
    <w:p>
      <w:pPr>
        <w:pStyle w:val="ListBullet"/>
        <w:spacing w:after="60" w:line="276" w:lineRule="auto"/>
        <w:ind w:left="340" w:hanging="170"/>
      </w:pPr>
      <w:r>
        <w:rPr>
          <w:rFonts w:ascii="Noto Sans CJK SC" w:hAnsi="Noto Sans CJK SC" w:eastAsia="Noto Sans CJK SC"/>
        </w:rPr>
        <w:t>保存客户端样本数、有效类别数、partition 路径和 manifest 校验信息。</w:t>
      </w:r>
    </w:p>
    <w:p>
      <w:pPr>
        <w:pStyle w:val="ListBullet"/>
        <w:spacing w:after="60" w:line="276" w:lineRule="auto"/>
        <w:ind w:left="340" w:hanging="170"/>
      </w:pPr>
      <w:r>
        <w:rPr>
          <w:rFonts w:ascii="Noto Sans CJK SC" w:hAnsi="Noto Sans CJK SC" w:eastAsia="Noto Sans CJK SC"/>
        </w:rPr>
        <w:t>每轮保存 train / val 指标和算法专用指标。</w:t>
      </w:r>
    </w:p>
    <w:p>
      <w:pPr>
        <w:pStyle w:val="ListBullet"/>
        <w:spacing w:after="60" w:line="276" w:lineRule="auto"/>
        <w:ind w:left="340" w:hanging="170"/>
      </w:pPr>
      <w:r>
        <w:rPr>
          <w:rFonts w:ascii="Noto Sans CJK SC" w:hAnsi="Noto Sans CJK SC" w:eastAsia="Noto Sans CJK SC"/>
        </w:rPr>
        <w:t>正式结束后固定在官方 Test.csv 上评价一次，并保存 per-class 和 confusion matrix。</w:t>
      </w:r>
    </w:p>
    <w:p>
      <w:pPr>
        <w:pStyle w:val="ListBullet"/>
        <w:spacing w:after="60" w:line="276" w:lineRule="auto"/>
        <w:ind w:left="340" w:hanging="170"/>
      </w:pPr>
      <w:r>
        <w:rPr>
          <w:rFonts w:ascii="Noto Sans CJK SC" w:hAnsi="Noto Sans CJK SC" w:eastAsia="Noto Sans CJK SC"/>
        </w:rPr>
        <w:t>保存最优与最后模型，记录 best_round 的选择依据。</w:t>
      </w:r>
    </w:p>
    <w:p>
      <w:pPr>
        <w:pStyle w:val="ListBullet"/>
        <w:spacing w:after="60" w:line="276" w:lineRule="auto"/>
        <w:ind w:left="340" w:hanging="170"/>
      </w:pPr>
      <w:r>
        <w:rPr>
          <w:rFonts w:ascii="Noto Sans CJK SC" w:hAnsi="Noto Sans CJK SC" w:eastAsia="Noto Sans CJK SC"/>
        </w:rPr>
        <w:t>恢复训练时检查 algorithm、partition、模型结构和关键超参数完全一致。</w:t>
      </w:r>
    </w:p>
    <w:p>
      <w:pPr>
        <w:pStyle w:val="Heading1"/>
        <w:keepNext/>
      </w:pPr>
      <w:r>
        <w:rPr>
          <w:rFonts w:ascii="Noto Sans CJK SC" w:hAnsi="Noto Sans CJK SC" w:eastAsia="Noto Sans CJK SC"/>
        </w:rPr>
        <w:t>9. 统一评价指标、图表与论文分析框架</w:t>
      </w:r>
    </w:p>
    <w:p>
      <w:pPr>
        <w:pStyle w:val="Heading2"/>
        <w:keepNext/>
      </w:pPr>
      <w:r>
        <w:rPr>
          <w:rFonts w:ascii="Noto Sans CJK SC" w:hAnsi="Noto Sans CJK SC" w:eastAsia="Noto Sans CJK SC"/>
        </w:rPr>
        <w:t>9.1 全局性能指标</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指标</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8"/>
              </w:rPr>
              <w:t>意义</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Official Test Accuracy</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整体样本准确率，主结果之一</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Macro Class Accuracy</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43 类等权平均，更敏感地反映类别公平性</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Test Loss</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反映置信度、校准与错误严重程度</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Best Round</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收敛速度与最优 checkpoint 位置</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AUC of Accuracy-vs-Round（可选）</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综合衡量整个训练过程，而非只看终点</w:t>
            </w:r>
          </w:p>
        </w:tc>
      </w:tr>
    </w:tbl>
    <w:p>
      <w:pPr>
        <w:spacing w:after="0"/>
      </w:pPr>
    </w:p>
    <w:p>
      <w:pPr>
        <w:pStyle w:val="Heading2"/>
        <w:keepNext/>
      </w:pPr>
      <w:r>
        <w:rPr>
          <w:rFonts w:ascii="Noto Sans CJK SC" w:hAnsi="Noto Sans CJK SC" w:eastAsia="Noto Sans CJK SC"/>
        </w:rPr>
        <w:t>9.2 类别级指标</w:t>
      </w:r>
    </w:p>
    <w:p>
      <w:pPr>
        <w:pStyle w:val="ListBullet"/>
        <w:spacing w:after="60" w:line="276" w:lineRule="auto"/>
        <w:ind w:left="340" w:hanging="170"/>
      </w:pPr>
      <w:r>
        <w:rPr>
          <w:rFonts w:ascii="Noto Sans CJK SC" w:hAnsi="Noto Sans CJK SC" w:eastAsia="Noto Sans CJK SC"/>
        </w:rPr>
        <w:t>Worst Class Accuracy。</w:t>
      </w:r>
    </w:p>
    <w:p>
      <w:pPr>
        <w:pStyle w:val="ListBullet"/>
        <w:spacing w:after="60" w:line="276" w:lineRule="auto"/>
        <w:ind w:left="340" w:hanging="170"/>
      </w:pPr>
      <w:r>
        <w:rPr>
          <w:rFonts w:ascii="Noto Sans CJK SC" w:hAnsi="Noto Sans CJK SC" w:eastAsia="Noto Sans CJK SC"/>
        </w:rPr>
        <w:t>准确率为 0 的类别数量。</w:t>
      </w:r>
    </w:p>
    <w:p>
      <w:pPr>
        <w:pStyle w:val="ListBullet"/>
        <w:spacing w:after="60" w:line="276" w:lineRule="auto"/>
        <w:ind w:left="340" w:hanging="170"/>
      </w:pPr>
      <w:r>
        <w:rPr>
          <w:rFonts w:ascii="Noto Sans CJK SC" w:hAnsi="Noto Sans CJK SC" w:eastAsia="Noto Sans CJK SC"/>
        </w:rPr>
        <w:t>准确率低于 10%、30%、50% 的类别数量。</w:t>
      </w:r>
    </w:p>
    <w:p>
      <w:pPr>
        <w:pStyle w:val="ListBullet"/>
        <w:spacing w:after="60" w:line="276" w:lineRule="auto"/>
        <w:ind w:left="340" w:hanging="170"/>
      </w:pPr>
      <w:r>
        <w:rPr>
          <w:rFonts w:ascii="Noto Sans CJK SC" w:hAnsi="Noto Sans CJK SC" w:eastAsia="Noto Sans CJK SC"/>
        </w:rPr>
        <w:t>Stage 1B 原失效类别的恢复幅度。</w:t>
      </w:r>
    </w:p>
    <w:p>
      <w:pPr>
        <w:pStyle w:val="ListBullet"/>
        <w:spacing w:after="60" w:line="276" w:lineRule="auto"/>
        <w:ind w:left="340" w:hanging="170"/>
      </w:pPr>
      <w:r>
        <w:rPr>
          <w:rFonts w:ascii="Noto Sans CJK SC" w:hAnsi="Noto Sans CJK SC" w:eastAsia="Noto Sans CJK SC"/>
        </w:rPr>
        <w:t>Top confusion pairs 及错误是否仍呈系统性偏置。</w:t>
      </w:r>
    </w:p>
    <w:p>
      <w:pPr>
        <w:pStyle w:val="Heading2"/>
        <w:keepNext/>
      </w:pPr>
      <w:r>
        <w:rPr>
          <w:rFonts w:ascii="Noto Sans CJK SC" w:hAnsi="Noto Sans CJK SC" w:eastAsia="Noto Sans CJK SC"/>
        </w:rPr>
        <w:t>9.3 客户端公平性指标</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统一客户端公平性输出</w:t>
            </w:r>
          </w:p>
          <w:p>
            <w:pPr>
              <w:spacing w:after="0" w:before="0" w:line="240" w:lineRule="auto"/>
            </w:pPr>
            <w:r>
              <w:rPr>
                <w:rFonts w:ascii="Noto Sans Mono CJK SC" w:hAnsi="Noto Sans Mono CJK SC" w:eastAsia="Noto Sans Mono CJK SC"/>
                <w:color w:val="1F2937"/>
                <w:sz w:val="16"/>
              </w:rPr>
              <w:t>client_0_accuracy ... client_4_accuracy</w:t>
            </w:r>
          </w:p>
          <w:p>
            <w:pPr>
              <w:spacing w:after="0" w:before="0" w:line="240" w:lineRule="auto"/>
            </w:pPr>
            <w:r>
              <w:rPr>
                <w:rFonts w:ascii="Noto Sans Mono CJK SC" w:hAnsi="Noto Sans Mono CJK SC" w:eastAsia="Noto Sans Mono CJK SC"/>
                <w:color w:val="1F2937"/>
                <w:sz w:val="16"/>
              </w:rPr>
              <w:t>mean_client_accuracy</w:t>
            </w:r>
          </w:p>
          <w:p>
            <w:pPr>
              <w:spacing w:after="0" w:before="0" w:line="240" w:lineRule="auto"/>
            </w:pPr>
            <w:r>
              <w:rPr>
                <w:rFonts w:ascii="Noto Sans Mono CJK SC" w:hAnsi="Noto Sans Mono CJK SC" w:eastAsia="Noto Sans Mono CJK SC"/>
                <w:color w:val="1F2937"/>
                <w:sz w:val="16"/>
              </w:rPr>
              <w:t>worst_client_accuracy</w:t>
            </w:r>
          </w:p>
          <w:p>
            <w:pPr>
              <w:spacing w:after="0" w:before="0" w:line="240" w:lineRule="auto"/>
            </w:pPr>
            <w:r>
              <w:rPr>
                <w:rFonts w:ascii="Noto Sans Mono CJK SC" w:hAnsi="Noto Sans Mono CJK SC" w:eastAsia="Noto Sans Mono CJK SC"/>
                <w:color w:val="1F2937"/>
                <w:sz w:val="16"/>
              </w:rPr>
              <w:t>client_accuracy_std</w:t>
            </w:r>
          </w:p>
          <w:p>
            <w:pPr>
              <w:spacing w:after="0" w:before="0" w:line="240" w:lineRule="auto"/>
            </w:pPr>
            <w:r>
              <w:rPr>
                <w:rFonts w:ascii="Noto Sans Mono CJK SC" w:hAnsi="Noto Sans Mono CJK SC" w:eastAsia="Noto Sans Mono CJK SC"/>
                <w:color w:val="1F2937"/>
                <w:sz w:val="16"/>
              </w:rPr>
              <w:t>best_worst_gap</w:t>
            </w:r>
          </w:p>
        </w:tc>
      </w:tr>
    </w:tbl>
    <w:p>
      <w:pPr>
        <w:spacing w:after="0"/>
      </w:pPr>
    </w:p>
    <w:p>
      <w:pPr>
        <w:pStyle w:val="Heading2"/>
        <w:keepNext/>
      </w:pPr>
      <w:r>
        <w:rPr>
          <w:rFonts w:ascii="Noto Sans CJK SC" w:hAnsi="Noto Sans CJK SC" w:eastAsia="Noto Sans CJK SC"/>
        </w:rPr>
        <w:t>9.4 算法机制指标</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算法</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建议专用指标</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FedProx</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proximal loss、distance_to_global_model、model_delta_norm</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SCAFFOLD</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server/client control variate norms、corrected update norm</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MOON</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contrastive loss、positive/negative similarity、representation norm</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FedBN</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各客户端 BN statistic 差异、同域/跨域准确率矩阵</w:t>
            </w:r>
          </w:p>
        </w:tc>
      </w:tr>
      <w:tr>
        <w:trPr>
          <w:cantSplit/>
        </w:trPr>
        <w:tc>
          <w:tcPr>
            <w:tcW w:type="dxa" w:w="181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Compression</w:t>
            </w:r>
          </w:p>
        </w:tc>
        <w:tc>
          <w:tcPr>
            <w:tcW w:type="dxa" w:w="7257"/>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压缩比、累计字节、残差范数、accuracy per MiB</w:t>
            </w:r>
          </w:p>
        </w:tc>
      </w:tr>
    </w:tbl>
    <w:p>
      <w:pPr>
        <w:spacing w:after="0"/>
      </w:pPr>
    </w:p>
    <w:p>
      <w:pPr>
        <w:pStyle w:val="Heading2"/>
        <w:keepNext/>
      </w:pPr>
      <w:r>
        <w:rPr>
          <w:rFonts w:ascii="Noto Sans CJK SC" w:hAnsi="Noto Sans CJK SC" w:eastAsia="Noto Sans CJK SC"/>
        </w:rPr>
        <w:t>9.5 建议输出图表</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图表</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8"/>
              </w:rPr>
              <w:t>内容</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算法收敛曲线</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Round–Validation Accuracy / Loss</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最终结果柱图</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不同算法在 IID、α=1、α=0.5、α=0.1 下的 Test / Macro Accuracy</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类别恢复图</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α=0.1 下 43 类准确率或原失效类别对比</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客户端公平性图</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五客户端准确率、worst-client 和标准差</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机制图</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模型距离、控制变量、对比损失随轮次变化</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通信 Pareto 图</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8"/>
              </w:rPr>
              <w:t>累计通信量–准确率</w:t>
            </w:r>
          </w:p>
        </w:tc>
      </w:tr>
      <w:tr>
        <w:trPr>
          <w:cantSplit/>
        </w:trPr>
        <w:tc>
          <w:tcPr>
            <w:tcW w:type="dxa" w:w="28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FedBN 域矩阵</w:t>
            </w:r>
          </w:p>
        </w:tc>
        <w:tc>
          <w:tcPr>
            <w:tcW w:type="dxa" w:w="6236"/>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8"/>
              </w:rPr>
              <w:t>客户端 BN × 测试域准确率热力图</w:t>
            </w:r>
          </w:p>
        </w:tc>
      </w:tr>
    </w:tbl>
    <w:p>
      <w:pPr>
        <w:spacing w:after="0"/>
      </w:pPr>
    </w:p>
    <w:p>
      <w:pPr>
        <w:pStyle w:val="Heading2"/>
        <w:keepNext/>
      </w:pPr>
      <w:r>
        <w:rPr>
          <w:rFonts w:ascii="Noto Sans CJK SC" w:hAnsi="Noto Sans CJK SC" w:eastAsia="Noto Sans CJK SC"/>
        </w:rPr>
        <w:t>9.6 结果解释边界</w:t>
      </w:r>
    </w:p>
    <w:tbl>
      <w:tblPr>
        <w:tblW w:type="auto" w:w="0"/>
        <w:jc w:val="center"/>
        <w:tblLook w:firstColumn="1" w:firstRow="1" w:lastColumn="0" w:lastRow="0" w:noHBand="0" w:noVBand="1" w:val="04A0"/>
      </w:tblPr>
      <w:tblGrid>
        <w:gridCol w:w="9638"/>
      </w:tblGrid>
      <w:tr>
        <w:tc>
          <w:tcPr>
            <w:tcW w:type="dxa" w:w="9638"/>
            <w:shd w:fill="FCE4D6"/>
            <w:tcBorders>
              <w:top w:sz="4" w:val="single" w:color="C65911"/>
              <w:left w:sz="14" w:val="single" w:color="C65911"/>
              <w:bottom w:sz="4" w:val="single" w:color="C65911"/>
              <w:right w:sz="4" w:val="single" w:color="C65911"/>
            </w:tcBorders>
            <w:tcMar>
              <w:top w:w="110" w:type="dxa"/>
              <w:start w:w="130" w:type="dxa"/>
              <w:bottom w:w="110" w:type="dxa"/>
              <w:end w:w="130" w:type="dxa"/>
            </w:tcMar>
          </w:tcPr>
          <w:p>
            <w:pPr>
              <w:spacing w:after="80"/>
            </w:pPr>
            <w:r>
              <w:rPr>
                <w:rFonts w:ascii="Noto Sans CJK SC" w:hAnsi="Noto Sans CJK SC" w:eastAsia="Noto Sans CJK SC"/>
                <w:b/>
                <w:color w:val="C65911"/>
                <w:sz w:val="20"/>
              </w:rPr>
              <w:t>论文表述原则</w:t>
            </w:r>
          </w:p>
          <w:p>
            <w:pPr>
              <w:spacing w:after="0" w:line="276" w:lineRule="auto"/>
            </w:pPr>
            <w:r>
              <w:rPr>
                <w:rFonts w:ascii="Noto Sans CJK SC" w:hAnsi="Noto Sans CJK SC" w:eastAsia="Noto Sans CJK SC"/>
                <w:color w:val="253246"/>
                <w:sz w:val="19"/>
              </w:rPr>
              <w:t>单一 seed 下的轻微差异不能写成算法显著优越；FedAvg 在 α=1 下已经非常强，新算法无提升也可能是合理结果；应结合类别、客户端、公平性、机制指标和成本综合解释。</w:t>
            </w:r>
          </w:p>
        </w:tc>
      </w:tr>
    </w:tbl>
    <w:p>
      <w:pPr>
        <w:spacing w:after="0"/>
      </w:pPr>
    </w:p>
    <w:p>
      <w:pPr>
        <w:pStyle w:val="ListBullet"/>
        <w:spacing w:after="60" w:line="276" w:lineRule="auto"/>
        <w:ind w:left="340" w:hanging="170"/>
      </w:pPr>
      <w:r>
        <w:rPr>
          <w:rFonts w:ascii="Noto Sans CJK SC" w:hAnsi="Noto Sans CJK SC" w:eastAsia="Noto Sans CJK SC"/>
        </w:rPr>
        <w:t>不要把 validation accuracy 当作最终泛化结果，主结论以官方 Test.csv 为准。</w:t>
      </w:r>
    </w:p>
    <w:p>
      <w:pPr>
        <w:pStyle w:val="ListBullet"/>
        <w:spacing w:after="60" w:line="276" w:lineRule="auto"/>
        <w:ind w:left="340" w:hanging="170"/>
      </w:pPr>
      <w:r>
        <w:rPr>
          <w:rFonts w:ascii="Noto Sans CJK SC" w:hAnsi="Noto Sans CJK SC" w:eastAsia="Noto Sans CJK SC"/>
        </w:rPr>
        <w:t>不要把 class-level failure 直接等同于持续学习中的经典 catastrophic forgetting。</w:t>
      </w:r>
    </w:p>
    <w:p>
      <w:pPr>
        <w:pStyle w:val="ListBullet"/>
        <w:spacing w:after="60" w:line="276" w:lineRule="auto"/>
        <w:ind w:left="340" w:hanging="170"/>
      </w:pPr>
      <w:r>
        <w:rPr>
          <w:rFonts w:ascii="Noto Sans CJK SC" w:hAnsi="Noto Sans CJK SC" w:eastAsia="Noto Sans CJK SC"/>
        </w:rPr>
        <w:t>不要将 FedBN 的个性化客户端模型与单一全局模型只用一个数字粗略比较。</w:t>
      </w:r>
    </w:p>
    <w:p>
      <w:pPr>
        <w:pStyle w:val="ListBullet"/>
        <w:spacing w:after="60" w:line="276" w:lineRule="auto"/>
        <w:ind w:left="340" w:hanging="170"/>
      </w:pPr>
      <w:r>
        <w:rPr>
          <w:rFonts w:ascii="Noto Sans CJK SC" w:hAnsi="Noto Sans CJK SC" w:eastAsia="Noto Sans CJK SC"/>
        </w:rPr>
        <w:t>通信压缩必须同时报告压缩开销和性能损失。</w:t>
      </w:r>
    </w:p>
    <w:p>
      <w:pPr>
        <w:pStyle w:val="Heading1"/>
        <w:keepNext/>
      </w:pPr>
      <w:r>
        <w:rPr>
          <w:rFonts w:ascii="Noto Sans CJK SC" w:hAnsi="Noto Sans CJK SC" w:eastAsia="Noto Sans CJK SC"/>
        </w:rPr>
        <w:t>10. 执行计划、里程碑与验收标准</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里程碑</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任务</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验收产物</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M0</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公共代码整理</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Stage 1B FedAvg 复现无变化；公共模块单元测试通过</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M1</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FedProx μ=0</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2～3 轮与 FedAvg 指标接近；proximal loss=0</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M2</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FedProx 预实验</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α=0.5/0.1 的 μ 筛选完成；日志完整</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M3</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FedProx 正式实验</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四种主 partition × 160 rounds，结果汇总与报告</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M4</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SCAFFOLD</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控制变量状态与 checkpoint 恢复通过</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M5</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MOON</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模型表示接口、历史模型和对比损失验证通过</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M6</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BN 基线重建</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Centralized-BN、Local-BN、FedAvg-BN 不再随机</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M7</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FedBN 场景实验</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五客户端固定域、同域/跨域评价完成</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M8</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通信压缩</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至少完成全精度、8-bit 和一种稀疏化</w:t>
            </w:r>
          </w:p>
        </w:tc>
      </w:tr>
      <w:tr>
        <w:trPr>
          <w:cantSplit/>
        </w:trPr>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M9</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Stage 1C 总报告</w:t>
            </w:r>
          </w:p>
        </w:tc>
        <w:tc>
          <w:tcPr>
            <w:tcW w:type="dxa" w:w="56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算法、场景与通信三条研究轴独立总结</w:t>
            </w:r>
          </w:p>
        </w:tc>
      </w:tr>
    </w:tbl>
    <w:p>
      <w:pPr>
        <w:spacing w:after="0"/>
      </w:pPr>
    </w:p>
    <w:p>
      <w:pPr>
        <w:pStyle w:val="Heading2"/>
        <w:keepNext/>
      </w:pPr>
      <w:r>
        <w:rPr>
          <w:rFonts w:ascii="Noto Sans CJK SC" w:hAnsi="Noto Sans CJK SC" w:eastAsia="Noto Sans CJK SC"/>
        </w:rPr>
        <w:t>10.1 当前立即开始的工作</w:t>
      </w:r>
    </w:p>
    <w:tbl>
      <w:tblPr>
        <w:tblW w:type="auto" w:w="0"/>
        <w:jc w:val="center"/>
        <w:tblLook w:firstColumn="1" w:firstRow="1" w:lastColumn="0" w:lastRow="0" w:noHBand="0" w:noVBand="1" w:val="04A0"/>
      </w:tblPr>
      <w:tblGrid>
        <w:gridCol w:w="9638"/>
      </w:tblGrid>
      <w:tr>
        <w:tc>
          <w:tcPr>
            <w:tcW w:type="dxa" w:w="9638"/>
            <w:shd w:fill="E2F0D9"/>
            <w:tcBorders>
              <w:top w:sz="4" w:val="single" w:color="548235"/>
              <w:left w:sz="14" w:val="single" w:color="548235"/>
              <w:bottom w:sz="4" w:val="single" w:color="548235"/>
              <w:right w:sz="4" w:val="single" w:color="548235"/>
            </w:tcBorders>
            <w:tcMar>
              <w:top w:w="110" w:type="dxa"/>
              <w:start w:w="130" w:type="dxa"/>
              <w:bottom w:w="110" w:type="dxa"/>
              <w:end w:w="130" w:type="dxa"/>
            </w:tcMar>
          </w:tcPr>
          <w:p>
            <w:pPr>
              <w:spacing w:after="80"/>
            </w:pPr>
            <w:r>
              <w:rPr>
                <w:rFonts w:ascii="Noto Sans CJK SC" w:hAnsi="Noto Sans CJK SC" w:eastAsia="Noto Sans CJK SC"/>
                <w:b/>
                <w:color w:val="548235"/>
                <w:sz w:val="20"/>
              </w:rPr>
              <w:t>下一步唯一主任务</w:t>
            </w:r>
          </w:p>
          <w:p>
            <w:pPr>
              <w:spacing w:after="0" w:line="276" w:lineRule="auto"/>
            </w:pPr>
            <w:r>
              <w:rPr>
                <w:rFonts w:ascii="Noto Sans CJK SC" w:hAnsi="Noto Sans CJK SC" w:eastAsia="Noto Sans CJK SC"/>
                <w:color w:val="253246"/>
                <w:sz w:val="19"/>
              </w:rPr>
              <w:t>基于 src/gtsrb_1b/train_fedavg_stage1b.py 复制并重构出 FedProx 版本，先完成 μ=0 的退化验证。暂时不要同时开始 SCAFFOLD、MOON、FedBN 或通信压缩。</w:t>
            </w:r>
          </w:p>
        </w:tc>
      </w:tr>
    </w:tbl>
    <w:p>
      <w:pPr>
        <w:spacing w:after="0"/>
      </w:pPr>
    </w:p>
    <w:p>
      <w:pPr>
        <w:spacing w:after="100" w:line="293" w:lineRule="auto"/>
      </w:pPr>
      <w:r>
        <w:rPr>
          <w:rFonts w:ascii="Noto Sans CJK SC" w:hAnsi="Noto Sans CJK SC" w:eastAsia="Noto Sans CJK SC"/>
          <w:i w:val="0"/>
        </w:rPr>
        <w:t>建议开始编码前先归档当前 Stage 1A / 1B 代码和输出，避免后续公共模块重构时误改已验证的 baseline。</w:t>
      </w:r>
    </w:p>
    <w:p>
      <w:pPr>
        <w:pStyle w:val="Heading2"/>
        <w:keepNext/>
      </w:pPr>
      <w:r>
        <w:rPr>
          <w:rFonts w:ascii="Noto Sans CJK SC" w:hAnsi="Noto Sans CJK SC" w:eastAsia="Noto Sans CJK SC"/>
        </w:rPr>
        <w:t>10.2 每个子阶段的标准工作循环</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标准研发闭环</w:t>
            </w:r>
          </w:p>
          <w:p>
            <w:pPr>
              <w:spacing w:after="0" w:before="0" w:line="240" w:lineRule="auto"/>
            </w:pPr>
            <w:r>
              <w:rPr>
                <w:rFonts w:ascii="Noto Sans Mono CJK SC" w:hAnsi="Noto Sans Mono CJK SC" w:eastAsia="Noto Sans Mono CJK SC"/>
                <w:color w:val="1F2937"/>
                <w:sz w:val="16"/>
              </w:rPr>
              <w:t>阅读对应算法状态需求</w:t>
            </w:r>
          </w:p>
          <w:p>
            <w:pPr>
              <w:spacing w:after="0" w:before="0" w:line="240" w:lineRule="auto"/>
            </w:pPr>
            <w:r>
              <w:rPr>
                <w:rFonts w:ascii="Noto Sans Mono CJK SC" w:hAnsi="Noto Sans Mono CJK SC" w:eastAsia="Noto Sans Mono CJK SC"/>
                <w:color w:val="1F2937"/>
                <w:sz w:val="16"/>
              </w:rPr>
              <w:t>→ 设计最小改动版本</w:t>
            </w:r>
          </w:p>
          <w:p>
            <w:pPr>
              <w:spacing w:after="0" w:before="0" w:line="240" w:lineRule="auto"/>
            </w:pPr>
            <w:r>
              <w:rPr>
                <w:rFonts w:ascii="Noto Sans Mono CJK SC" w:hAnsi="Noto Sans Mono CJK SC" w:eastAsia="Noto Sans Mono CJK SC"/>
                <w:color w:val="1F2937"/>
                <w:sz w:val="16"/>
              </w:rPr>
              <w:t>→ 退化/等价性测试</w:t>
            </w:r>
          </w:p>
          <w:p>
            <w:pPr>
              <w:spacing w:after="0" w:before="0" w:line="240" w:lineRule="auto"/>
            </w:pPr>
            <w:r>
              <w:rPr>
                <w:rFonts w:ascii="Noto Sans Mono CJK SC" w:hAnsi="Noto Sans Mono CJK SC" w:eastAsia="Noto Sans Mono CJK SC"/>
                <w:color w:val="1F2937"/>
                <w:sz w:val="16"/>
              </w:rPr>
              <w:t>→ 3～5 轮冒烟测试</w:t>
            </w:r>
          </w:p>
          <w:p>
            <w:pPr>
              <w:spacing w:after="0" w:before="0" w:line="240" w:lineRule="auto"/>
            </w:pPr>
            <w:r>
              <w:rPr>
                <w:rFonts w:ascii="Noto Sans Mono CJK SC" w:hAnsi="Noto Sans Mono CJK SC" w:eastAsia="Noto Sans Mono CJK SC"/>
                <w:color w:val="1F2937"/>
                <w:sz w:val="16"/>
              </w:rPr>
              <w:t>→ 30～50 轮参数预实验</w:t>
            </w:r>
          </w:p>
          <w:p>
            <w:pPr>
              <w:spacing w:after="0" w:before="0" w:line="240" w:lineRule="auto"/>
            </w:pPr>
            <w:r>
              <w:rPr>
                <w:rFonts w:ascii="Noto Sans Mono CJK SC" w:hAnsi="Noto Sans Mono CJK SC" w:eastAsia="Noto Sans Mono CJK SC"/>
                <w:color w:val="1F2937"/>
                <w:sz w:val="16"/>
              </w:rPr>
              <w:t>→ 固定参数和 partition</w:t>
            </w:r>
          </w:p>
          <w:p>
            <w:pPr>
              <w:spacing w:after="0" w:before="0" w:line="240" w:lineRule="auto"/>
            </w:pPr>
            <w:r>
              <w:rPr>
                <w:rFonts w:ascii="Noto Sans Mono CJK SC" w:hAnsi="Noto Sans Mono CJK SC" w:eastAsia="Noto Sans Mono CJK SC"/>
                <w:color w:val="1F2937"/>
                <w:sz w:val="16"/>
              </w:rPr>
              <w:t>→ 160 轮正式实验</w:t>
            </w:r>
          </w:p>
          <w:p>
            <w:pPr>
              <w:spacing w:after="0" w:before="0" w:line="240" w:lineRule="auto"/>
            </w:pPr>
            <w:r>
              <w:rPr>
                <w:rFonts w:ascii="Noto Sans Mono CJK SC" w:hAnsi="Noto Sans Mono CJK SC" w:eastAsia="Noto Sans Mono CJK SC"/>
                <w:color w:val="1F2937"/>
                <w:sz w:val="16"/>
              </w:rPr>
              <w:t>→ 官方测试与类别/客户端分析</w:t>
            </w:r>
          </w:p>
          <w:p>
            <w:pPr>
              <w:spacing w:after="0" w:before="0" w:line="240" w:lineRule="auto"/>
            </w:pPr>
            <w:r>
              <w:rPr>
                <w:rFonts w:ascii="Noto Sans Mono CJK SC" w:hAnsi="Noto Sans Mono CJK SC" w:eastAsia="Noto Sans Mono CJK SC"/>
                <w:color w:val="1F2937"/>
                <w:sz w:val="16"/>
              </w:rPr>
              <w:t>→ checkpoint 恢复测试</w:t>
            </w:r>
          </w:p>
          <w:p>
            <w:pPr>
              <w:spacing w:after="0" w:before="0" w:line="240" w:lineRule="auto"/>
            </w:pPr>
            <w:r>
              <w:rPr>
                <w:rFonts w:ascii="Noto Sans Mono CJK SC" w:hAnsi="Noto Sans Mono CJK SC" w:eastAsia="Noto Sans Mono CJK SC"/>
                <w:color w:val="1F2937"/>
                <w:sz w:val="16"/>
              </w:rPr>
              <w:t>→ 生成技术报告和 AI 交接说明</w:t>
            </w:r>
          </w:p>
        </w:tc>
      </w:tr>
    </w:tbl>
    <w:p>
      <w:pPr>
        <w:spacing w:after="0"/>
      </w:pPr>
    </w:p>
    <w:p>
      <w:pPr>
        <w:pStyle w:val="Heading1"/>
        <w:keepNext/>
      </w:pPr>
      <w:r>
        <w:rPr>
          <w:rFonts w:ascii="Noto Sans CJK SC" w:hAnsi="Noto Sans CJK SC" w:eastAsia="Noto Sans CJK SC"/>
        </w:rPr>
        <w:t>11. 风险、常见错误与禁止事项</w:t>
      </w:r>
    </w:p>
    <w:p>
      <w:pPr>
        <w:pStyle w:val="Heading2"/>
        <w:keepNext/>
      </w:pPr>
      <w:r>
        <w:rPr>
          <w:rFonts w:ascii="Noto Sans CJK SC" w:hAnsi="Noto Sans CJK SC" w:eastAsia="Noto Sans CJK SC"/>
        </w:rPr>
        <w:t>11.1 高风险技术点</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风险</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表现</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7"/>
              </w:rPr>
              <w:t>控制措施</w:t>
            </w:r>
          </w:p>
        </w:tc>
      </w:tr>
      <w:tr>
        <w:trPr>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TFF 状态结构变化</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不同算法返回的 state 可能不是普通 ModelWeights</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实现状态序列化审计，禁止盲目 from_tff_result</w:t>
            </w:r>
          </w:p>
        </w:tc>
      </w:tr>
      <w:tr>
        <w:trPr>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BN non-trainable variables</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moving statistics 未更新/未导出会导致推理失效</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逐轮打印/保存并做 training=False 测试</w:t>
            </w:r>
          </w:p>
        </w:tc>
      </w:tr>
      <w:tr>
        <w:trPr>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历史客户端状态</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SCAFFOLD/MOON/FedBN/误差反馈都需要每客户端状态</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按 client_id 稳定映射并纳入 checkpoint</w:t>
            </w:r>
          </w:p>
        </w:tc>
      </w:tr>
      <w:tr>
        <w:trPr>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超参数泄漏</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用官方测试集挑 μ、τ 或压缩率</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只用验证集选参，测试集最终一次报告</w:t>
            </w:r>
          </w:p>
        </w:tc>
      </w:tr>
      <w:tr>
        <w:trPr>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算法比较不公平</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改变 local epochs、模型或 partition</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主实验只改变目标算法机制</w:t>
            </w:r>
          </w:p>
        </w:tc>
      </w:tr>
      <w:tr>
        <w:trPr>
          <w:cantSplit/>
        </w:trPr>
        <w:tc>
          <w:tcPr>
            <w:tcW w:type="dxa" w:w="187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结果过度解释</w:t>
            </w:r>
          </w:p>
        </w:tc>
        <w:tc>
          <w:tcPr>
            <w:tcW w:type="dxa" w:w="34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单 seed 微小提升写成显著优越</w:t>
            </w:r>
          </w:p>
        </w:tc>
        <w:tc>
          <w:tcPr>
            <w:tcW w:type="dxa" w:w="379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补多 seed 或使用谨慎表述</w:t>
            </w:r>
          </w:p>
        </w:tc>
      </w:tr>
    </w:tbl>
    <w:p>
      <w:pPr>
        <w:spacing w:after="0"/>
      </w:pPr>
    </w:p>
    <w:p>
      <w:pPr>
        <w:pStyle w:val="Heading2"/>
        <w:keepNext/>
      </w:pPr>
      <w:r>
        <w:rPr>
          <w:rFonts w:ascii="Noto Sans CJK SC" w:hAnsi="Noto Sans CJK SC" w:eastAsia="Noto Sans CJK SC"/>
        </w:rPr>
        <w:t>11.2 禁止事项</w:t>
      </w:r>
    </w:p>
    <w:p>
      <w:pPr>
        <w:pStyle w:val="ListBullet"/>
        <w:spacing w:after="60" w:line="276" w:lineRule="auto"/>
        <w:ind w:left="340" w:hanging="170"/>
      </w:pPr>
      <w:r>
        <w:rPr>
          <w:rFonts w:ascii="Noto Sans CJK SC" w:hAnsi="Noto Sans CJK SC" w:eastAsia="Noto Sans CJK SC"/>
        </w:rPr>
        <w:t>不要重新生成现有 IID 或 Dirichlet 客户端划分。</w:t>
      </w:r>
    </w:p>
    <w:p>
      <w:pPr>
        <w:pStyle w:val="ListBullet"/>
        <w:spacing w:after="60" w:line="276" w:lineRule="auto"/>
        <w:ind w:left="340" w:hanging="170"/>
      </w:pPr>
      <w:r>
        <w:rPr>
          <w:rFonts w:ascii="Noto Sans CJK SC" w:hAnsi="Noto Sans CJK SC" w:eastAsia="Noto Sans CJK SC"/>
        </w:rPr>
        <w:t>不要修改 Stage 1B FedAvg baseline 超参数后仍称为公平对照。</w:t>
      </w:r>
    </w:p>
    <w:p>
      <w:pPr>
        <w:pStyle w:val="ListBullet"/>
        <w:spacing w:after="60" w:line="276" w:lineRule="auto"/>
        <w:ind w:left="340" w:hanging="170"/>
      </w:pPr>
      <w:r>
        <w:rPr>
          <w:rFonts w:ascii="Noto Sans CJK SC" w:hAnsi="Noto Sans CJK SC" w:eastAsia="Noto Sans CJK SC"/>
        </w:rPr>
        <w:t>不要在 Stage 1C-A 的无 BN 主线中临时加入 BN。</w:t>
      </w:r>
    </w:p>
    <w:p>
      <w:pPr>
        <w:pStyle w:val="ListBullet"/>
        <w:spacing w:after="60" w:line="276" w:lineRule="auto"/>
        <w:ind w:left="340" w:hanging="170"/>
      </w:pPr>
      <w:r>
        <w:rPr>
          <w:rFonts w:ascii="Noto Sans CJK SC" w:hAnsi="Noto Sans CJK SC" w:eastAsia="Noto Sans CJK SC"/>
        </w:rPr>
        <w:t>不要直接复用旧的随机级 FedAvg-BN 结果作为 FedBN 的正式对照。</w:t>
      </w:r>
    </w:p>
    <w:p>
      <w:pPr>
        <w:pStyle w:val="ListBullet"/>
        <w:spacing w:after="60" w:line="276" w:lineRule="auto"/>
        <w:ind w:left="340" w:hanging="170"/>
      </w:pPr>
      <w:r>
        <w:rPr>
          <w:rFonts w:ascii="Noto Sans CJK SC" w:hAnsi="Noto Sans CJK SC" w:eastAsia="Noto Sans CJK SC"/>
        </w:rPr>
        <w:t>不要只恢复全局权重来继续 SCAFFOLD、MOON、FedBN 或误差反馈实验。</w:t>
      </w:r>
    </w:p>
    <w:p>
      <w:pPr>
        <w:pStyle w:val="ListBullet"/>
        <w:spacing w:after="60" w:line="276" w:lineRule="auto"/>
        <w:ind w:left="340" w:hanging="170"/>
      </w:pPr>
      <w:r>
        <w:rPr>
          <w:rFonts w:ascii="Noto Sans CJK SC" w:hAnsi="Noto Sans CJK SC" w:eastAsia="Noto Sans CJK SC"/>
        </w:rPr>
        <w:t>不要把不同研究轴同时叠加后只用一个最终准确率归因。</w:t>
      </w:r>
    </w:p>
    <w:p>
      <w:pPr>
        <w:pStyle w:val="ListBullet"/>
        <w:spacing w:after="60" w:line="276" w:lineRule="auto"/>
        <w:ind w:left="340" w:hanging="170"/>
      </w:pPr>
      <w:r>
        <w:rPr>
          <w:rFonts w:ascii="Noto Sans CJK SC" w:hAnsi="Noto Sans CJK SC" w:eastAsia="Noto Sans CJK SC"/>
        </w:rPr>
        <w:t>不要仅凭 validation 接近 100% 判断模型已经在官方测试上很好。</w:t>
      </w:r>
    </w:p>
    <w:p>
      <w:pPr>
        <w:pStyle w:val="ListBullet"/>
        <w:spacing w:after="60" w:line="276" w:lineRule="auto"/>
        <w:ind w:left="340" w:hanging="170"/>
      </w:pPr>
      <w:r>
        <w:rPr>
          <w:rFonts w:ascii="Noto Sans CJK SC" w:hAnsi="Noto Sans CJK SC" w:eastAsia="Noto Sans CJK SC"/>
        </w:rPr>
        <w:t>不要在没有实际通信载荷统计时宣称某压缩方法节省了确定比例的网络带宽。</w:t>
      </w:r>
    </w:p>
    <w:p>
      <w:pPr>
        <w:pStyle w:val="Heading2"/>
        <w:keepNext/>
      </w:pPr>
      <w:r>
        <w:rPr>
          <w:rFonts w:ascii="Noto Sans CJK SC" w:hAnsi="Noto Sans CJK SC" w:eastAsia="Noto Sans CJK SC"/>
        </w:rPr>
        <w:t>11.3 历史失败案例应保留</w:t>
      </w:r>
    </w:p>
    <w:p>
      <w:pPr>
        <w:spacing w:after="100" w:line="293" w:lineRule="auto"/>
      </w:pPr>
      <w:r>
        <w:rPr>
          <w:rFonts w:ascii="Noto Sans CJK SC" w:hAnsi="Noto Sans CJK SC" w:eastAsia="Noto Sans CJK SC"/>
          <w:i w:val="0"/>
        </w:rPr>
        <w:t>旧的带 BN FedAvg 结果不应删除。建议归档为“BN 状态管理失败案例”，保存原配置、日志、客户端训练结果、全局测试结果和诊断结论。它可以用于说明为什么 Stage 1C-B 必须先建立正确的 BN 状态审计。</w:t>
      </w:r>
    </w:p>
    <w:p>
      <w:pPr>
        <w:pStyle w:val="Heading1"/>
        <w:keepNext/>
      </w:pPr>
      <w:r>
        <w:rPr>
          <w:rFonts w:ascii="Noto Sans CJK SC" w:hAnsi="Noto Sans CJK SC" w:eastAsia="Noto Sans CJK SC"/>
        </w:rPr>
        <w:t>12. Decision Log 与 AI 交接清单</w:t>
      </w:r>
    </w:p>
    <w:p>
      <w:pPr>
        <w:pStyle w:val="Heading2"/>
        <w:keepNext/>
      </w:pPr>
      <w:r>
        <w:rPr>
          <w:rFonts w:ascii="Noto Sans CJK SC" w:hAnsi="Noto Sans CJK SC" w:eastAsia="Noto Sans CJK SC"/>
        </w:rPr>
        <w:t>12.1 Decision Log</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编号</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决策</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7"/>
              </w:rPr>
              <w:t>原因</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D1</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Stage 1C 继续使用 GTSRB</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避免数据集变化干扰算法比较。</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D2</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Stage 1C 分为 A/B/C</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标签算法、特征异构和通信压缩研究问题不同。</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D3</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1C-A 优先 FedProx</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与 FedAvg 最接近，工程风险最低。</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D4</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FedBN 不属于模型异构</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架构相同，只保留本地 BN。</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D5</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FedBN 单独建立带 BN 分支</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当前主基线无 BN，旧 BN 结果存在状态问题。</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D6</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FedBN 第一版只做 Feature Skew</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先隔离特征异构效应，再做标签+特征叠加。</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D7</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SCAFFOLD/MOON 必须保存完整状态</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仅保存全局模型不足以恢复训练。</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D8</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通信压缩最后开展</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先获得稳定算法基线，再研究通信权衡。</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D9</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主实验冻结 local_epochs=1</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与 Stage 1B FedAvg 严格对齐；压力实验另列。</w:t>
            </w:r>
          </w:p>
        </w:tc>
      </w:tr>
      <w:tr>
        <w:trPr>
          <w:cantSplit/>
        </w:trPr>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D10</w:t>
            </w:r>
          </w:p>
        </w:tc>
        <w:tc>
          <w:tcPr>
            <w:tcW w:type="dxa" w:w="351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Official Test 只用于最终评价</w:t>
            </w:r>
          </w:p>
        </w:tc>
        <w:tc>
          <w:tcPr>
            <w:tcW w:type="dxa" w:w="4535"/>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避免超参数选择造成测试集泄漏。</w:t>
            </w:r>
          </w:p>
        </w:tc>
      </w:tr>
    </w:tbl>
    <w:p>
      <w:pPr>
        <w:spacing w:after="0"/>
      </w:pPr>
    </w:p>
    <w:p>
      <w:pPr>
        <w:pStyle w:val="Heading2"/>
        <w:keepNext/>
      </w:pPr>
      <w:r>
        <w:rPr>
          <w:rFonts w:ascii="Noto Sans CJK SC" w:hAnsi="Noto Sans CJK SC" w:eastAsia="Noto Sans CJK SC"/>
        </w:rPr>
        <w:t>12.2 AI / 新成员接手时必须先确认</w:t>
      </w:r>
    </w:p>
    <w:p>
      <w:pPr>
        <w:pStyle w:val="ListBullet"/>
        <w:spacing w:after="60" w:line="276" w:lineRule="auto"/>
        <w:ind w:left="340" w:hanging="170"/>
      </w:pPr>
      <w:r>
        <w:rPr>
          <w:rFonts w:ascii="Noto Sans CJK SC" w:hAnsi="Noto Sans CJK SC" w:eastAsia="Noto Sans CJK SC"/>
        </w:rPr>
        <w:t>□ 当前代码仓库中 Stage 1A 和 Stage 1B 的脚本、配置和输出是否完整归档。</w:t>
      </w:r>
    </w:p>
    <w:p>
      <w:pPr>
        <w:pStyle w:val="ListBullet"/>
        <w:spacing w:after="60" w:line="276" w:lineRule="auto"/>
        <w:ind w:left="340" w:hanging="170"/>
      </w:pPr>
      <w:r>
        <w:rPr>
          <w:rFonts w:ascii="Noto Sans CJK SC" w:hAnsi="Noto Sans CJK SC" w:eastAsia="Noto Sans CJK SC"/>
        </w:rPr>
        <w:t>□ TFF、TensorFlow、Python 版本是否仍为原环境，是否存在 API 行为变化。</w:t>
      </w:r>
    </w:p>
    <w:p>
      <w:pPr>
        <w:pStyle w:val="ListBullet"/>
        <w:spacing w:after="60" w:line="276" w:lineRule="auto"/>
        <w:ind w:left="340" w:hanging="170"/>
      </w:pPr>
      <w:r>
        <w:rPr>
          <w:rFonts w:ascii="Noto Sans CJK SC" w:hAnsi="Noto Sans CJK SC" w:eastAsia="Noto Sans CJK SC"/>
        </w:rPr>
        <w:t>□ 现有 partition 目录与客户端 CSV 是否未被修改。</w:t>
      </w:r>
    </w:p>
    <w:p>
      <w:pPr>
        <w:pStyle w:val="ListBullet"/>
        <w:spacing w:after="60" w:line="276" w:lineRule="auto"/>
        <w:ind w:left="340" w:hanging="170"/>
      </w:pPr>
      <w:r>
        <w:rPr>
          <w:rFonts w:ascii="Noto Sans CJK SC" w:hAnsi="Noto Sans CJK SC" w:eastAsia="Noto Sans CJK SC"/>
        </w:rPr>
        <w:t>□ Stage 1B FedAvg 结果能否从已有 checkpoint 和日志复核。</w:t>
      </w:r>
    </w:p>
    <w:p>
      <w:pPr>
        <w:pStyle w:val="ListBullet"/>
        <w:spacing w:after="60" w:line="276" w:lineRule="auto"/>
        <w:ind w:left="340" w:hanging="170"/>
      </w:pPr>
      <w:r>
        <w:rPr>
          <w:rFonts w:ascii="Noto Sans CJK SC" w:hAnsi="Noto Sans CJK SC" w:eastAsia="Noto Sans CJK SC"/>
        </w:rPr>
        <w:t>□ 当前要做的子阶段是哪一个，禁止擅自同时扩展多个算法。</w:t>
      </w:r>
    </w:p>
    <w:p>
      <w:pPr>
        <w:pStyle w:val="ListBullet"/>
        <w:spacing w:after="60" w:line="276" w:lineRule="auto"/>
        <w:ind w:left="340" w:hanging="170"/>
      </w:pPr>
      <w:r>
        <w:rPr>
          <w:rFonts w:ascii="Noto Sans CJK SC" w:hAnsi="Noto Sans CJK SC" w:eastAsia="Noto Sans CJK SC"/>
        </w:rPr>
        <w:t>□ 算法需要保存哪些跨轮状态，恢复训练是否真的连续。</w:t>
      </w:r>
    </w:p>
    <w:p>
      <w:pPr>
        <w:pStyle w:val="ListBullet"/>
        <w:spacing w:after="60" w:line="276" w:lineRule="auto"/>
        <w:ind w:left="340" w:hanging="170"/>
      </w:pPr>
      <w:r>
        <w:rPr>
          <w:rFonts w:ascii="Noto Sans CJK SC" w:hAnsi="Noto Sans CJK SC" w:eastAsia="Noto Sans CJK SC"/>
        </w:rPr>
        <w:t>□ 所有“已完成”内容是否有实际文件和结果支持，规划内容不得写成完成。</w:t>
      </w:r>
    </w:p>
    <w:p>
      <w:pPr>
        <w:pStyle w:val="Heading2"/>
        <w:keepNext/>
      </w:pPr>
      <w:r>
        <w:rPr>
          <w:rFonts w:ascii="Noto Sans CJK SC" w:hAnsi="Noto Sans CJK SC" w:eastAsia="Noto Sans CJK SC"/>
        </w:rPr>
        <w:t>12.3 给后续 AI 的最小上下文</w:t>
      </w: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AI 快速交接摘要</w:t>
            </w:r>
          </w:p>
          <w:p>
            <w:pPr>
              <w:spacing w:after="0" w:before="0" w:line="240" w:lineRule="auto"/>
            </w:pPr>
            <w:r>
              <w:rPr>
                <w:rFonts w:ascii="Noto Sans Mono CJK SC" w:hAnsi="Noto Sans Mono CJK SC" w:eastAsia="Noto Sans Mono CJK SC"/>
                <w:color w:val="1F2937"/>
                <w:sz w:val="16"/>
              </w:rPr>
              <w:t>项目：GTSRB + TensorFlow Federated，5 客户端，43 类分类</w:t>
            </w:r>
          </w:p>
          <w:p>
            <w:pPr>
              <w:spacing w:after="0" w:before="0" w:line="240" w:lineRule="auto"/>
            </w:pPr>
            <w:r>
              <w:rPr>
                <w:rFonts w:ascii="Noto Sans Mono CJK SC" w:hAnsi="Noto Sans Mono CJK SC" w:eastAsia="Noto Sans Mono CJK SC"/>
                <w:color w:val="1F2937"/>
                <w:sz w:val="16"/>
              </w:rPr>
              <w:t>已完成：Stage 1A IID 基线；Stage 1B Dirichlet α=10/1/0.5/0.1 FedAvg</w:t>
            </w:r>
          </w:p>
          <w:p>
            <w:pPr>
              <w:spacing w:after="0" w:before="0" w:line="240" w:lineRule="auto"/>
            </w:pPr>
            <w:r>
              <w:rPr>
                <w:rFonts w:ascii="Noto Sans Mono CJK SC" w:hAnsi="Noto Sans Mono CJK SC" w:eastAsia="Noto Sans Mono CJK SC"/>
                <w:color w:val="1F2937"/>
                <w:sz w:val="16"/>
              </w:rPr>
              <w:t>主问题：FedAvg 在 α=0.1 下 Test Acc 71.4885%，出现多个零准确率类别</w:t>
            </w:r>
          </w:p>
          <w:p>
            <w:pPr>
              <w:spacing w:after="0" w:before="0" w:line="240" w:lineRule="auto"/>
            </w:pPr>
            <w:r>
              <w:rPr>
                <w:rFonts w:ascii="Noto Sans Mono CJK SC" w:hAnsi="Noto Sans Mono CJK SC" w:eastAsia="Noto Sans Mono CJK SC"/>
                <w:color w:val="1F2937"/>
                <w:sz w:val="16"/>
              </w:rPr>
              <w:t>当前主线：Stage 1C-A1 FedProx</w:t>
            </w:r>
          </w:p>
          <w:p>
            <w:pPr>
              <w:spacing w:after="0" w:before="0" w:line="240" w:lineRule="auto"/>
            </w:pPr>
            <w:r>
              <w:rPr>
                <w:rFonts w:ascii="Noto Sans Mono CJK SC" w:hAnsi="Noto Sans Mono CJK SC" w:eastAsia="Noto Sans Mono CJK SC"/>
                <w:color w:val="1F2937"/>
                <w:sz w:val="16"/>
              </w:rPr>
              <w:t>第一验收：μ=0 能退化为 FedAvg</w:t>
            </w:r>
          </w:p>
          <w:p>
            <w:pPr>
              <w:spacing w:after="0" w:before="0" w:line="240" w:lineRule="auto"/>
            </w:pPr>
            <w:r>
              <w:rPr>
                <w:rFonts w:ascii="Noto Sans Mono CJK SC" w:hAnsi="Noto Sans Mono CJK SC" w:eastAsia="Noto Sans Mono CJK SC"/>
                <w:color w:val="1F2937"/>
                <w:sz w:val="16"/>
              </w:rPr>
              <w:t>之后顺序：FedProx → SCAFFOLD → MOON → 正确 FedAvg-BN/FedBN → 通信压缩</w:t>
            </w:r>
          </w:p>
          <w:p>
            <w:pPr>
              <w:spacing w:after="0" w:before="0" w:line="240" w:lineRule="auto"/>
            </w:pPr>
            <w:r>
              <w:rPr>
                <w:rFonts w:ascii="Noto Sans Mono CJK SC" w:hAnsi="Noto Sans Mono CJK SC" w:eastAsia="Noto Sans Mono CJK SC"/>
                <w:color w:val="1F2937"/>
                <w:sz w:val="16"/>
              </w:rPr>
              <w:t>关键禁令：不改 partition；不改主模型/预算；不把旧 BN 失败当正式算法基线</w:t>
            </w:r>
          </w:p>
        </w:tc>
      </w:tr>
    </w:tbl>
    <w:p>
      <w:pPr>
        <w:spacing w:after="0"/>
      </w:pPr>
    </w:p>
    <w:p>
      <w:pPr>
        <w:pStyle w:val="Heading2"/>
        <w:keepNext/>
      </w:pPr>
      <w:r>
        <w:rPr>
          <w:rFonts w:ascii="Noto Sans CJK SC" w:hAnsi="Noto Sans CJK SC" w:eastAsia="Noto Sans CJK SC"/>
        </w:rPr>
        <w:t>12.4 一句话总结</w:t>
      </w:r>
    </w:p>
    <w:tbl>
      <w:tblPr>
        <w:tblW w:type="auto" w:w="0"/>
        <w:jc w:val="center"/>
        <w:tblLook w:firstColumn="1" w:firstRow="1" w:lastColumn="0" w:lastRow="0" w:noHBand="0" w:noVBand="1" w:val="04A0"/>
      </w:tblPr>
      <w:tblGrid>
        <w:gridCol w:w="9638"/>
      </w:tblGrid>
      <w:tr>
        <w:tc>
          <w:tcPr>
            <w:tcW w:type="dxa" w:w="9638"/>
            <w:shd w:fill="E2F0D9"/>
            <w:tcBorders>
              <w:top w:sz="4" w:val="single" w:color="548235"/>
              <w:left w:sz="14" w:val="single" w:color="548235"/>
              <w:bottom w:sz="4" w:val="single" w:color="548235"/>
              <w:right w:sz="4" w:val="single" w:color="548235"/>
            </w:tcBorders>
            <w:tcMar>
              <w:top w:w="110" w:type="dxa"/>
              <w:start w:w="130" w:type="dxa"/>
              <w:bottom w:w="110" w:type="dxa"/>
              <w:end w:w="130" w:type="dxa"/>
            </w:tcMar>
          </w:tcPr>
          <w:p>
            <w:pPr>
              <w:spacing w:after="80"/>
            </w:pPr>
            <w:r>
              <w:rPr>
                <w:rFonts w:ascii="Noto Sans CJK SC" w:hAnsi="Noto Sans CJK SC" w:eastAsia="Noto Sans CJK SC"/>
                <w:b/>
                <w:color w:val="548235"/>
                <w:sz w:val="20"/>
              </w:rPr>
              <w:t>Stage 1C 总结</w:t>
            </w:r>
          </w:p>
          <w:p>
            <w:pPr>
              <w:spacing w:after="0" w:line="276" w:lineRule="auto"/>
            </w:pPr>
            <w:r>
              <w:rPr>
                <w:rFonts w:ascii="Noto Sans CJK SC" w:hAnsi="Noto Sans CJK SC" w:eastAsia="Noto Sans CJK SC"/>
                <w:color w:val="253246"/>
                <w:sz w:val="19"/>
              </w:rPr>
              <w:t>Stage 1C 在现有 GTSRB 与固定客户端划分上，先通过 FedProx、SCAFFOLD、MOON研究强标签异构下的客户端漂移和类别失效；再重建正确的带 BN 联邦基线，并通过 FedBN 研究客户端场景/特征异构；最后在稳定算法上研究量化、稀疏化等通信压缩，从而形成“算法鲁棒性—场景适配—通信效率”三条相互独立且可组合的研究路线。</w:t>
            </w:r>
          </w:p>
        </w:tc>
      </w:tr>
    </w:tbl>
    <w:p>
      <w:pPr>
        <w:spacing w:after="0"/>
      </w:pPr>
    </w:p>
    <w:p>
      <w:r>
        <w:br w:type="page"/>
      </w:r>
    </w:p>
    <w:p>
      <w:pPr>
        <w:pStyle w:val="Heading1"/>
        <w:keepNext/>
      </w:pPr>
      <w:r>
        <w:rPr>
          <w:rFonts w:ascii="Noto Sans CJK SC" w:hAnsi="Noto Sans CJK SC" w:eastAsia="Noto Sans CJK SC"/>
        </w:rPr>
        <w:t>附录 A：计划命令模板（脚本实现后使用）</w:t>
      </w:r>
    </w:p>
    <w:tbl>
      <w:tblPr>
        <w:tblW w:type="auto" w:w="0"/>
        <w:jc w:val="center"/>
        <w:tblLook w:firstColumn="1" w:firstRow="1" w:lastColumn="0" w:lastRow="0" w:noHBand="0" w:noVBand="1" w:val="04A0"/>
      </w:tblPr>
      <w:tblGrid>
        <w:gridCol w:w="9638"/>
      </w:tblGrid>
      <w:tr>
        <w:tc>
          <w:tcPr>
            <w:tcW w:type="dxa" w:w="9638"/>
            <w:shd w:fill="FCE4D6"/>
            <w:tcBorders>
              <w:top w:sz="4" w:val="single" w:color="C65911"/>
              <w:left w:sz="14" w:val="single" w:color="C65911"/>
              <w:bottom w:sz="4" w:val="single" w:color="C65911"/>
              <w:right w:sz="4" w:val="single" w:color="C65911"/>
            </w:tcBorders>
            <w:tcMar>
              <w:top w:w="110" w:type="dxa"/>
              <w:start w:w="130" w:type="dxa"/>
              <w:bottom w:w="110" w:type="dxa"/>
              <w:end w:w="130" w:type="dxa"/>
            </w:tcMar>
          </w:tcPr>
          <w:p>
            <w:pPr>
              <w:spacing w:after="80"/>
            </w:pPr>
            <w:r>
              <w:rPr>
                <w:rFonts w:ascii="Noto Sans CJK SC" w:hAnsi="Noto Sans CJK SC" w:eastAsia="Noto Sans CJK SC"/>
                <w:b/>
                <w:color w:val="C65911"/>
                <w:sz w:val="20"/>
              </w:rPr>
              <w:t>注意</w:t>
            </w:r>
          </w:p>
          <w:p>
            <w:pPr>
              <w:spacing w:after="0" w:line="276" w:lineRule="auto"/>
            </w:pPr>
            <w:r>
              <w:rPr>
                <w:rFonts w:ascii="Noto Sans CJK SC" w:hAnsi="Noto Sans CJK SC" w:eastAsia="Noto Sans CJK SC"/>
                <w:color w:val="253246"/>
                <w:sz w:val="19"/>
              </w:rPr>
              <w:t>以下命令是规划模板，脚本和参数名称需以实际实现为准，不能直接视为当前仓库中已存在。</w:t>
            </w:r>
          </w:p>
        </w:tc>
      </w:tr>
    </w:tbl>
    <w:p>
      <w:pPr>
        <w:spacing w:after="0"/>
      </w:pP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FedProx 计划命令</w:t>
            </w:r>
          </w:p>
          <w:p>
            <w:pPr>
              <w:spacing w:after="0" w:before="0" w:line="240" w:lineRule="auto"/>
            </w:pPr>
            <w:r>
              <w:rPr>
                <w:rFonts w:ascii="Noto Sans Mono CJK SC" w:hAnsi="Noto Sans Mono CJK SC" w:eastAsia="Noto Sans Mono CJK SC"/>
                <w:color w:val="1F2937"/>
                <w:sz w:val="16"/>
              </w:rPr>
              <w:t># FedProx μ=0 冒烟测试</w:t>
            </w:r>
          </w:p>
          <w:p>
            <w:pPr>
              <w:spacing w:after="0" w:before="0" w:line="240" w:lineRule="auto"/>
            </w:pPr>
            <w:r>
              <w:rPr>
                <w:rFonts w:ascii="Noto Sans Mono CJK SC" w:hAnsi="Noto Sans Mono CJK SC" w:eastAsia="Noto Sans Mono CJK SC"/>
                <w:color w:val="1F2937"/>
                <w:sz w:val="16"/>
              </w:rPr>
              <w:t>python src/gtsrb_1c/fedprox/train_fedprox.py \</w:t>
            </w:r>
          </w:p>
          <w:p>
            <w:pPr>
              <w:spacing w:after="0" w:before="0" w:line="240" w:lineRule="auto"/>
            </w:pPr>
            <w:r>
              <w:rPr>
                <w:rFonts w:ascii="Noto Sans Mono CJK SC" w:hAnsi="Noto Sans Mono CJK SC" w:eastAsia="Noto Sans Mono CJK SC"/>
                <w:color w:val="1F2937"/>
                <w:sz w:val="16"/>
              </w:rPr>
              <w:t xml:space="preserve">  --partition-dir data/gtsrb/federated_dirichlet_alpha01_5clients_seed20260720 \</w:t>
            </w:r>
          </w:p>
          <w:p>
            <w:pPr>
              <w:spacing w:after="0" w:before="0" w:line="240" w:lineRule="auto"/>
            </w:pPr>
            <w:r>
              <w:rPr>
                <w:rFonts w:ascii="Noto Sans Mono CJK SC" w:hAnsi="Noto Sans Mono CJK SC" w:eastAsia="Noto Sans Mono CJK SC"/>
                <w:color w:val="1F2937"/>
                <w:sz w:val="16"/>
              </w:rPr>
              <w:t xml:space="preserve">  --mu 0 \</w:t>
            </w:r>
          </w:p>
          <w:p>
            <w:pPr>
              <w:spacing w:after="0" w:before="0" w:line="240" w:lineRule="auto"/>
            </w:pPr>
            <w:r>
              <w:rPr>
                <w:rFonts w:ascii="Noto Sans Mono CJK SC" w:hAnsi="Noto Sans Mono CJK SC" w:eastAsia="Noto Sans Mono CJK SC"/>
                <w:color w:val="1F2937"/>
                <w:sz w:val="16"/>
              </w:rPr>
              <w:t xml:space="preserve">  --rounds 3 \</w:t>
            </w:r>
          </w:p>
          <w:p>
            <w:pPr>
              <w:spacing w:after="0" w:before="0" w:line="240" w:lineRule="auto"/>
            </w:pPr>
            <w:r>
              <w:rPr>
                <w:rFonts w:ascii="Noto Sans Mono CJK SC" w:hAnsi="Noto Sans Mono CJK SC" w:eastAsia="Noto Sans Mono CJK SC"/>
                <w:color w:val="1F2937"/>
                <w:sz w:val="16"/>
              </w:rPr>
              <w:t xml:space="preserve">  --output-dir outputs/stage1c/fedprox/alpha01_mu0_smoke</w:t>
            </w:r>
          </w:p>
          <w:p>
            <w:pPr>
              <w:spacing w:after="0" w:before="0" w:line="240" w:lineRule="auto"/>
            </w:pPr>
            <w:r>
              <w:rPr>
                <w:rFonts w:ascii="Noto Sans Mono CJK SC" w:hAnsi="Noto Sans Mono CJK SC" w:eastAsia="Noto Sans Mono CJK SC"/>
                <w:color w:val="1F2937"/>
                <w:sz w:val="16"/>
              </w:rPr>
            </w:r>
          </w:p>
          <w:p>
            <w:pPr>
              <w:spacing w:after="0" w:before="0" w:line="240" w:lineRule="auto"/>
            </w:pPr>
            <w:r>
              <w:rPr>
                <w:rFonts w:ascii="Noto Sans Mono CJK SC" w:hAnsi="Noto Sans Mono CJK SC" w:eastAsia="Noto Sans Mono CJK SC"/>
                <w:color w:val="1F2937"/>
                <w:sz w:val="16"/>
              </w:rPr>
              <w:t># FedProx 正式训练示例</w:t>
            </w:r>
          </w:p>
          <w:p>
            <w:pPr>
              <w:spacing w:after="0" w:before="0" w:line="240" w:lineRule="auto"/>
            </w:pPr>
            <w:r>
              <w:rPr>
                <w:rFonts w:ascii="Noto Sans Mono CJK SC" w:hAnsi="Noto Sans Mono CJK SC" w:eastAsia="Noto Sans Mono CJK SC"/>
                <w:color w:val="1F2937"/>
                <w:sz w:val="16"/>
              </w:rPr>
              <w:t>python src/gtsrb_1c/fedprox/train_fedprox.py \</w:t>
            </w:r>
          </w:p>
          <w:p>
            <w:pPr>
              <w:spacing w:after="0" w:before="0" w:line="240" w:lineRule="auto"/>
            </w:pPr>
            <w:r>
              <w:rPr>
                <w:rFonts w:ascii="Noto Sans Mono CJK SC" w:hAnsi="Noto Sans Mono CJK SC" w:eastAsia="Noto Sans Mono CJK SC"/>
                <w:color w:val="1F2937"/>
                <w:sz w:val="16"/>
              </w:rPr>
              <w:t xml:space="preserve">  --partition-dir data/gtsrb/federated_dirichlet_alpha01_5clients_seed20260720 \</w:t>
            </w:r>
          </w:p>
          <w:p>
            <w:pPr>
              <w:spacing w:after="0" w:before="0" w:line="240" w:lineRule="auto"/>
            </w:pPr>
            <w:r>
              <w:rPr>
                <w:rFonts w:ascii="Noto Sans Mono CJK SC" w:hAnsi="Noto Sans Mono CJK SC" w:eastAsia="Noto Sans Mono CJK SC"/>
                <w:color w:val="1F2937"/>
                <w:sz w:val="16"/>
              </w:rPr>
              <w:t xml:space="preserve">  --mu 0.001 \</w:t>
            </w:r>
          </w:p>
          <w:p>
            <w:pPr>
              <w:spacing w:after="0" w:before="0" w:line="240" w:lineRule="auto"/>
            </w:pPr>
            <w:r>
              <w:rPr>
                <w:rFonts w:ascii="Noto Sans Mono CJK SC" w:hAnsi="Noto Sans Mono CJK SC" w:eastAsia="Noto Sans Mono CJK SC"/>
                <w:color w:val="1F2937"/>
                <w:sz w:val="16"/>
              </w:rPr>
              <w:t xml:space="preserve">  --rounds 160 \</w:t>
            </w:r>
          </w:p>
          <w:p>
            <w:pPr>
              <w:spacing w:after="0" w:before="0" w:line="240" w:lineRule="auto"/>
            </w:pPr>
            <w:r>
              <w:rPr>
                <w:rFonts w:ascii="Noto Sans Mono CJK SC" w:hAnsi="Noto Sans Mono CJK SC" w:eastAsia="Noto Sans Mono CJK SC"/>
                <w:color w:val="1F2937"/>
                <w:sz w:val="16"/>
              </w:rPr>
              <w:t xml:space="preserve">  --output-dir outputs/stage1c/fedprox/alpha01_mu001_trainseed20260720</w:t>
            </w:r>
          </w:p>
        </w:tc>
      </w:tr>
    </w:tbl>
    <w:p>
      <w:pPr>
        <w:spacing w:after="0"/>
      </w:pPr>
    </w:p>
    <w:tbl>
      <w:tblPr>
        <w:tblW w:type="auto" w:w="0"/>
        <w:jc w:val="center"/>
        <w:tblLook w:firstColumn="1" w:firstRow="1" w:lastColumn="0" w:lastRow="0" w:noHBand="0" w:noVBand="1" w:val="04A0"/>
      </w:tblPr>
      <w:tblGrid>
        <w:gridCol w:w="9638"/>
      </w:tblGrid>
      <w:tr>
        <w:tc>
          <w:tcPr>
            <w:tcW w:type="dxa" w:w="9638"/>
            <w:shd w:fill="F7F8FA"/>
            <w:tcBorders>
              <w:top w:sz="5" w:val="single" w:color="B9C2CF"/>
              <w:left w:sz="12" w:val="single" w:color="1F7A8C"/>
              <w:bottom w:sz="5" w:val="single" w:color="B9C2CF"/>
              <w:right w:sz="5" w:val="single" w:color="B9C2CF"/>
            </w:tcBorders>
            <w:tcMar>
              <w:top w:w="100" w:type="dxa"/>
              <w:start w:w="130" w:type="dxa"/>
              <w:bottom w:w="100" w:type="dxa"/>
              <w:end w:w="130" w:type="dxa"/>
            </w:tcMar>
          </w:tcPr>
          <w:p>
            <w:pPr>
              <w:spacing w:after="80"/>
            </w:pPr>
            <w:r>
              <w:rPr>
                <w:rFonts w:ascii="Noto Sans CJK SC" w:hAnsi="Noto Sans CJK SC" w:eastAsia="Noto Sans CJK SC"/>
                <w:b/>
                <w:color w:val="1F7A8C"/>
                <w:sz w:val="18"/>
              </w:rPr>
              <w:t>FedBN 计划命令</w:t>
            </w:r>
          </w:p>
          <w:p>
            <w:pPr>
              <w:spacing w:after="0" w:before="0" w:line="240" w:lineRule="auto"/>
            </w:pPr>
            <w:r>
              <w:rPr>
                <w:rFonts w:ascii="Noto Sans Mono CJK SC" w:hAnsi="Noto Sans Mono CJK SC" w:eastAsia="Noto Sans Mono CJK SC"/>
                <w:color w:val="1F2937"/>
                <w:sz w:val="16"/>
              </w:rPr>
              <w:t># FedBN 特征异构数据准备（规划）</w:t>
            </w:r>
          </w:p>
          <w:p>
            <w:pPr>
              <w:spacing w:after="0" w:before="0" w:line="240" w:lineRule="auto"/>
            </w:pPr>
            <w:r>
              <w:rPr>
                <w:rFonts w:ascii="Noto Sans Mono CJK SC" w:hAnsi="Noto Sans Mono CJK SC" w:eastAsia="Noto Sans Mono CJK SC"/>
                <w:color w:val="1F2937"/>
                <w:sz w:val="16"/>
              </w:rPr>
              <w:t>python src/gtsrb_1c/fedbn/prepare_feature_shift.py \</w:t>
            </w:r>
          </w:p>
          <w:p>
            <w:pPr>
              <w:spacing w:after="0" w:before="0" w:line="240" w:lineRule="auto"/>
            </w:pPr>
            <w:r>
              <w:rPr>
                <w:rFonts w:ascii="Noto Sans Mono CJK SC" w:hAnsi="Noto Sans Mono CJK SC" w:eastAsia="Noto Sans Mono CJK SC"/>
                <w:color w:val="1F2937"/>
                <w:sz w:val="16"/>
              </w:rPr>
              <w:t xml:space="preserve">  --source-split data/gtsrb/federated_iid_5clients_seed20260720 \</w:t>
            </w:r>
          </w:p>
          <w:p>
            <w:pPr>
              <w:spacing w:after="0" w:before="0" w:line="240" w:lineRule="auto"/>
            </w:pPr>
            <w:r>
              <w:rPr>
                <w:rFonts w:ascii="Noto Sans Mono CJK SC" w:hAnsi="Noto Sans Mono CJK SC" w:eastAsia="Noto Sans Mono CJK SC"/>
                <w:color w:val="1F2937"/>
                <w:sz w:val="16"/>
              </w:rPr>
              <w:t xml:space="preserve">  --profile feature_shift_v1 \</w:t>
            </w:r>
          </w:p>
          <w:p>
            <w:pPr>
              <w:spacing w:after="0" w:before="0" w:line="240" w:lineRule="auto"/>
            </w:pPr>
            <w:r>
              <w:rPr>
                <w:rFonts w:ascii="Noto Sans Mono CJK SC" w:hAnsi="Noto Sans Mono CJK SC" w:eastAsia="Noto Sans Mono CJK SC"/>
                <w:color w:val="1F2937"/>
                <w:sz w:val="16"/>
              </w:rPr>
              <w:t xml:space="preserve">  --seed 20260720</w:t>
            </w:r>
          </w:p>
          <w:p>
            <w:pPr>
              <w:spacing w:after="0" w:before="0" w:line="240" w:lineRule="auto"/>
            </w:pPr>
            <w:r>
              <w:rPr>
                <w:rFonts w:ascii="Noto Sans Mono CJK SC" w:hAnsi="Noto Sans Mono CJK SC" w:eastAsia="Noto Sans Mono CJK SC"/>
                <w:color w:val="1F2937"/>
                <w:sz w:val="16"/>
              </w:rPr>
            </w:r>
          </w:p>
          <w:p>
            <w:pPr>
              <w:spacing w:after="0" w:before="0" w:line="240" w:lineRule="auto"/>
            </w:pPr>
            <w:r>
              <w:rPr>
                <w:rFonts w:ascii="Noto Sans Mono CJK SC" w:hAnsi="Noto Sans Mono CJK SC" w:eastAsia="Noto Sans Mono CJK SC"/>
                <w:color w:val="1F2937"/>
                <w:sz w:val="16"/>
              </w:rPr>
              <w:t># FedAvg-BN / FedBN 正式命令参数需在 BN 状态审计完成后确定</w:t>
            </w:r>
          </w:p>
        </w:tc>
      </w:tr>
    </w:tbl>
    <w:p>
      <w:pPr>
        <w:spacing w:after="0"/>
      </w:pPr>
    </w:p>
    <w:p>
      <w:pPr>
        <w:pStyle w:val="Heading1"/>
        <w:keepNext/>
      </w:pPr>
      <w:r>
        <w:rPr>
          <w:rFonts w:ascii="Noto Sans CJK SC" w:hAnsi="Noto Sans CJK SC" w:eastAsia="Noto Sans CJK SC"/>
        </w:rPr>
        <w:t>附录 B：Stage 1C-A 结果汇总表模板</w:t>
      </w:r>
    </w:p>
    <w:tbl>
      <w:tblPr>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Algorithm</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Partition</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Best Round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Test Acc</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Macro Acc</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Worst Class</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Zero Classes</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7365D"/>
          </w:tcPr>
          <w:p>
            <w:pPr>
              <w:spacing w:after="0" w:before="0" w:line="240" w:lineRule="auto"/>
            </w:pPr>
            <w:r>
              <w:rPr>
                <w:rFonts w:ascii="Noto Sans CJK SC" w:hAnsi="Noto Sans CJK SC" w:eastAsia="Noto Sans CJK SC"/>
                <w:b/>
                <w:color w:val="FFFFFF"/>
                <w:sz w:val="15"/>
              </w:rPr>
              <w:t>Worst Client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FedAvg</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IID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FedAvg</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FedAvg</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α=0.5</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FedAvg</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α=0.1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FedProx</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IID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FedProx</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FedProx</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α=0.5</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FedProx</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α=0.1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SCAFFOLD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IID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SCAFFOLD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SCAFFOLD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α=0.5</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SCAFFOLD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α=0.1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MOON</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IID</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MOON</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MOON</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α=0.5</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5"/>
              </w:rPr>
              <w:t>—</w:t>
            </w:r>
          </w:p>
        </w:tc>
      </w:tr>
      <w:tr>
        <w:trPr>
          <w:cantSplit/>
        </w:trPr>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MOON</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α=0.1</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3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020"/>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c>
          <w:tcPr>
            <w:tcW w:type="dxa" w:w="119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5"/>
              </w:rPr>
              <w:t>—</w:t>
            </w:r>
          </w:p>
        </w:tc>
      </w:tr>
    </w:tbl>
    <w:p>
      <w:pPr>
        <w:spacing w:after="0"/>
      </w:pPr>
    </w:p>
    <w:p>
      <w:pPr>
        <w:pStyle w:val="Heading1"/>
        <w:keepNext/>
      </w:pPr>
      <w:r>
        <w:rPr>
          <w:rFonts w:ascii="Noto Sans CJK SC" w:hAnsi="Noto Sans CJK SC" w:eastAsia="Noto Sans CJK SC"/>
        </w:rPr>
        <w:t>附录 C：Stage 1C-B 结果汇总表模板</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Method</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Client/Domain</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Same-domain Acc</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Original Test Acc</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Cross-domain Mean</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1F7A8C"/>
          </w:tcPr>
          <w:p>
            <w:pPr>
              <w:spacing w:after="0" w:before="0" w:line="240" w:lineRule="auto"/>
            </w:pPr>
            <w:r>
              <w:rPr>
                <w:rFonts w:ascii="Noto Sans CJK SC" w:hAnsi="Noto Sans CJK SC" w:eastAsia="Noto Sans CJK SC"/>
                <w:b/>
                <w:color w:val="FFFFFF"/>
                <w:sz w:val="16"/>
              </w:rPr>
              <w:t>Worst Domain</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FedAvg-BN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Client 0 / Normal</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FedAvg-BN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Client 1 / Low-light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FedBN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Client 0 / Normal</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FedBN</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Client 1 / Low-light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6"/>
              </w:rPr>
              <w:t>—</w:t>
            </w:r>
          </w:p>
        </w:tc>
      </w:tr>
      <w:tr>
        <w:trPr>
          <w:cantSplit/>
        </w:trPr>
        <w:tc>
          <w:tcPr>
            <w:tcW w:type="dxa" w:w="1474"/>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2268"/>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70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c>
          <w:tcPr>
            <w:tcW w:type="dxa" w:w="1361"/>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6"/>
              </w:rPr>
              <w:t>...</w:t>
            </w:r>
          </w:p>
        </w:tc>
      </w:tr>
    </w:tbl>
    <w:p>
      <w:pPr>
        <w:spacing w:after="0"/>
      </w:pPr>
    </w:p>
    <w:p>
      <w:pPr>
        <w:pStyle w:val="Heading1"/>
        <w:keepNext/>
      </w:pPr>
      <w:r>
        <w:rPr>
          <w:rFonts w:ascii="Noto Sans CJK SC" w:hAnsi="Noto Sans CJK SC" w:eastAsia="Noto Sans CJK SC"/>
        </w:rPr>
        <w:t>附录 D：资料来源与内容边界</w:t>
      </w:r>
    </w:p>
    <w:p>
      <w:pPr>
        <w:spacing w:after="100" w:line="293" w:lineRule="auto"/>
      </w:pPr>
      <w:r>
        <w:rPr>
          <w:rFonts w:ascii="Noto Sans CJK SC" w:hAnsi="Noto Sans CJK SC" w:eastAsia="Noto Sans CJK SC"/>
          <w:i w:val="0"/>
        </w:rPr>
        <w:t>本规划文档基于以下项目材料整理。Stage 1A / 1B 的实验状态和数值来自已有工作说明；Stage 1C 的目录、算法实施顺序、日志字段和验收标准属于后续拟实施方案，尚未被实验结果验证。</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文件</w:t>
            </w:r>
          </w:p>
        </w:tc>
        <w:tc>
          <w:tcPr>
            <w:tcW w:type="dxa" w:w="51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2F5597"/>
          </w:tcPr>
          <w:p>
            <w:pPr>
              <w:spacing w:after="0" w:before="0" w:line="240" w:lineRule="auto"/>
            </w:pPr>
            <w:r>
              <w:rPr>
                <w:rFonts w:ascii="Noto Sans CJK SC" w:hAnsi="Noto Sans CJK SC" w:eastAsia="Noto Sans CJK SC"/>
                <w:b/>
                <w:color w:val="FFFFFF"/>
                <w:sz w:val="17"/>
              </w:rPr>
              <w:t>在本规划中的用途</w:t>
            </w:r>
          </w:p>
        </w:tc>
      </w:tr>
      <w:tr>
        <w:trPr>
          <w:cantSplit/>
        </w:trPr>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思路 联邦学习 20260709.docx</w:t>
            </w:r>
          </w:p>
        </w:tc>
        <w:tc>
          <w:tcPr>
            <w:tcW w:type="dxa" w:w="51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早期联邦流程、TFF 优先、客户端/服务器/轮次/指标和应用验证思路。</w:t>
            </w:r>
          </w:p>
        </w:tc>
      </w:tr>
      <w:tr>
        <w:trPr>
          <w:cantSplit/>
        </w:trPr>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思路 联邦学习的具体实践 20260718.docx</w:t>
            </w:r>
          </w:p>
        </w:tc>
        <w:tc>
          <w:tcPr>
            <w:tcW w:type="dxa" w:w="51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GTSRB、FedAvg、Non-IID、算法比较、场景异构、仿真和 BDD100K 总路线。</w:t>
            </w:r>
          </w:p>
        </w:tc>
      </w:tr>
      <w:tr>
        <w:trPr>
          <w:cantSplit/>
        </w:trPr>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GTSRB_TFF_Stage1A_Work_Summary(1).md</w:t>
            </w:r>
          </w:p>
        </w:tc>
        <w:tc>
          <w:tcPr>
            <w:tcW w:type="dxa" w:w="51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Stage 1A 数据、模型、三组基线、BN 失败诊断、checkpoint 与通信量。</w:t>
            </w:r>
          </w:p>
        </w:tc>
      </w:tr>
      <w:tr>
        <w:trPr>
          <w:cantSplit/>
        </w:trPr>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Stage1B_Dirichlet_NonIID_FedAvg_Technical_Report_v1.0(1).md</w:t>
            </w:r>
          </w:p>
        </w:tc>
        <w:tc>
          <w:tcPr>
            <w:tcW w:type="dxa" w:w="51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shd w:fill="F2F4F7"/>
          </w:tcPr>
          <w:p>
            <w:pPr>
              <w:spacing w:after="0" w:before="0" w:line="240" w:lineRule="auto"/>
            </w:pPr>
            <w:r>
              <w:rPr>
                <w:rFonts w:ascii="Noto Sans CJK SC" w:hAnsi="Noto Sans CJK SC" w:eastAsia="Noto Sans CJK SC"/>
                <w:sz w:val="17"/>
              </w:rPr>
              <w:t>Stage 1B Dirichlet 划分、160 轮结果、类别失效分析和 Stage 1C 推荐顺序。</w:t>
            </w:r>
          </w:p>
        </w:tc>
      </w:tr>
      <w:tr>
        <w:trPr>
          <w:cantSplit/>
        </w:trPr>
        <w:tc>
          <w:tcPr>
            <w:tcW w:type="dxa" w:w="3969"/>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相关文献.txt</w:t>
            </w:r>
          </w:p>
        </w:tc>
        <w:tc>
          <w:tcPr>
            <w:tcW w:type="dxa" w:w="5102"/>
            <w:vAlign w:val="center"/>
            <w:tcMar>
              <w:top w:w="80" w:type="dxa"/>
              <w:start w:w="100" w:type="dxa"/>
              <w:bottom w:w="80" w:type="dxa"/>
              <w:end w:w="100" w:type="dxa"/>
            </w:tcMar>
            <w:tcBorders>
              <w:top w:sz="4" w:val="single" w:color="D9DEE7"/>
              <w:left w:sz="4" w:val="single" w:color="D9DEE7"/>
              <w:bottom w:sz="4" w:val="single" w:color="D9DEE7"/>
              <w:right w:sz="4" w:val="single" w:color="D9DEE7"/>
            </w:tcBorders>
          </w:tcPr>
          <w:p>
            <w:pPr>
              <w:spacing w:after="0" w:before="0" w:line="240" w:lineRule="auto"/>
            </w:pPr>
            <w:r>
              <w:rPr>
                <w:rFonts w:ascii="Noto Sans CJK SC" w:hAnsi="Noto Sans CJK SC" w:eastAsia="Noto Sans CJK SC"/>
                <w:sz w:val="17"/>
              </w:rPr>
              <w:t>FedBN、FedProx、MOON、SCAFFOLD、自适应量化和 AC-SGD 文献线索。</w:t>
            </w:r>
          </w:p>
        </w:tc>
      </w:tr>
    </w:tbl>
    <w:p>
      <w:pPr>
        <w:spacing w:after="0"/>
      </w:pPr>
    </w:p>
    <w:p>
      <w:pPr>
        <w:pStyle w:val="SmallNote"/>
        <w:spacing w:after="100" w:line="293" w:lineRule="auto"/>
        <w:jc w:val="center"/>
      </w:pPr>
      <w:r>
        <w:rPr>
          <w:rFonts w:ascii="Noto Sans CJK SC" w:hAnsi="Noto Sans CJK SC" w:eastAsia="Noto Sans CJK SC"/>
          <w:i w:val="0"/>
        </w:rPr>
        <w:t>文档结束</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 xml:space="preserve">第 </w:t>
    </w:r>
    <w:r>
      <w:fldChar w:fldCharType="begin"/>
      <w:instrText xml:space="preserve">PAGE</w:instrText>
      <w:fldChar w:fldCharType="end"/>
    </w:r>
    <w:r>
      <w:rPr>
        <w:rFonts w:ascii="Noto Sans CJK SC" w:hAnsi="Noto Sans CJK SC" w:eastAsia="Noto Sans CJK SC"/>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DEE7"/>
      </w:pBdr>
    </w:pPr>
    <w:r>
      <w:rPr>
        <w:rFonts w:ascii="Noto Sans CJK SC" w:hAnsi="Noto Sans CJK SC" w:eastAsia="Noto Sans CJK SC"/>
        <w:color w:val="6B7280"/>
        <w:sz w:val="16"/>
      </w:rPr>
      <w:t>GTSRB 联邦学习｜Stage 1C 实施规划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SC" w:hAnsi="Noto Sans CJK SC" w:eastAsia="Noto Sans CJK SC"/>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Noto Sans CJK SC" w:hAnsi="Noto Sans CJK SC" w:eastAsia="Noto Sans CJK SC"/>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阶段 1C：多联邦算法、FedBN 场景异构与通信优化实施规划</dc:title>
  <dc:subject>GTSRB TensorFlow Federated Stage 1C implementation and handoff plan</dc:subject>
  <dc:creator>python-docx</dc:creator>
  <cp:keywords>Federated Learning, GTSRB, FedProx, SCAFFOLD, MOON, FedBN, Communication Compression</cp:keywords>
  <dc:description>Generated as a project planning and handoff document based on Stage 1A and Stage 1B project materials.</dc:description>
  <cp:lastModifiedBy/>
  <cp:revision>1</cp:revision>
  <dcterms:created xsi:type="dcterms:W3CDTF">2013-12-23T23:15:00Z</dcterms:created>
  <dcterms:modified xsi:type="dcterms:W3CDTF">2013-12-23T23:15:00Z</dcterms:modified>
  <cp:category/>
</cp:coreProperties>
</file>