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972B" w14:textId="70513F7C" w:rsidR="00EA26B7" w:rsidRDefault="00EA26B7" w:rsidP="00EA26B7">
      <w:pPr>
        <w:jc w:val="center"/>
        <w:rPr>
          <w:b/>
          <w:bCs/>
          <w:sz w:val="36"/>
          <w:szCs w:val="36"/>
        </w:rPr>
      </w:pPr>
      <w:r w:rsidRPr="00EA26B7">
        <w:rPr>
          <w:b/>
          <w:bCs/>
          <w:sz w:val="36"/>
          <w:szCs w:val="36"/>
        </w:rPr>
        <w:t>Customer Journey Map</w:t>
      </w:r>
    </w:p>
    <w:p w14:paraId="677CDA84" w14:textId="77777777" w:rsidR="00560D61" w:rsidRPr="00EA26B7" w:rsidRDefault="00560D61" w:rsidP="00EA26B7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560D61" w:rsidRPr="00EE4889" w14:paraId="60412EB3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6568C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12B2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17 February 2026</w:t>
            </w:r>
          </w:p>
        </w:tc>
      </w:tr>
      <w:tr w:rsidR="00560D61" w:rsidRPr="00EE4889" w14:paraId="40596B9E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96291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730D6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LTVIP2026TMIDS39366</w:t>
            </w:r>
          </w:p>
        </w:tc>
      </w:tr>
      <w:tr w:rsidR="00560D61" w:rsidRPr="00EE4889" w14:paraId="211278E8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25920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FA77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Heritage Treasures: An In-Depth Analysis of UNESCO World Heritage Sites (2019)</w:t>
            </w:r>
          </w:p>
        </w:tc>
      </w:tr>
      <w:tr w:rsidR="00560D61" w:rsidRPr="00EE4889" w14:paraId="42B7AADA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0F4E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17ED" w14:textId="77777777" w:rsidR="00560D61" w:rsidRPr="00EE4889" w:rsidRDefault="00560D61" w:rsidP="006B1995">
            <w:pPr>
              <w:spacing w:after="160" w:line="259" w:lineRule="auto"/>
              <w:rPr>
                <w:sz w:val="24"/>
                <w:szCs w:val="24"/>
              </w:rPr>
            </w:pPr>
            <w:r w:rsidRPr="00EE4889">
              <w:rPr>
                <w:sz w:val="24"/>
                <w:szCs w:val="24"/>
              </w:rPr>
              <w:t>8 Marks</w:t>
            </w:r>
          </w:p>
        </w:tc>
      </w:tr>
    </w:tbl>
    <w:p w14:paraId="2C9E53D4" w14:textId="77777777" w:rsidR="00EA26B7" w:rsidRDefault="00EA26B7" w:rsidP="00EA26B7">
      <w:pPr>
        <w:jc w:val="center"/>
        <w:rPr>
          <w:b/>
          <w:bCs/>
          <w:sz w:val="24"/>
          <w:szCs w:val="24"/>
        </w:rPr>
      </w:pPr>
    </w:p>
    <w:p w14:paraId="56E17F54" w14:textId="77777777" w:rsidR="00560D61" w:rsidRDefault="00560D61" w:rsidP="00EA26B7">
      <w:pPr>
        <w:jc w:val="center"/>
        <w:rPr>
          <w:noProof/>
        </w:rPr>
      </w:pPr>
    </w:p>
    <w:p w14:paraId="15A92E8F" w14:textId="35BE0C10" w:rsidR="00EA26B7" w:rsidRPr="00EA26B7" w:rsidRDefault="00560D61" w:rsidP="00EA26B7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2A84C7" wp14:editId="6C776DF5">
            <wp:extent cx="5708650" cy="5683250"/>
            <wp:effectExtent l="0" t="0" r="6350" b="0"/>
            <wp:docPr id="932386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90" r="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56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26B7" w:rsidRPr="00EA2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B7"/>
    <w:rsid w:val="00351F47"/>
    <w:rsid w:val="00395764"/>
    <w:rsid w:val="0040673E"/>
    <w:rsid w:val="00560D61"/>
    <w:rsid w:val="00604ECE"/>
    <w:rsid w:val="006C7C65"/>
    <w:rsid w:val="00D06ABF"/>
    <w:rsid w:val="00DB1983"/>
    <w:rsid w:val="00EA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FF75"/>
  <w15:chartTrackingRefBased/>
  <w15:docId w15:val="{EF9B4EDE-3E5A-48C3-A860-4B0981DE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26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26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0D61"/>
    <w:pPr>
      <w:spacing w:after="0" w:line="240" w:lineRule="auto"/>
    </w:pPr>
    <w:rPr>
      <w:rFonts w:ascii="Calibri" w:eastAsia="Calibri" w:hAnsi="Calibri" w:cs="Calibri"/>
      <w:kern w:val="0"/>
      <w:szCs w:val="22"/>
      <w:lang w:eastAsia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22MH1A42B1</dc:creator>
  <cp:keywords/>
  <dc:description/>
  <cp:lastModifiedBy>hema manjari</cp:lastModifiedBy>
  <cp:revision>3</cp:revision>
  <dcterms:created xsi:type="dcterms:W3CDTF">2026-02-13T08:22:00Z</dcterms:created>
  <dcterms:modified xsi:type="dcterms:W3CDTF">2026-02-18T06:40:00Z</dcterms:modified>
</cp:coreProperties>
</file>