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C3A80">
      <w:pPr>
        <w:pStyle w:val="2"/>
        <w:spacing w:before="31" w:line="254" w:lineRule="auto"/>
        <w:ind w:left="3489" w:right="3481" w:hanging="13"/>
        <w:jc w:val="center"/>
        <w:rPr>
          <w:rFonts w:ascii="Calibri"/>
        </w:rPr>
      </w:pPr>
      <w:r>
        <w:rPr>
          <w:rFonts w:ascii="Calibri"/>
        </w:rPr>
        <w:t>Project Design Phase Solution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Architecture</w:t>
      </w:r>
    </w:p>
    <w:p w14:paraId="35B039EE">
      <w:pPr>
        <w:pStyle w:val="5"/>
        <w:spacing w:before="55"/>
        <w:rPr>
          <w:rFonts w:ascii="Calibri"/>
          <w:b/>
          <w:sz w:val="20"/>
        </w:rPr>
      </w:pPr>
    </w:p>
    <w:tbl>
      <w:tblPr>
        <w:tblStyle w:val="4"/>
        <w:tblW w:w="0" w:type="auto"/>
        <w:tblInd w:w="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72"/>
        <w:gridCol w:w="6050"/>
      </w:tblGrid>
      <w:tr w14:paraId="0D083F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972" w:type="dxa"/>
          </w:tcPr>
          <w:p w14:paraId="1DF57D2A">
            <w:pPr>
              <w:pStyle w:val="8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6050" w:type="dxa"/>
          </w:tcPr>
          <w:p w14:paraId="707681DC">
            <w:pPr>
              <w:pStyle w:val="8"/>
              <w:ind w:left="114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18 February 2026</w:t>
            </w:r>
          </w:p>
        </w:tc>
      </w:tr>
      <w:tr w14:paraId="0CB1CC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972" w:type="dxa"/>
          </w:tcPr>
          <w:p w14:paraId="42EFAD23">
            <w:pPr>
              <w:pStyle w:val="8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6050" w:type="dxa"/>
          </w:tcPr>
          <w:p w14:paraId="67827CD5">
            <w:pPr>
              <w:pStyle w:val="8"/>
              <w:ind w:left="165"/>
              <w:rPr>
                <w:sz w:val="22"/>
              </w:rPr>
            </w:pPr>
            <w:r>
              <w:rPr>
                <w:rFonts w:hint="default"/>
                <w:spacing w:val="-2"/>
                <w:sz w:val="22"/>
              </w:rPr>
              <w:t>LTVIP2026TMIDS24254</w:t>
            </w:r>
          </w:p>
        </w:tc>
      </w:tr>
      <w:tr w14:paraId="1CF432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972" w:type="dxa"/>
          </w:tcPr>
          <w:p w14:paraId="598BD0E1">
            <w:pPr>
              <w:pStyle w:val="8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6050" w:type="dxa"/>
          </w:tcPr>
          <w:p w14:paraId="1012E36B">
            <w:pPr>
              <w:pStyle w:val="8"/>
              <w:ind w:left="114"/>
              <w:rPr>
                <w:sz w:val="22"/>
              </w:rPr>
            </w:pPr>
            <w:bookmarkStart w:id="0" w:name="_GoBack"/>
            <w:r>
              <w:rPr>
                <w:sz w:val="22"/>
              </w:rPr>
              <w:t>Visualization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Tool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Electric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Vehicle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Charge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Range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Analysis</w:t>
            </w:r>
            <w:bookmarkEnd w:id="0"/>
          </w:p>
        </w:tc>
      </w:tr>
      <w:tr w14:paraId="64DF85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2972" w:type="dxa"/>
          </w:tcPr>
          <w:p w14:paraId="6B2BB027">
            <w:pPr>
              <w:pStyle w:val="8"/>
              <w:spacing w:before="6" w:line="266" w:lineRule="exac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6050" w:type="dxa"/>
          </w:tcPr>
          <w:p w14:paraId="71429AAE">
            <w:pPr>
              <w:pStyle w:val="8"/>
              <w:spacing w:line="272" w:lineRule="exact"/>
              <w:ind w:left="114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F3EBC2C">
      <w:pPr>
        <w:pStyle w:val="5"/>
        <w:spacing w:before="159"/>
        <w:rPr>
          <w:rFonts w:ascii="Calibri"/>
          <w:b/>
        </w:rPr>
      </w:pPr>
    </w:p>
    <w:p w14:paraId="042334FA">
      <w:pPr>
        <w:spacing w:before="1"/>
        <w:ind w:left="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Solution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Architecture:</w:t>
      </w:r>
    </w:p>
    <w:p w14:paraId="4A345A59">
      <w:pPr>
        <w:pStyle w:val="5"/>
        <w:spacing w:before="184"/>
        <w:ind w:left="23"/>
      </w:pPr>
      <w:r>
        <w:t>Solution</w:t>
      </w:r>
      <w:r>
        <w:rPr>
          <w:spacing w:val="-4"/>
        </w:rPr>
        <w:t xml:space="preserve"> </w:t>
      </w:r>
      <w:r>
        <w:t>architecture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complex</w:t>
      </w:r>
      <w:r>
        <w:rPr>
          <w:spacing w:val="-7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sub-processes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bridges the gap between business problems and technology solutions. Its goals are to:</w:t>
      </w:r>
    </w:p>
    <w:p w14:paraId="54BF95F7">
      <w:pPr>
        <w:pStyle w:val="5"/>
        <w:spacing w:before="97"/>
      </w:pPr>
    </w:p>
    <w:p w14:paraId="09B14578">
      <w:pPr>
        <w:pStyle w:val="7"/>
        <w:numPr>
          <w:ilvl w:val="0"/>
          <w:numId w:val="1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Find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best</w:t>
      </w:r>
      <w:r>
        <w:rPr>
          <w:spacing w:val="-5"/>
          <w:sz w:val="24"/>
        </w:rPr>
        <w:t xml:space="preserve"> </w:t>
      </w:r>
      <w:r>
        <w:rPr>
          <w:sz w:val="24"/>
        </w:rPr>
        <w:t>tech</w:t>
      </w:r>
      <w:r>
        <w:rPr>
          <w:spacing w:val="-5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solve</w:t>
      </w:r>
      <w:r>
        <w:rPr>
          <w:spacing w:val="-8"/>
          <w:sz w:val="24"/>
        </w:rPr>
        <w:t xml:space="preserve"> </w:t>
      </w:r>
      <w:r>
        <w:rPr>
          <w:sz w:val="24"/>
        </w:rPr>
        <w:t>existing</w:t>
      </w:r>
      <w:r>
        <w:rPr>
          <w:spacing w:val="-7"/>
          <w:sz w:val="24"/>
        </w:rPr>
        <w:t xml:space="preserve"> </w:t>
      </w:r>
      <w:r>
        <w:rPr>
          <w:sz w:val="24"/>
        </w:rPr>
        <w:t>business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problems.</w:t>
      </w:r>
    </w:p>
    <w:p w14:paraId="75026FC7">
      <w:pPr>
        <w:pStyle w:val="7"/>
        <w:numPr>
          <w:ilvl w:val="0"/>
          <w:numId w:val="1"/>
        </w:numPr>
        <w:tabs>
          <w:tab w:val="left" w:pos="743"/>
        </w:tabs>
        <w:spacing w:before="151" w:after="0" w:line="240" w:lineRule="auto"/>
        <w:ind w:left="743" w:right="593" w:hanging="360"/>
        <w:jc w:val="left"/>
        <w:rPr>
          <w:sz w:val="24"/>
        </w:rPr>
      </w:pPr>
      <w:r>
        <w:rPr>
          <w:sz w:val="24"/>
        </w:rPr>
        <w:t>Describe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structure,</w:t>
      </w:r>
      <w:r>
        <w:rPr>
          <w:spacing w:val="-11"/>
          <w:sz w:val="24"/>
        </w:rPr>
        <w:t xml:space="preserve"> </w:t>
      </w:r>
      <w:r>
        <w:rPr>
          <w:sz w:val="24"/>
        </w:rPr>
        <w:t>characteristics,</w:t>
      </w:r>
      <w:r>
        <w:rPr>
          <w:spacing w:val="-6"/>
          <w:sz w:val="24"/>
        </w:rPr>
        <w:t xml:space="preserve"> </w:t>
      </w:r>
      <w:r>
        <w:rPr>
          <w:sz w:val="24"/>
        </w:rPr>
        <w:t>behavior,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other</w:t>
      </w:r>
      <w:r>
        <w:rPr>
          <w:spacing w:val="-10"/>
          <w:sz w:val="24"/>
        </w:rPr>
        <w:t xml:space="preserve"> </w:t>
      </w:r>
      <w:r>
        <w:rPr>
          <w:sz w:val="24"/>
        </w:rPr>
        <w:t>aspects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 software to project stakeholders.</w:t>
      </w:r>
    </w:p>
    <w:p w14:paraId="1554A39B">
      <w:pPr>
        <w:pStyle w:val="7"/>
        <w:numPr>
          <w:ilvl w:val="0"/>
          <w:numId w:val="1"/>
        </w:numPr>
        <w:tabs>
          <w:tab w:val="left" w:pos="743"/>
        </w:tabs>
        <w:spacing w:before="152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9"/>
          <w:sz w:val="24"/>
        </w:rPr>
        <w:t xml:space="preserve"> </w:t>
      </w:r>
      <w:r>
        <w:rPr>
          <w:sz w:val="24"/>
        </w:rPr>
        <w:t>features,</w:t>
      </w:r>
      <w:r>
        <w:rPr>
          <w:spacing w:val="-6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8"/>
          <w:sz w:val="24"/>
        </w:rPr>
        <w:t xml:space="preserve"> </w:t>
      </w:r>
      <w:r>
        <w:rPr>
          <w:sz w:val="24"/>
        </w:rPr>
        <w:t>phases,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solution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65F30D00">
      <w:pPr>
        <w:pStyle w:val="7"/>
        <w:numPr>
          <w:ilvl w:val="0"/>
          <w:numId w:val="1"/>
        </w:numPr>
        <w:tabs>
          <w:tab w:val="left" w:pos="743"/>
        </w:tabs>
        <w:spacing w:before="148" w:after="0" w:line="240" w:lineRule="auto"/>
        <w:ind w:left="743" w:right="407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6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12"/>
          <w:sz w:val="24"/>
        </w:rPr>
        <w:t xml:space="preserve"> </w:t>
      </w:r>
      <w:r>
        <w:rPr>
          <w:sz w:val="24"/>
        </w:rPr>
        <w:t>according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solution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defined,</w:t>
      </w:r>
      <w:r>
        <w:rPr>
          <w:spacing w:val="-11"/>
          <w:sz w:val="24"/>
        </w:rPr>
        <w:t xml:space="preserve"> </w:t>
      </w:r>
      <w:r>
        <w:rPr>
          <w:sz w:val="24"/>
        </w:rPr>
        <w:t>managed, and delivered.</w:t>
      </w:r>
    </w:p>
    <w:p w14:paraId="30A06580">
      <w:pPr>
        <w:pStyle w:val="5"/>
      </w:pPr>
    </w:p>
    <w:p w14:paraId="3A40E42C">
      <w:pPr>
        <w:pStyle w:val="5"/>
        <w:spacing w:before="48"/>
      </w:pPr>
    </w:p>
    <w:p w14:paraId="531407FD">
      <w:pPr>
        <w:pStyle w:val="2"/>
        <w:rPr>
          <w:rFonts w:ascii="Calibri"/>
          <w:sz w:val="22"/>
        </w:rPr>
      </w:pPr>
      <w:r>
        <w:t>Example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rPr>
          <w:spacing w:val="-2"/>
        </w:rPr>
        <w:t>Diagram</w:t>
      </w:r>
      <w:r>
        <w:rPr>
          <w:rFonts w:ascii="Calibri"/>
          <w:spacing w:val="-2"/>
          <w:sz w:val="22"/>
        </w:rPr>
        <w:t>:</w:t>
      </w:r>
    </w:p>
    <w:p w14:paraId="288C47FD">
      <w:pPr>
        <w:pStyle w:val="5"/>
        <w:spacing w:before="141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1212850</wp:posOffset>
            </wp:positionH>
            <wp:positionV relativeFrom="paragraph">
              <wp:posOffset>259715</wp:posOffset>
            </wp:positionV>
            <wp:extent cx="5010785" cy="314579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502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E976C3">
      <w:pPr>
        <w:spacing w:before="229"/>
        <w:ind w:left="23" w:right="0" w:firstLine="0"/>
        <w:jc w:val="left"/>
        <w:rPr>
          <w:rFonts w:ascii="Verdana"/>
          <w:i/>
          <w:sz w:val="21"/>
        </w:rPr>
      </w:pPr>
      <w:r>
        <w:rPr>
          <w:rFonts w:ascii="Verdana"/>
          <w:i/>
          <w:color w:val="333333"/>
          <w:w w:val="85"/>
          <w:sz w:val="21"/>
        </w:rPr>
        <w:t>Figure</w:t>
      </w:r>
      <w:r>
        <w:rPr>
          <w:rFonts w:ascii="Verdana"/>
          <w:i/>
          <w:color w:val="333333"/>
          <w:spacing w:val="-2"/>
          <w:w w:val="85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1:</w:t>
      </w:r>
      <w:r>
        <w:rPr>
          <w:rFonts w:ascii="Verdana"/>
          <w:i/>
          <w:color w:val="333333"/>
          <w:spacing w:val="-10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Architecture</w:t>
      </w:r>
      <w:r>
        <w:rPr>
          <w:rFonts w:ascii="Verdana"/>
          <w:i/>
          <w:color w:val="333333"/>
          <w:spacing w:val="-9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and</w:t>
      </w:r>
      <w:r>
        <w:rPr>
          <w:rFonts w:ascii="Verdana"/>
          <w:i/>
          <w:color w:val="333333"/>
          <w:spacing w:val="-4"/>
          <w:w w:val="85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data</w:t>
      </w:r>
      <w:r>
        <w:rPr>
          <w:rFonts w:ascii="Verdana"/>
          <w:i/>
          <w:color w:val="333333"/>
          <w:spacing w:val="-9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flow</w:t>
      </w:r>
      <w:r>
        <w:rPr>
          <w:rFonts w:ascii="Verdana"/>
          <w:i/>
          <w:color w:val="333333"/>
          <w:spacing w:val="-11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of</w:t>
      </w:r>
      <w:r>
        <w:rPr>
          <w:rFonts w:ascii="Verdana"/>
          <w:i/>
          <w:color w:val="333333"/>
          <w:spacing w:val="-11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the</w:t>
      </w:r>
      <w:r>
        <w:rPr>
          <w:rFonts w:ascii="Verdana"/>
          <w:i/>
          <w:color w:val="333333"/>
          <w:spacing w:val="-11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voice</w:t>
      </w:r>
      <w:r>
        <w:rPr>
          <w:rFonts w:ascii="Verdana"/>
          <w:i/>
          <w:color w:val="333333"/>
          <w:spacing w:val="-10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patient</w:t>
      </w:r>
      <w:r>
        <w:rPr>
          <w:rFonts w:ascii="Verdana"/>
          <w:i/>
          <w:color w:val="333333"/>
          <w:spacing w:val="-6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diary</w:t>
      </w:r>
      <w:r>
        <w:rPr>
          <w:rFonts w:ascii="Verdana"/>
          <w:i/>
          <w:color w:val="333333"/>
          <w:spacing w:val="-10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sample</w:t>
      </w:r>
      <w:r>
        <w:rPr>
          <w:rFonts w:ascii="Verdana"/>
          <w:i/>
          <w:color w:val="333333"/>
          <w:spacing w:val="-3"/>
          <w:w w:val="85"/>
          <w:sz w:val="21"/>
        </w:rPr>
        <w:t xml:space="preserve"> </w:t>
      </w:r>
      <w:r>
        <w:rPr>
          <w:rFonts w:ascii="Verdana"/>
          <w:i/>
          <w:color w:val="333333"/>
          <w:spacing w:val="-2"/>
          <w:w w:val="85"/>
          <w:sz w:val="21"/>
        </w:rPr>
        <w:t>application</w:t>
      </w:r>
    </w:p>
    <w:p w14:paraId="34FBD5EB">
      <w:pPr>
        <w:spacing w:before="195" w:line="254" w:lineRule="auto"/>
        <w:ind w:left="23" w:right="534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Reference:</w:t>
      </w:r>
      <w:r>
        <w:rPr>
          <w:rFonts w:ascii="Calibri"/>
          <w:b/>
          <w:spacing w:val="-13"/>
          <w:sz w:val="22"/>
        </w:rPr>
        <w:t xml:space="preserve"> </w:t>
      </w:r>
      <w:r>
        <w:fldChar w:fldCharType="begin"/>
      </w:r>
      <w:r>
        <w:instrText xml:space="preserve"> HYPERLINK "https://aws.amazon.com/blogs/industries/voice-applications-in-clinical-research-powered-by-ai-on-aws-part-1-architecture-and-design-considerations/" \h </w:instrText>
      </w:r>
      <w:r>
        <w:fldChar w:fldCharType="separate"/>
      </w:r>
      <w:r>
        <w:rPr>
          <w:rFonts w:ascii="Calibri"/>
          <w:b/>
          <w:color w:val="0461C1"/>
          <w:sz w:val="22"/>
          <w:u w:val="single" w:color="0461C1"/>
        </w:rPr>
        <w:t>https://aws.amazon.com/blogs/industries/voice-applications-in-clinical-research-</w:t>
      </w:r>
      <w:r>
        <w:rPr>
          <w:rFonts w:ascii="Calibri"/>
          <w:b/>
          <w:color w:val="0461C1"/>
          <w:sz w:val="22"/>
          <w:u w:val="single" w:color="0461C1"/>
        </w:rPr>
        <w:fldChar w:fldCharType="end"/>
      </w:r>
      <w:r>
        <w:rPr>
          <w:rFonts w:ascii="Calibri"/>
          <w:b/>
          <w:color w:val="0461C1"/>
          <w:sz w:val="22"/>
        </w:rPr>
        <w:t xml:space="preserve"> </w:t>
      </w:r>
      <w:r>
        <w:fldChar w:fldCharType="begin"/>
      </w:r>
      <w:r>
        <w:instrText xml:space="preserve"> HYPERLINK "https://aws.amazon.com/blogs/industries/voice-applications-in-clinical-research-powered-by-ai-on-aws-part-1-architecture-and-design-considerations/" \h </w:instrText>
      </w:r>
      <w:r>
        <w:fldChar w:fldCharType="separate"/>
      </w:r>
      <w:r>
        <w:rPr>
          <w:rFonts w:ascii="Calibri"/>
          <w:b/>
          <w:color w:val="0461C1"/>
          <w:spacing w:val="-2"/>
          <w:sz w:val="22"/>
          <w:u w:val="single" w:color="0461C1"/>
        </w:rPr>
        <w:t>powered-by-ai-on-aws-part-1-architecture-and-design-considerations/</w:t>
      </w:r>
      <w:r>
        <w:rPr>
          <w:rFonts w:ascii="Calibri"/>
          <w:b/>
          <w:color w:val="0461C1"/>
          <w:spacing w:val="-2"/>
          <w:sz w:val="22"/>
          <w:u w:val="single" w:color="0461C1"/>
        </w:rPr>
        <w:fldChar w:fldCharType="end"/>
      </w:r>
    </w:p>
    <w:sectPr>
      <w:type w:val="continuous"/>
      <w:pgSz w:w="11920" w:h="16850"/>
      <w:pgMar w:top="80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Verdana">
    <w:panose1 w:val="020B0604030504040204"/>
    <w:charset w:val="01"/>
    <w:family w:val="swiss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●"/>
      <w:lvlJc w:val="left"/>
      <w:pPr>
        <w:ind w:left="74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5AE1AC0"/>
    <w:rsid w:val="36F20F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743" w:hanging="360"/>
    </w:pPr>
    <w:rPr>
      <w:rFonts w:ascii="Arial MT" w:hAnsi="Arial MT" w:eastAsia="Arial MT" w:cs="Arial MT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line="248" w:lineRule="exact"/>
      <w:ind w:left="112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0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2026-02-19T06:21:00Z</dcterms:created>
  <dc:creator>Amarender Katkam</dc:creator>
  <cp:lastModifiedBy>Hema Challa</cp:lastModifiedBy>
  <dcterms:modified xsi:type="dcterms:W3CDTF">2026-02-19T07:05:31Z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77D660CF80124940B128FDA6A14517ED_12</vt:lpwstr>
  </property>
</Properties>
</file>