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TradeAnalytics — Phase 2: Data Ingestion Guide</w:t>
      </w:r>
    </w:p>
    <w:p>
      <w:pPr>
        <w:pStyle w:val="NoSpacing"/>
        <w:jc w:val="center"/>
      </w:pPr>
      <w:r>
        <w:t>Version 1.0  ·  June 2026  ·  Confidential</w:t>
      </w:r>
    </w:p>
    <w:p/>
    <w:p>
      <w:pPr>
        <w:pStyle w:val="Heading1"/>
      </w:pPr>
      <w:r>
        <w:t>1. Overview</w:t>
      </w:r>
    </w:p>
    <w:p>
      <w:r>
        <w:t>Phase 2 implements the Bronze ingestion layer of the TradeAnalytics medallion architecture. It ingests daily OHLCV market data from the IBKR Client Portal REST API into append-only Delta tables in Databricks Unity Catalog. All records are validated, enriched with audit fields, and classified as new, amended, or skipped before writing.</w:t>
      </w:r>
    </w:p>
    <w:p>
      <w:pPr>
        <w:pStyle w:val="Heading2"/>
      </w:pPr>
      <w:r>
        <w:t>1.1 Key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Data source (production)</w:t>
            </w:r>
          </w:p>
        </w:tc>
        <w:tc>
          <w:tcPr>
            <w:tcW w:type="dxa" w:w="4320"/>
          </w:tcPr>
          <w:p>
            <w:r>
              <w:t>IBKR Client Portal REST API — localhost:5055</w:t>
            </w:r>
          </w:p>
        </w:tc>
      </w:tr>
      <w:tr>
        <w:tc>
          <w:tcPr>
            <w:tcW w:type="dxa" w:w="4320"/>
          </w:tcPr>
          <w:p>
            <w:r>
              <w:t>Data source (unit tests)</w:t>
            </w:r>
          </w:p>
        </w:tc>
        <w:tc>
          <w:tcPr>
            <w:tcW w:type="dxa" w:w="4320"/>
          </w:tcPr>
          <w:p>
            <w:r>
              <w:t>Yahoo Finance (never production)</w:t>
            </w:r>
          </w:p>
        </w:tc>
      </w:tr>
      <w:tr>
        <w:tc>
          <w:tcPr>
            <w:tcW w:type="dxa" w:w="4320"/>
          </w:tcPr>
          <w:p>
            <w:r>
              <w:t>Unity Catalog</w:t>
            </w:r>
          </w:p>
        </w:tc>
        <w:tc>
          <w:tcPr>
            <w:tcW w:type="dxa" w:w="4320"/>
          </w:tcPr>
          <w:p>
            <w:r>
              <w:t>tradeanalytics</w:t>
            </w:r>
          </w:p>
        </w:tc>
      </w:tr>
      <w:tr>
        <w:tc>
          <w:tcPr>
            <w:tcW w:type="dxa" w:w="4320"/>
          </w:tcPr>
          <w:p>
            <w:r>
              <w:t>Bronze schema</w:t>
            </w:r>
          </w:p>
        </w:tc>
        <w:tc>
          <w:tcPr>
            <w:tcW w:type="dxa" w:w="4320"/>
          </w:tcPr>
          <w:p>
            <w:r>
              <w:t>tradeanalytics.bronze</w:t>
            </w:r>
          </w:p>
        </w:tc>
      </w:tr>
      <w:tr>
        <w:tc>
          <w:tcPr>
            <w:tcW w:type="dxa" w:w="4320"/>
          </w:tcPr>
          <w:p>
            <w:r>
              <w:t>Main table</w:t>
            </w:r>
          </w:p>
        </w:tc>
        <w:tc>
          <w:tcPr>
            <w:tcW w:type="dxa" w:w="4320"/>
          </w:tcPr>
          <w:p>
            <w:r>
              <w:t>tradeanalytics.bronze.market_data_daily</w:t>
            </w:r>
          </w:p>
        </w:tc>
      </w:tr>
      <w:tr>
        <w:tc>
          <w:tcPr>
            <w:tcW w:type="dxa" w:w="4320"/>
          </w:tcPr>
          <w:p>
            <w:r>
              <w:t>Rejected table</w:t>
            </w:r>
          </w:p>
        </w:tc>
        <w:tc>
          <w:tcPr>
            <w:tcW w:type="dxa" w:w="4320"/>
          </w:tcPr>
          <w:p>
            <w:r>
              <w:t>tradeanalytics.bronze.market_data_rejected</w:t>
            </w:r>
          </w:p>
        </w:tc>
      </w:tr>
      <w:tr>
        <w:tc>
          <w:tcPr>
            <w:tcW w:type="dxa" w:w="4320"/>
          </w:tcPr>
          <w:p>
            <w:r>
              <w:t>Watermark table</w:t>
            </w:r>
          </w:p>
        </w:tc>
        <w:tc>
          <w:tcPr>
            <w:tcW w:type="dxa" w:w="4320"/>
          </w:tcPr>
          <w:p>
            <w:r>
              <w:t>tradeanalytics.bronze.ingestion_watermark_daily</w:t>
            </w:r>
          </w:p>
        </w:tc>
      </w:tr>
      <w:tr>
        <w:tc>
          <w:tcPr>
            <w:tcW w:type="dxa" w:w="4320"/>
          </w:tcPr>
          <w:p>
            <w:r>
              <w:t>Databricks job ID</w:t>
            </w:r>
          </w:p>
        </w:tc>
        <w:tc>
          <w:tcPr>
            <w:tcW w:type="dxa" w:w="4320"/>
          </w:tcPr>
          <w:p>
            <w:r>
              <w:t>174217366433843</w:t>
            </w:r>
          </w:p>
        </w:tc>
      </w:tr>
      <w:tr>
        <w:tc>
          <w:tcPr>
            <w:tcW w:type="dxa" w:w="4320"/>
          </w:tcPr>
          <w:p>
            <w:r>
              <w:t>DABs profile</w:t>
            </w:r>
          </w:p>
        </w:tc>
        <w:tc>
          <w:tcPr>
            <w:tcW w:type="dxa" w:w="4320"/>
          </w:tcPr>
          <w:p>
            <w:r>
              <w:t>handh-trade-aws</w:t>
            </w:r>
          </w:p>
        </w:tc>
      </w:tr>
      <w:tr>
        <w:tc>
          <w:tcPr>
            <w:tcW w:type="dxa" w:w="4320"/>
          </w:tcPr>
          <w:p>
            <w:r>
              <w:t>S3 location</w:t>
            </w:r>
          </w:p>
        </w:tc>
        <w:tc>
          <w:tcPr>
            <w:tcW w:type="dxa" w:w="4320"/>
          </w:tcPr>
          <w:p>
            <w:r>
              <w:t>s3://handh-trade-refined-use1/bronze/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feature/phase2-data-ingestion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249 passing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2. Architecture</w:t>
      </w:r>
    </w:p>
    <w:p>
      <w:pPr>
        <w:pStyle w:val="Heading2"/>
      </w:pPr>
      <w:r>
        <w:t>2.1 Component Chain</w:t>
      </w:r>
    </w:p>
    <w:p>
      <w:r>
        <w:t>Every component follows the universal pattern: ABC → Registry → Factory → Config. Adding a new provider requires only: implement MarketDataProvider ABC, register in MarketDataFactory, add a YAML entry in sources.yml.</w:t>
      </w:r>
    </w:p>
    <w:p>
      <w:pPr>
        <w:pStyle w:val="Heading2"/>
      </w:pPr>
      <w:r>
        <w:t>2.2 Bronze Layer Rules</w:t>
      </w:r>
    </w:p>
    <w:p>
      <w:pPr>
        <w:pStyle w:val="ListBullet"/>
      </w:pPr>
      <w:r>
        <w:t>append-only — delta.appendOnly=true. NEVER UPDATE / DELETE / MERGE on the main table.</w:t>
      </w:r>
    </w:p>
    <w:p>
      <w:pPr>
        <w:pStyle w:val="ListBullet"/>
      </w:pPr>
      <w:r>
        <w:t>Amendments are new records with record_version incremented.</w:t>
      </w:r>
    </w:p>
    <w:p>
      <w:pPr>
        <w:pStyle w:val="ListBullet"/>
      </w:pPr>
      <w:r>
        <w:t>Three-layer deduplication:</w:t>
      </w:r>
    </w:p>
    <w:p>
      <w:pPr>
        <w:pStyle w:val="ListBullet"/>
      </w:pPr>
      <w:r>
        <w:t>Layer 1 — IngestionPlanner: correct date range, skip if already up-to-date.</w:t>
      </w:r>
    </w:p>
    <w:p>
      <w:pPr>
        <w:pStyle w:val="ListBullet"/>
      </w:pPr>
      <w:r>
        <w:t>Layer 2 — BronzeWriter._bulk_classify(): bulk pre-fetch + in-memory classify (new / amend / skip).</w:t>
      </w:r>
    </w:p>
    <w:p>
      <w:pPr>
        <w:pStyle w:val="ListBullet"/>
      </w:pPr>
      <w:r>
        <w:t>Layer 3 — Silver ROW_NUMBER window: exactly one record per key downstream.</w:t>
      </w:r>
    </w:p>
    <w:p>
      <w:pPr>
        <w:pStyle w:val="ListBullet"/>
      </w:pPr>
      <w:r>
        <w:t>Rejected records go to bronze.market_data_rejected — queryable and reprocessable.</w:t>
      </w:r>
    </w:p>
    <w:p>
      <w:pPr>
        <w:pStyle w:val="ListBullet"/>
      </w:pPr>
      <w:r>
        <w:t>Records flow as plain Python dicts throughout the pipeline. BronzeRecord is never instantiated during ingestion.</w:t>
      </w:r>
    </w:p>
    <w:p>
      <w:pPr>
        <w:pStyle w:val="Heading2"/>
      </w:pPr>
      <w:r>
        <w:t>2.3 Ingestion Modes (priority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4320"/>
          </w:tcPr>
          <w:p>
            <w:r>
              <w:t>force_reload</w:t>
            </w:r>
          </w:p>
        </w:tc>
        <w:tc>
          <w:tcPr>
            <w:tcW w:type="dxa" w:w="4320"/>
          </w:tcPr>
          <w:p>
            <w:r>
              <w:t>Manual — requires confirm=true</w:t>
            </w:r>
          </w:p>
        </w:tc>
      </w:tr>
      <w:tr>
        <w:tc>
          <w:tcPr>
            <w:tcW w:type="dxa" w:w="4320"/>
          </w:tcPr>
          <w:p>
            <w:r>
              <w:t>restatement</w:t>
            </w:r>
          </w:p>
        </w:tc>
        <w:tc>
          <w:tcPr>
            <w:tcW w:type="dxa" w:w="4320"/>
          </w:tcPr>
          <w:p>
            <w:r>
              <w:t>Source correction for a specific date range</w:t>
            </w:r>
          </w:p>
        </w:tc>
      </w:tr>
      <w:tr>
        <w:tc>
          <w:tcPr>
            <w:tcW w:type="dxa" w:w="4320"/>
          </w:tcPr>
          <w:p>
            <w:r>
              <w:t>explicit_date_range</w:t>
            </w:r>
          </w:p>
        </w:tc>
        <w:tc>
          <w:tcPr>
            <w:tcW w:type="dxa" w:w="4320"/>
          </w:tcPr>
          <w:p>
            <w:r>
              <w:t>start_date + end_date both provided</w:t>
            </w:r>
          </w:p>
        </w:tc>
      </w:tr>
      <w:tr>
        <w:tc>
          <w:tcPr>
            <w:tcW w:type="dxa" w:w="4320"/>
          </w:tcPr>
          <w:p>
            <w:r>
              <w:t>history_extension</w:t>
            </w:r>
          </w:p>
        </w:tc>
        <w:tc>
          <w:tcPr>
            <w:tcW w:type="dxa" w:w="4320"/>
          </w:tcPr>
          <w:p>
            <w:r>
              <w:t>history_start in tickers.csv moved earlier</w:t>
            </w:r>
          </w:p>
        </w:tc>
      </w:tr>
      <w:tr>
        <w:tc>
          <w:tcPr>
            <w:tcW w:type="dxa" w:w="4320"/>
          </w:tcPr>
          <w:p>
            <w:r>
              <w:t>initial_load</w:t>
            </w:r>
          </w:p>
        </w:tc>
        <w:tc>
          <w:tcPr>
            <w:tcW w:type="dxa" w:w="4320"/>
          </w:tcPr>
          <w:p>
            <w:r>
              <w:t>No watermark for symbol+interval</w:t>
            </w:r>
          </w:p>
        </w:tc>
      </w:tr>
      <w:tr>
        <w:tc>
          <w:tcPr>
            <w:tcW w:type="dxa" w:w="4320"/>
          </w:tcPr>
          <w:p>
            <w:r>
              <w:t>gap_fill</w:t>
            </w:r>
          </w:p>
        </w:tc>
        <w:tc>
          <w:tcPr>
            <w:tcW w:type="dxa" w:w="4320"/>
          </w:tcPr>
          <w:p>
            <w:r>
              <w:t>Gaps detected in watermark date range</w:t>
            </w:r>
          </w:p>
        </w:tc>
      </w:tr>
      <w:tr>
        <w:tc>
          <w:tcPr>
            <w:tcW w:type="dxa" w:w="4320"/>
          </w:tcPr>
          <w:p>
            <w:r>
              <w:t>incremental</w:t>
            </w:r>
          </w:p>
        </w:tc>
        <w:tc>
          <w:tcPr>
            <w:tcW w:type="dxa" w:w="4320"/>
          </w:tcPr>
          <w:p>
            <w:r>
              <w:t>Normal daily run — fetch since latest_date</w:t>
            </w:r>
          </w:p>
        </w:tc>
      </w:tr>
      <w:tr>
        <w:tc>
          <w:tcPr>
            <w:tcW w:type="dxa" w:w="4320"/>
          </w:tcPr>
          <w:p>
            <w:r>
              <w:t>no_op</w:t>
            </w:r>
          </w:p>
        </w:tc>
        <w:tc>
          <w:tcPr>
            <w:tcW w:type="dxa" w:w="4320"/>
          </w:tcPr>
          <w:p>
            <w:r>
              <w:t>Already up-to-date — nothing to do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3. File Structure</w:t>
      </w:r>
    </w:p>
    <w:p>
      <w:r>
        <w:t>Key files for Phase 2:</w:t>
      </w:r>
    </w:p>
    <w:p>
      <w:pPr>
        <w:pStyle w:val="NoSpacing"/>
      </w:pPr>
      <w:r>
        <w:rPr>
          <w:rFonts w:ascii="Courier New" w:hAnsi="Courier New"/>
          <w:sz w:val="18"/>
        </w:rPr>
        <w:t>config/sources.yml</w:t>
      </w:r>
      <w:r>
        <w:t xml:space="preserve">  — Provider settings — IBKR base_url, account_id, fallback</w:t>
      </w:r>
    </w:p>
    <w:p>
      <w:pPr>
        <w:pStyle w:val="NoSpacing"/>
      </w:pPr>
      <w:r>
        <w:rPr>
          <w:rFonts w:ascii="Courier New" w:hAnsi="Courier New"/>
          <w:sz w:val="18"/>
        </w:rPr>
        <w:t>config/streams/daily.yml</w:t>
      </w:r>
      <w:r>
        <w:t xml:space="preserve">  — Daily stream config — table names, intervals, lookback</w:t>
      </w:r>
    </w:p>
    <w:p>
      <w:pPr>
        <w:pStyle w:val="NoSpacing"/>
      </w:pPr>
      <w:r>
        <w:rPr>
          <w:rFonts w:ascii="Courier New" w:hAnsi="Courier New"/>
          <w:sz w:val="18"/>
        </w:rPr>
        <w:t>src/reference/data_quality_rules.yml</w:t>
      </w:r>
      <w:r>
        <w:t xml:space="preserve">  — Validation rules — 18 rules, no hardcoded thresholds</w:t>
      </w:r>
    </w:p>
    <w:p>
      <w:pPr>
        <w:pStyle w:val="NoSpacing"/>
      </w:pPr>
      <w:r>
        <w:rPr>
          <w:rFonts w:ascii="Courier New" w:hAnsi="Courier New"/>
          <w:sz w:val="18"/>
        </w:rPr>
        <w:t>src/ingestion/base/market_data_provider.py</w:t>
      </w:r>
      <w:r>
        <w:t xml:space="preserve">  — MarketDataProvider ABC</w:t>
      </w:r>
    </w:p>
    <w:p>
      <w:pPr>
        <w:pStyle w:val="NoSpacing"/>
      </w:pPr>
      <w:r>
        <w:rPr>
          <w:rFonts w:ascii="Courier New" w:hAnsi="Courier New"/>
          <w:sz w:val="18"/>
        </w:rPr>
        <w:t>src/ingestion/factory/provider_factory.py</w:t>
      </w:r>
      <w:r>
        <w:t xml:space="preserve">  — MarketDataFactory (registry)</w:t>
      </w:r>
    </w:p>
    <w:p>
      <w:pPr>
        <w:pStyle w:val="NoSpacing"/>
      </w:pPr>
      <w:r>
        <w:rPr>
          <w:rFonts w:ascii="Courier New" w:hAnsi="Courier New"/>
          <w:sz w:val="18"/>
        </w:rPr>
        <w:t>src/ingestion/providers/ibkr_provider.py</w:t>
      </w:r>
      <w:r>
        <w:t xml:space="preserve">  — IBKRProvider — primary data source</w:t>
      </w:r>
    </w:p>
    <w:p>
      <w:pPr>
        <w:pStyle w:val="NoSpacing"/>
      </w:pPr>
      <w:r>
        <w:rPr>
          <w:rFonts w:ascii="Courier New" w:hAnsi="Courier New"/>
          <w:sz w:val="18"/>
        </w:rPr>
        <w:t>src/ingestion/providers/yahoo_provider.py</w:t>
      </w:r>
      <w:r>
        <w:t xml:space="preserve">  — YahooProvider — unit tests only</w:t>
      </w:r>
    </w:p>
    <w:p>
      <w:pPr>
        <w:pStyle w:val="NoSpacing"/>
      </w:pPr>
      <w:r>
        <w:rPr>
          <w:rFonts w:ascii="Courier New" w:hAnsi="Courier New"/>
          <w:sz w:val="18"/>
        </w:rPr>
        <w:t>src/ingestion/models/ingestion_planner.py</w:t>
      </w:r>
      <w:r>
        <w:t xml:space="preserve">  — IngestionPlanner — 8 modes</w:t>
      </w:r>
    </w:p>
    <w:p>
      <w:pPr>
        <w:pStyle w:val="NoSpacing"/>
      </w:pPr>
      <w:r>
        <w:rPr>
          <w:rFonts w:ascii="Courier New" w:hAnsi="Courier New"/>
          <w:sz w:val="18"/>
        </w:rPr>
        <w:t>src/ingestion/validation/validator.py</w:t>
      </w:r>
      <w:r>
        <w:t xml:space="preserve">  — DataQualityValidator — enriches + validates</w:t>
      </w:r>
    </w:p>
    <w:p>
      <w:pPr>
        <w:pStyle w:val="NoSpacing"/>
      </w:pPr>
      <w:r>
        <w:rPr>
          <w:rFonts w:ascii="Courier New" w:hAnsi="Courier New"/>
          <w:sz w:val="18"/>
        </w:rPr>
        <w:t>src/ingestion/writers/bronze_writer.py</w:t>
      </w:r>
      <w:r>
        <w:t xml:space="preserve">  — BronzeWriter — bulk classify + Delta append</w:t>
      </w:r>
    </w:p>
    <w:p>
      <w:pPr>
        <w:pStyle w:val="NoSpacing"/>
      </w:pPr>
      <w:r>
        <w:rPr>
          <w:rFonts w:ascii="Courier New" w:hAnsi="Courier New"/>
          <w:sz w:val="18"/>
        </w:rPr>
        <w:t>src/ingestion/writers/watermark_manager.py</w:t>
      </w:r>
      <w:r>
        <w:t xml:space="preserve">  — WatermarkManager — tracks earliest/latest per symbol+interval</w:t>
      </w:r>
    </w:p>
    <w:p>
      <w:pPr>
        <w:pStyle w:val="NoSpacing"/>
      </w:pPr>
      <w:r>
        <w:rPr>
          <w:rFonts w:ascii="Courier New" w:hAnsi="Courier New"/>
          <w:sz w:val="18"/>
        </w:rPr>
        <w:t>src/ingestion/jobs/bronze_ingestion_job.py</w:t>
      </w:r>
      <w:r>
        <w:t xml:space="preserve">  — BronzeIngestionJob — orchestrates the full pipeline</w:t>
      </w:r>
    </w:p>
    <w:p>
      <w:pPr>
        <w:pStyle w:val="NoSpacing"/>
      </w:pPr>
      <w:r>
        <w:rPr>
          <w:rFonts w:ascii="Courier New" w:hAnsi="Courier New"/>
          <w:sz w:val="18"/>
        </w:rPr>
        <w:t>notebooks/bronze_daily_ingestion.py</w:t>
      </w:r>
      <w:r>
        <w:t xml:space="preserve">  — Databricks notebook entry point</w:t>
      </w:r>
    </w:p>
    <w:p>
      <w:pPr>
        <w:pStyle w:val="NoSpacing"/>
      </w:pPr>
      <w:r>
        <w:rPr>
          <w:rFonts w:ascii="Courier New" w:hAnsi="Courier New"/>
          <w:sz w:val="18"/>
        </w:rPr>
        <w:t>databricks.yml</w:t>
      </w:r>
      <w:r>
        <w:t xml:space="preserve">  — DABs bundle — job definition, schedule, cluster</w:t>
      </w:r>
    </w:p>
    <w:p/>
    <w:p>
      <w:pPr>
        <w:pStyle w:val="Heading1"/>
      </w:pPr>
      <w:r>
        <w:t>4. Delta Tables</w:t>
      </w:r>
    </w:p>
    <w:p>
      <w:pPr>
        <w:pStyle w:val="Heading2"/>
      </w:pPr>
      <w:r>
        <w:t>4.1 market_data_daily (59 fields)</w:t>
      </w:r>
    </w:p>
    <w:p>
      <w:r>
        <w:t>Main Bronze table. append-only. Partitioned by symbol + interval + date. Key field groups: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symbol, date, interval, source</w:t>
            </w:r>
          </w:p>
        </w:tc>
      </w:tr>
      <w:tr>
        <w:tc>
          <w:tcPr>
            <w:tcW w:type="dxa" w:w="4320"/>
          </w:tcPr>
          <w:p>
            <w:r>
              <w:t>OHLCV</w:t>
            </w:r>
          </w:p>
        </w:tc>
        <w:tc>
          <w:tcPr>
            <w:tcW w:type="dxa" w:w="4320"/>
          </w:tcPr>
          <w:p>
            <w:r>
              <w:t>open, high, low, close, volume, vwap</w:t>
            </w:r>
          </w:p>
        </w:tc>
      </w:tr>
      <w:tr>
        <w:tc>
          <w:tcPr>
            <w:tcW w:type="dxa" w:w="4320"/>
          </w:tcPr>
          <w:p>
            <w:r>
              <w:t>IBKR extended</w:t>
            </w:r>
          </w:p>
        </w:tc>
        <w:tc>
          <w:tcPr>
            <w:tcW w:type="dxa" w:w="4320"/>
          </w:tcPr>
          <w:p>
            <w:r>
              <w:t>open_ask, close_bid, close_ask, etc.</w:t>
            </w:r>
          </w:p>
        </w:tc>
      </w:tr>
      <w:tr>
        <w:tc>
          <w:tcPr>
            <w:tcW w:type="dxa" w:w="4320"/>
          </w:tcPr>
          <w:p>
            <w:r>
              <w:t>Quality</w:t>
            </w:r>
          </w:p>
        </w:tc>
        <w:tc>
          <w:tcPr>
            <w:tcW w:type="dxa" w:w="4320"/>
          </w:tcPr>
          <w:p>
            <w:r>
              <w:t>data_quality_flag, data_quality_reasons, data_completeness_pct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batch_id, pipeline_version, record_version, ingested_at, ingestion_type, ingested_by</w:t>
            </w:r>
          </w:p>
        </w:tc>
      </w:tr>
      <w:tr>
        <w:tc>
          <w:tcPr>
            <w:tcW w:type="dxa" w:w="4320"/>
          </w:tcPr>
          <w:p>
            <w:r>
              <w:t>Amendment</w:t>
            </w:r>
          </w:p>
        </w:tc>
        <w:tc>
          <w:tcPr>
            <w:tcW w:type="dxa" w:w="4320"/>
          </w:tcPr>
          <w:p>
            <w:r>
              <w:t>is_amended, amendment_reason, supersedes_batch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4.2 market_data_rejected (18 fields)</w:t>
      </w:r>
    </w:p>
    <w:p>
      <w:r>
        <w:t>Stores records that failed validation. Not append-only — can be queried and reprocessed. Key fields: symbol, date, rejected_rule, rejection_reason, raw_record, batch_id.</w:t>
      </w:r>
    </w:p>
    <w:p>
      <w:pPr>
        <w:pStyle w:val="Heading2"/>
      </w:pPr>
      <w:r>
        <w:t>4.3 ingestion_watermark_daily (10 fields)</w:t>
      </w:r>
    </w:p>
    <w:p>
      <w:r>
        <w:t>Tracks ingestion state per symbol+interval. Supports MERGE (not append-only). Key fields: symbol, interval, earliest_date, latest_date, record_count, last_ingestion_at, last_batch_id, last_ingestion_mode, last_status.</w:t>
      </w:r>
    </w:p>
    <w:p>
      <w:pPr>
        <w:pStyle w:val="Heading1"/>
      </w:pPr>
      <w:r>
        <w:t>5. Running the Ingestion</w:t>
      </w:r>
    </w:p>
    <w:p>
      <w:pPr>
        <w:pStyle w:val="Heading2"/>
      </w:pPr>
      <w:r>
        <w:t>5.1 Prerequisites</w:t>
      </w:r>
    </w:p>
    <w:p>
      <w:pPr>
        <w:pStyle w:val="ListBullet"/>
      </w:pPr>
      <w:r>
        <w:t>IBKR Client Portal Gateway running: cd ~/dev/tools/ibkr/clientportal.gw &amp;&amp; bin/run.sh root/conf.yaml</w:t>
      </w:r>
    </w:p>
    <w:p>
      <w:pPr>
        <w:pStyle w:val="ListBullet"/>
      </w:pPr>
      <w:r>
        <w:t>Authenticate: open https://localhost:5055 in browser and log in with IBKR credentials</w:t>
      </w:r>
    </w:p>
    <w:p>
      <w:pPr>
        <w:pStyle w:val="ListBullet"/>
      </w:pPr>
      <w:r>
        <w:t>Keepalive: curl -sk -X POST https://localhost:5055/v1/api/iserver/reauthenticate</w:t>
      </w:r>
    </w:p>
    <w:p>
      <w:pPr>
        <w:pStyle w:val="ListBullet"/>
      </w:pPr>
      <w:r>
        <w:t>Databricks CLI configured: profile handh-trade-aws</w:t>
      </w:r>
    </w:p>
    <w:p>
      <w:pPr>
        <w:pStyle w:val="ListBullet"/>
      </w:pPr>
      <w:r>
        <w:t>Conda env active: conda activate tradeanalytics</w:t>
      </w:r>
    </w:p>
    <w:p>
      <w:pPr>
        <w:pStyle w:val="ListBullet"/>
      </w:pPr>
      <w:r>
        <w:t>IBKR_ACCOUNT_ID set in .env (never committed)</w:t>
      </w:r>
    </w:p>
    <w:p>
      <w:pPr>
        <w:pStyle w:val="Heading2"/>
      </w:pPr>
      <w:r>
        <w:t>5.2 Production: Databricks Scheduled Job</w:t>
      </w:r>
    </w:p>
    <w:p>
      <w:r>
        <w:t>The job runs at 7pm Eastern Mon-Fri (after US market close). Status: PAUSED during development. To unpause and deploy:</w:t>
      </w:r>
    </w:p>
    <w:p>
      <w:pPr>
        <w:pStyle w:val="NoSpacing"/>
        <w:ind w:left="576"/>
      </w:pPr>
      <w:r>
        <w:rPr>
          <w:rFonts w:ascii="Courier New" w:hAnsi="Courier New"/>
          <w:sz w:val="18"/>
        </w:rPr>
        <w:t>cd /Users/hemachandra/projects/tradeanalytics</w:t>
      </w:r>
    </w:p>
    <w:p>
      <w:pPr>
        <w:pStyle w:val="NoSpacing"/>
        <w:ind w:left="576"/>
      </w:pPr>
      <w:r>
        <w:rPr>
          <w:rFonts w:ascii="Courier New" w:hAnsi="Courier New"/>
          <w:sz w:val="18"/>
        </w:rPr>
        <w:t>databricks bundle deploy --profile handh-trade-aws</w:t>
      </w:r>
    </w:p>
    <w:p>
      <w:pPr>
        <w:pStyle w:val="NoSpacing"/>
        <w:ind w:left="576"/>
      </w:pPr>
      <w:r>
        <w:rPr>
          <w:rFonts w:ascii="Courier New" w:hAnsi="Courier New"/>
          <w:sz w:val="18"/>
        </w:rPr>
        <w:t>databricks bundle run bronze_daily_ingestion --profile handh-trade-aws</w:t>
      </w:r>
    </w:p>
    <w:p>
      <w:r>
        <w:t>Note: IBKR gateway is not reachable from Databricks cloud clusters. For the scheduled job to use IBKR, the gateway must be tunnelled to a reachable endpoint (OQ-3 — architecture not yet finalised). Until then, local execution is the ingestion path.</w:t>
      </w:r>
    </w:p>
    <w:p>
      <w:pPr>
        <w:pStyle w:val="Heading2"/>
      </w:pPr>
      <w:r>
        <w:t>5.3 Local Execution via Databricks Connect</w:t>
      </w:r>
    </w:p>
    <w:p>
      <w:r>
        <w:t>For IBKR ingestion from local Mac, writing directly to Unity Catalog:</w:t>
      </w:r>
    </w:p>
    <w:p>
      <w:pPr>
        <w:pStyle w:val="NoSpacing"/>
        <w:ind w:left="576"/>
      </w:pPr>
      <w:r>
        <w:rPr>
          <w:rFonts w:ascii="Courier New" w:hAnsi="Courier New"/>
          <w:sz w:val="18"/>
        </w:rPr>
        <w:t>conda activate tradeanalytics</w:t>
      </w:r>
    </w:p>
    <w:p>
      <w:pPr>
        <w:pStyle w:val="NoSpacing"/>
        <w:ind w:left="576"/>
      </w:pPr>
      <w:r>
        <w:rPr>
          <w:rFonts w:ascii="Courier New" w:hAnsi="Courier New"/>
          <w:sz w:val="18"/>
        </w:rPr>
        <w:t># Ensure databricks-connect 15.4 is installed (replaces standalone pyspark)</w:t>
      </w:r>
    </w:p>
    <w:p>
      <w:pPr>
        <w:pStyle w:val="NoSpacing"/>
        <w:ind w:left="576"/>
      </w:pPr>
      <w:r>
        <w:rPr>
          <w:rFonts w:ascii="Courier New" w:hAnsi="Courier New"/>
          <w:sz w:val="18"/>
        </w:rPr>
        <w:t># pip install "databricks-connect==15.4.*"</w:t>
      </w:r>
    </w:p>
    <w:p>
      <w:pPr>
        <w:pStyle w:val="NoSpacing"/>
        <w:ind w:left="576"/>
      </w:pPr>
    </w:p>
    <w:p>
      <w:pPr>
        <w:pStyle w:val="NoSpacing"/>
        <w:ind w:left="576"/>
      </w:pPr>
      <w:r>
        <w:rPr>
          <w:rFonts w:ascii="Courier New" w:hAnsi="Courier New"/>
          <w:sz w:val="18"/>
        </w:rPr>
        <w:t># Start an interactive cluster (DBR 15.4, m5.xlarge) in Databricks workspace</w:t>
      </w:r>
    </w:p>
    <w:p>
      <w:pPr>
        <w:pStyle w:val="NoSpacing"/>
        <w:ind w:left="576"/>
      </w:pPr>
      <w:r>
        <w:rPr>
          <w:rFonts w:ascii="Courier New" w:hAnsi="Courier New"/>
          <w:sz w:val="18"/>
        </w:rPr>
        <w:t># then run:</w:t>
      </w:r>
    </w:p>
    <w:p>
      <w:pPr>
        <w:pStyle w:val="NoSpacing"/>
        <w:ind w:left="576"/>
      </w:pPr>
      <w:r>
        <w:rPr>
          <w:rFonts w:ascii="Courier New" w:hAnsi="Courier New"/>
          <w:sz w:val="18"/>
        </w:rPr>
        <w:t>python scripts/smoke_test_ibkr.py  # or equivalent local runner</w:t>
      </w:r>
    </w:p>
    <w:p>
      <w:r>
        <w:t>The Python code (including IBKR HTTP calls) runs on the local Mac; Spark operations write to Databricks Unity Catalog via Databricks Connect.</w:t>
      </w:r>
    </w:p>
    <w:p>
      <w:pPr>
        <w:pStyle w:val="Heading2"/>
      </w:pPr>
      <w:r>
        <w:t>5.4 Smoke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Smoke test value</w:t>
            </w:r>
          </w:p>
        </w:tc>
      </w:tr>
      <w:tr>
        <w:tc>
          <w:tcPr>
            <w:tcW w:type="dxa" w:w="4320"/>
          </w:tcPr>
          <w:p>
            <w:r>
              <w:t>symbols</w:t>
            </w:r>
          </w:p>
        </w:tc>
        <w:tc>
          <w:tcPr>
            <w:tcW w:type="dxa" w:w="4320"/>
          </w:tcPr>
          <w:p>
            <w:r>
              <w:t>SPY</w:t>
            </w:r>
          </w:p>
        </w:tc>
      </w:tr>
      <w:tr>
        <w:tc>
          <w:tcPr>
            <w:tcW w:type="dxa" w:w="4320"/>
          </w:tcPr>
          <w:p>
            <w:r>
              <w:t>start_date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>
              <w:t>end_date</w:t>
            </w:r>
          </w:p>
        </w:tc>
        <w:tc>
          <w:tcPr>
            <w:tcW w:type="dxa" w:w="4320"/>
          </w:tcPr>
          <w:p>
            <w:r>
              <w:t>2026-06-17</w:t>
            </w:r>
          </w:p>
        </w:tc>
      </w:tr>
      <w:tr>
        <w:tc>
          <w:tcPr>
            <w:tcW w:type="dxa" w:w="4320"/>
          </w:tcPr>
          <w:p>
            <w:r>
              <w:t>dry_run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as_of_date</w:t>
            </w:r>
          </w:p>
        </w:tc>
        <w:tc>
          <w:tcPr>
            <w:tcW w:type="dxa" w:w="4320"/>
          </w:tcPr>
          <w:p>
            <w:r>
              <w:t>(empty = today)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6. Smoke Test Results (2026-06-25)</w:t>
      </w:r>
    </w:p>
    <w:p>
      <w:pPr>
        <w:pStyle w:val="Heading2"/>
      </w:pPr>
      <w:r>
        <w:t>6.1 IBKR Smoke Test (confirmed)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✅ ibkr (all records)</w:t>
            </w:r>
          </w:p>
        </w:tc>
      </w:tr>
      <w:tr>
        <w:tc>
          <w:tcPr>
            <w:tcW w:type="dxa" w:w="4320"/>
          </w:tcPr>
          <w:p>
            <w:r>
              <w:t>record_version</w:t>
            </w:r>
          </w:p>
        </w:tc>
        <w:tc>
          <w:tcPr>
            <w:tcW w:type="dxa" w:w="4320"/>
          </w:tcPr>
          <w:p>
            <w:r>
              <w:t>✅ 1</w:t>
            </w:r>
          </w:p>
        </w:tc>
      </w:tr>
      <w:tr>
        <w:tc>
          <w:tcPr>
            <w:tcW w:type="dxa" w:w="4320"/>
          </w:tcPr>
          <w:p>
            <w:r>
              <w:t>ingestion_type</w:t>
            </w:r>
          </w:p>
        </w:tc>
        <w:tc>
          <w:tcPr>
            <w:tcW w:type="dxa" w:w="4320"/>
          </w:tcPr>
          <w:p>
            <w:r>
              <w:t>✅ backfill</w:t>
            </w:r>
          </w:p>
        </w:tc>
      </w:tr>
      <w:tr>
        <w:tc>
          <w:tcPr>
            <w:tcW w:type="dxa" w:w="4320"/>
          </w:tcPr>
          <w:p>
            <w:r>
              <w:t>data_quality_flag</w:t>
            </w:r>
          </w:p>
        </w:tc>
        <w:tc>
          <w:tcPr>
            <w:tcW w:type="dxa" w:w="4320"/>
          </w:tcPr>
          <w:p>
            <w:r>
              <w:t>✅ false</w:t>
            </w:r>
          </w:p>
        </w:tc>
      </w:tr>
      <w:tr>
        <w:tc>
          <w:tcPr>
            <w:tcW w:type="dxa" w:w="4320"/>
          </w:tcPr>
          <w:p>
            <w:r>
              <w:t>data_completeness_pct</w:t>
            </w:r>
          </w:p>
        </w:tc>
        <w:tc>
          <w:tcPr>
            <w:tcW w:type="dxa" w:w="4320"/>
          </w:tcPr>
          <w:p>
            <w:r>
              <w:t>✅ 64.0</w:t>
            </w:r>
          </w:p>
        </w:tc>
      </w:tr>
      <w:tr>
        <w:tc>
          <w:tcPr>
            <w:tcW w:type="dxa" w:w="4320"/>
          </w:tcPr>
          <w:p>
            <w:r>
              <w:t>batch_id</w:t>
            </w:r>
          </w:p>
        </w:tc>
        <w:tc>
          <w:tcPr>
            <w:tcW w:type="dxa" w:w="4320"/>
          </w:tcPr>
          <w:p>
            <w:r>
              <w:t>✅ populated</w:t>
            </w:r>
          </w:p>
        </w:tc>
      </w:tr>
      <w:tr>
        <w:tc>
          <w:tcPr>
            <w:tcW w:type="dxa" w:w="4320"/>
          </w:tcPr>
          <w:p>
            <w:r>
              <w:t>ingested_by</w:t>
            </w:r>
          </w:p>
        </w:tc>
        <w:tc>
          <w:tcPr>
            <w:tcW w:type="dxa" w:w="4320"/>
          </w:tcPr>
          <w:p>
            <w:r>
              <w:t>⚠️ NULL — known bug (see Section 7)</w:t>
            </w:r>
          </w:p>
        </w:tc>
      </w:tr>
      <w:tr>
        <w:tc>
          <w:tcPr>
            <w:tcW w:type="dxa" w:w="4320"/>
          </w:tcPr>
          <w:p>
            <w:r>
              <w:t>Records written</w:t>
            </w:r>
          </w:p>
        </w:tc>
        <w:tc>
          <w:tcPr>
            <w:tcW w:type="dxa" w:w="4320"/>
          </w:tcPr>
          <w:p>
            <w:r>
              <w:t>29 (2026-05-13 → 2026-06-24)</w:t>
            </w:r>
          </w:p>
        </w:tc>
      </w:tr>
      <w:tr>
        <w:tc>
          <w:tcPr>
            <w:tcW w:type="dxa" w:w="4320"/>
          </w:tcPr>
          <w:p>
            <w:r>
              <w:t>Records rejected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Delta lineage</w:t>
            </w:r>
          </w:p>
        </w:tc>
        <w:tc>
          <w:tcPr>
            <w:tcW w:type="dxa" w:w="4320"/>
          </w:tcPr>
          <w:p>
            <w:r>
              <w:t>✅ 2 upstream, 2 downstream tables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6.2 Note on Record Count</w:t>
      </w:r>
    </w:p>
    <w:p>
      <w:r>
        <w:t>29 records (vs 2,636 in the Yahoo test) because the IBKR Client Portal API _days_to_period() mapping returns approximately 1 month of daily bars per request when no explicit period override is provided. This is OQ-1 (open question) — the date range override does not propagate to the IBKR API period parameter. Option A (post-fetch Python filter) is the recommended fix, designed but not yet implemented. Will be resolved in Phase 3 tech debt.</w:t>
      </w:r>
    </w:p>
    <w:p>
      <w:pPr>
        <w:pStyle w:val="Heading1"/>
      </w:pPr>
      <w:r>
        <w:t>7. Known Issues &amp; Technical Debt</w:t>
      </w:r>
    </w:p>
    <w:p>
      <w:pPr>
        <w:pStyle w:val="Heading2"/>
      </w:pPr>
      <w:r>
        <w:t>7.1 ingested_by is NULL in Delta</w:t>
      </w:r>
    </w:p>
    <w:p>
      <w:r>
        <w:t>IBKRProvider sets ingested_by="ibkr_provider_v1" on raw records, but the field arrives as NULL in Delta. DataQualityValidator._enrich_record() uses enriched.get("ingested_by", None) which should preserve the value. Root cause not yet identified — may be overwritten by a later dict merge. Investigate during Phase 3.</w:t>
      </w:r>
    </w:p>
    <w:p>
      <w:pPr>
        <w:pStyle w:val="Heading2"/>
      </w:pPr>
      <w:r>
        <w:t>7.2 OQ-1: start_date/end_date Widget Parameters</w:t>
      </w:r>
    </w:p>
    <w:p>
      <w:r>
        <w:t>Widget parameters do not prevent INITIAL_LOAD mode from fetching full history. IBKR _days_to_period() maps short ranges to minimum IBKR period (~1 month). Recommended fix: Option A — post-fetch Python filter in IBKRProvider. Designed, not implemented.</w:t>
      </w:r>
    </w:p>
    <w:p>
      <w:pPr>
        <w:pStyle w:val="Heading2"/>
      </w:pPr>
      <w:r>
        <w:t>7.3 OQ-3: IBKR Not Reachable from Databricks Clusters</w:t>
      </w:r>
    </w:p>
    <w:p>
      <w:r>
        <w:t>IBKR Client Portal gateway runs on localhost:5055 on the local Mac. Databricks cloud cluster nodes cannot reach localhost on a remote machine. Options: (a) tunnel gateway to a reachable endpoint, (b) run ingestion locally via Databricks Connect (current workaround), (c) Phase 5 EC2 gateway. Architecture not finalised.</w:t>
      </w:r>
    </w:p>
    <w:p>
      <w:pPr>
        <w:pStyle w:val="Heading2"/>
      </w:pPr>
      <w:r>
        <w:t>7.4 Phase 3 Technical Debt</w:t>
      </w:r>
    </w:p>
    <w:p>
      <w:pPr>
        <w:pStyle w:val="ListBullet"/>
      </w:pPr>
      <w:r>
        <w:t>BronzeRecord not instantiated — fix by adding BronzeRecord.from_dict() in validator.</w:t>
      </w:r>
    </w:p>
    <w:p>
      <w:pPr>
        <w:pStyle w:val="ListBullet"/>
      </w:pPr>
      <w:r>
        <w:t>_process_ticker() too long (~150 lines) — split before Phase 4 hooks.</w:t>
      </w:r>
    </w:p>
    <w:p>
      <w:pPr>
        <w:pStyle w:val="ListBullet"/>
      </w:pPr>
      <w:r>
        <w:t>provider_nullable_fields in daily.yml not consumed by validator — wire up.</w:t>
      </w:r>
    </w:p>
    <w:p>
      <w:pPr>
        <w:pStyle w:val="ListBullet"/>
      </w:pPr>
      <w:r>
        <w:t>Holiday calendar is static (hardcoded 2010-2040) — migrate to Delta reference table.</w:t>
      </w:r>
    </w:p>
    <w:p>
      <w:pPr>
        <w:pStyle w:val="ListBullet"/>
      </w:pPr>
      <w:r>
        <w:t>additional_rules in config — verify RuleEngine handles list-of-dicts correctly.</w:t>
      </w:r>
    </w:p>
    <w:p/>
    <w:p>
      <w:pPr>
        <w:pStyle w:val="Heading1"/>
      </w:pPr>
      <w:r>
        <w:t>8. Config Reference</w:t>
      </w:r>
    </w:p>
    <w:p>
      <w:r>
        <w:t>Key config accessors used throughout the pipeline (never hardcode these values):</w:t>
      </w:r>
    </w:p>
    <w:p>
      <w:pPr>
        <w:pStyle w:val="NoSpacing"/>
      </w:pPr>
      <w:r>
        <w:rPr>
          <w:rFonts w:ascii="Courier New" w:hAnsi="Courier New"/>
          <w:sz w:val="18"/>
        </w:rPr>
        <w:t>config.databricks.catalog</w:t>
      </w:r>
      <w:r>
        <w:t xml:space="preserve">  →  "tradeanalytics"</w:t>
      </w:r>
    </w:p>
    <w:p>
      <w:pPr>
        <w:pStyle w:val="NoSpacing"/>
      </w:pPr>
      <w:r>
        <w:rPr>
          <w:rFonts w:ascii="Courier New" w:hAnsi="Courier New"/>
          <w:sz w:val="18"/>
        </w:rPr>
        <w:t>config.sources.primary</w:t>
      </w:r>
      <w:r>
        <w:t xml:space="preserve">  →  "ibkr"</w:t>
      </w:r>
    </w:p>
    <w:p>
      <w:pPr>
        <w:pStyle w:val="NoSpacing"/>
      </w:pPr>
      <w:r>
        <w:rPr>
          <w:rFonts w:ascii="Courier New" w:hAnsi="Courier New"/>
          <w:sz w:val="18"/>
        </w:rPr>
        <w:t>config.sources.fallback</w:t>
      </w:r>
      <w:r>
        <w:t xml:space="preserve">  →  "yahoo"</w:t>
      </w:r>
    </w:p>
    <w:p>
      <w:pPr>
        <w:pStyle w:val="NoSpacing"/>
      </w:pPr>
      <w:r>
        <w:rPr>
          <w:rFonts w:ascii="Courier New" w:hAnsi="Courier New"/>
          <w:sz w:val="18"/>
        </w:rPr>
        <w:t>config.sources.ibkr.base_url</w:t>
      </w:r>
      <w:r>
        <w:t xml:space="preserve">  →  "https://localhost:5055/v1/api"</w:t>
      </w:r>
    </w:p>
    <w:p>
      <w:pPr>
        <w:pStyle w:val="NoSpacing"/>
      </w:pPr>
      <w:r>
        <w:rPr>
          <w:rFonts w:ascii="Courier New" w:hAnsi="Courier New"/>
          <w:sz w:val="18"/>
        </w:rPr>
        <w:t>config.daily.table</w:t>
      </w:r>
      <w:r>
        <w:t xml:space="preserve">  →  "market_data_daily"</w:t>
      </w:r>
    </w:p>
    <w:p>
      <w:pPr>
        <w:pStyle w:val="NoSpacing"/>
      </w:pPr>
      <w:r>
        <w:rPr>
          <w:rFonts w:ascii="Courier New" w:hAnsi="Courier New"/>
          <w:sz w:val="18"/>
        </w:rPr>
        <w:t>config.daily.rejected_table</w:t>
      </w:r>
      <w:r>
        <w:t xml:space="preserve">  →  "market_data_rejected"</w:t>
      </w:r>
    </w:p>
    <w:p>
      <w:pPr>
        <w:pStyle w:val="NoSpacing"/>
      </w:pPr>
      <w:r>
        <w:rPr>
          <w:rFonts w:ascii="Courier New" w:hAnsi="Courier New"/>
          <w:sz w:val="18"/>
        </w:rPr>
        <w:t>config.daily.watermark_table</w:t>
      </w:r>
      <w:r>
        <w:t xml:space="preserve">  →  "ingestion_watermark_daily"</w:t>
      </w:r>
    </w:p>
    <w:p/>
    <w:p>
      <w:pPr>
        <w:pStyle w:val="Heading1"/>
      </w:pPr>
      <w:r>
        <w:t>9. Phase 3 Preview</w:t>
      </w:r>
    </w:p>
    <w:p>
      <w:r>
        <w:t>Silver layer — Feature Engineering (next phase). Step-by-step teaching order:</w:t>
      </w:r>
    </w:p>
    <w:p>
      <w:pPr>
        <w:pStyle w:val="ListBullet"/>
      </w:pPr>
      <w:r>
        <w:t>1. What is a feature? (EMA, RSI, MACD on real SPY data — visualise first)</w:t>
      </w:r>
    </w:p>
    <w:p>
      <w:pPr>
        <w:pStyle w:val="ListBullet"/>
      </w:pPr>
      <w:r>
        <w:t>2. What is a label? (forward returns — what are we predicting and why?)</w:t>
      </w:r>
    </w:p>
    <w:p>
      <w:pPr>
        <w:pStyle w:val="ListBullet"/>
      </w:pPr>
      <w:r>
        <w:t>3. What is the feature matrix? (rows=dates, cols=features — read before training)</w:t>
      </w:r>
    </w:p>
    <w:p>
      <w:pPr>
        <w:pStyle w:val="ListBullet"/>
      </w:pPr>
      <w:r>
        <w:t>4. Train first XGBoost on SPY</w:t>
      </w:r>
    </w:p>
    <w:p>
      <w:pPr>
        <w:pStyle w:val="ListBullet"/>
      </w:pPr>
      <w:r>
        <w:t>5. Walk-forward validation — out-of-sample IC</w:t>
      </w:r>
    </w:p>
    <w:p>
      <w:pPr>
        <w:pStyle w:val="ListBullet"/>
      </w:pPr>
      <w:r>
        <w:t>6. Does it actually have edge?</w:t>
      </w:r>
    </w:p>
    <w:p>
      <w:r>
        <w:br/>
        <w:t>Planned ABCs: IndicatorEngine, FeatureEngineer, FeatureScaler, RegimeDetector</w:t>
      </w:r>
    </w:p>
    <w:p>
      <w:r>
        <w:t>Feature store: tradeanalytics.feature_store.*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